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40CCA" w:rsidRPr="002B2A0D" w:rsidP="005A62D8" w14:paraId="7FBFDA53" w14:textId="14054F89">
      <w:pPr>
        <w:pStyle w:val="Heading1"/>
        <w:spacing w:after="240"/>
        <w:jc w:val="center"/>
        <w:rPr>
          <w:rFonts w:ascii="Times New Roman" w:hAnsi="Times New Roman" w:cs="Times New Roman"/>
          <w:color w:val="auto"/>
          <w:sz w:val="24"/>
          <w:szCs w:val="24"/>
          <w:u w:val="single"/>
        </w:rPr>
      </w:pPr>
      <w:r w:rsidRPr="002B2A0D">
        <w:rPr>
          <w:rFonts w:ascii="Times New Roman" w:hAnsi="Times New Roman" w:cs="Times New Roman"/>
          <w:color w:val="auto"/>
          <w:sz w:val="24"/>
          <w:szCs w:val="24"/>
          <w:u w:val="single"/>
        </w:rPr>
        <w:t>Supporting Statement</w:t>
      </w:r>
      <w:r w:rsidRPr="002B2A0D">
        <w:rPr>
          <w:rFonts w:ascii="Times New Roman" w:hAnsi="Times New Roman" w:cs="Times New Roman"/>
          <w:color w:val="auto"/>
          <w:sz w:val="24"/>
          <w:szCs w:val="24"/>
          <w:u w:val="single"/>
        </w:rPr>
        <w:br/>
        <w:t>OMB Control Number 1506-</w:t>
      </w:r>
      <w:r w:rsidRPr="002B2A0D" w:rsidR="000D0D4D">
        <w:rPr>
          <w:rFonts w:ascii="Times New Roman" w:hAnsi="Times New Roman" w:cs="Times New Roman"/>
          <w:color w:val="auto"/>
          <w:sz w:val="24"/>
          <w:szCs w:val="24"/>
          <w:u w:val="single"/>
        </w:rPr>
        <w:t>0035</w:t>
      </w:r>
    </w:p>
    <w:p w:rsidR="00240CCA" w:rsidRPr="002B2A0D" w:rsidP="00DB2B27" w14:paraId="7E27A593" w14:textId="3DE1E92B">
      <w:pPr>
        <w:pStyle w:val="NPRMBody"/>
        <w:ind w:firstLine="0"/>
      </w:pPr>
      <w:r w:rsidRPr="00DB2B27">
        <w:rPr>
          <w:rFonts w:eastAsia="MS Mincho"/>
          <w:u w:val="single"/>
        </w:rPr>
        <w:t xml:space="preserve">Anti-Money Laundering </w:t>
      </w:r>
      <w:r w:rsidRPr="00DB2B27" w:rsidR="002D6BEE">
        <w:rPr>
          <w:rFonts w:eastAsia="MS Mincho"/>
          <w:u w:val="single"/>
        </w:rPr>
        <w:t xml:space="preserve">and Countering the Financing of Terrorism (AML/CFT) </w:t>
      </w:r>
      <w:r w:rsidRPr="00DB2B27">
        <w:rPr>
          <w:rFonts w:eastAsia="MS Mincho"/>
          <w:u w:val="single"/>
        </w:rPr>
        <w:t>Programs for Insurance Companies, Loan or Finance Companies, and Banks Lacking a Federal Functional Regulator</w:t>
      </w:r>
      <w:r w:rsidRPr="00DB2B27" w:rsidR="00B851E7">
        <w:rPr>
          <w:rFonts w:eastAsia="MS Mincho"/>
          <w:u w:val="single"/>
        </w:rPr>
        <w:t xml:space="preserve"> (FFR)</w:t>
      </w:r>
      <w:r>
        <w:rPr>
          <w:rStyle w:val="FootnoteReference"/>
          <w:rFonts w:eastAsia="MS Mincho"/>
        </w:rPr>
        <w:footnoteReference w:id="2"/>
      </w:r>
      <w:r w:rsidRPr="002B2A0D">
        <w:t xml:space="preserve"> </w:t>
      </w:r>
      <w:r w:rsidR="001C3A24">
        <w:br/>
      </w:r>
    </w:p>
    <w:p w:rsidR="00240CCA" w:rsidRPr="002B2A0D" w:rsidP="00240CCA" w14:paraId="5207E952" w14:textId="77777777">
      <w:pPr>
        <w:spacing w:after="240"/>
        <w:rPr>
          <w:rFonts w:ascii="Times New Roman" w:hAnsi="Times New Roman" w:cs="Times New Roman"/>
          <w:sz w:val="24"/>
          <w:szCs w:val="24"/>
        </w:rPr>
      </w:pPr>
      <w:r w:rsidRPr="002B2A0D">
        <w:rPr>
          <w:rFonts w:ascii="Times New Roman" w:hAnsi="Times New Roman" w:cs="Times New Roman"/>
          <w:sz w:val="24"/>
          <w:szCs w:val="24"/>
        </w:rPr>
        <w:t xml:space="preserve">1. </w:t>
      </w:r>
      <w:r w:rsidRPr="002B2A0D">
        <w:rPr>
          <w:rFonts w:ascii="Times New Roman" w:hAnsi="Times New Roman" w:cs="Times New Roman"/>
          <w:sz w:val="24"/>
          <w:szCs w:val="24"/>
          <w:u w:val="single"/>
        </w:rPr>
        <w:t>Circumstances necessitating collection of information.</w:t>
      </w:r>
      <w:r w:rsidRPr="002B2A0D">
        <w:rPr>
          <w:rFonts w:ascii="Times New Roman" w:hAnsi="Times New Roman" w:cs="Times New Roman"/>
          <w:sz w:val="24"/>
          <w:szCs w:val="24"/>
        </w:rPr>
        <w:t xml:space="preserve"> </w:t>
      </w:r>
    </w:p>
    <w:p w:rsidR="004366CE" w:rsidP="004366CE" w14:paraId="789A5E0C" w14:textId="338F9655">
      <w:pPr>
        <w:pStyle w:val="NPRMBody"/>
      </w:pPr>
      <w:r w:rsidRPr="002B2A0D">
        <w:t xml:space="preserve">The Financial Crimes Enforcement Network (FinCEN) is issuing this statement to support its request that the Office of Management and Budget (OMB) approve a proposed revision to a collection of information </w:t>
      </w:r>
      <w:r w:rsidR="00330BDB">
        <w:t>associated with</w:t>
      </w:r>
      <w:r w:rsidRPr="002B2A0D">
        <w:t xml:space="preserve"> a notice of proposed rulemaking (NPRM) in support of the Bank Secrecy Act (BSA).</w:t>
      </w:r>
      <w:r>
        <w:rPr>
          <w:rStyle w:val="FootnoteReference"/>
        </w:rPr>
        <w:footnoteReference w:id="3"/>
      </w:r>
      <w:r w:rsidRPr="002B2A0D" w:rsidR="00DA1CFA">
        <w:t xml:space="preserve">  </w:t>
      </w:r>
      <w:r w:rsidRPr="004366CE">
        <w:t>Th</w:t>
      </w:r>
      <w:r w:rsidR="00330BDB">
        <w:t>e</w:t>
      </w:r>
      <w:r w:rsidRPr="004366CE">
        <w:t xml:space="preserve"> proposed rule implements section 6101(b) of the Anti-Money Laundering Act of 2020 (AML Act).</w:t>
      </w:r>
      <w:r>
        <w:rPr>
          <w:vertAlign w:val="superscript"/>
        </w:rPr>
        <w:footnoteReference w:id="4"/>
      </w:r>
    </w:p>
    <w:p w:rsidR="004366CE" w:rsidP="004366CE" w14:paraId="7A980D2B" w14:textId="77777777">
      <w:pPr>
        <w:pStyle w:val="NPRMBody"/>
      </w:pPr>
    </w:p>
    <w:p w:rsidR="00240CCA" w:rsidRPr="002B2A0D" w:rsidP="00DB2B27" w14:paraId="01AF092C" w14:textId="2687073C">
      <w:pPr>
        <w:pStyle w:val="NPRMBody"/>
        <w:rPr>
          <w:color w:val="0F4761" w:themeColor="accent1" w:themeShade="BF"/>
        </w:rPr>
      </w:pPr>
      <w:r>
        <w:t>O</w:t>
      </w:r>
      <w:r w:rsidRPr="002B2A0D" w:rsidR="00773B96">
        <w:t xml:space="preserve">n April </w:t>
      </w:r>
      <w:r w:rsidR="00742E29">
        <w:t>10</w:t>
      </w:r>
      <w:r w:rsidRPr="002B2A0D" w:rsidR="00773B96">
        <w:t xml:space="preserve">, 2026, FinCEN published in the </w:t>
      </w:r>
      <w:r w:rsidRPr="002B2A0D" w:rsidR="00773B96">
        <w:rPr>
          <w:i/>
          <w:iCs/>
        </w:rPr>
        <w:t>Federal Register</w:t>
      </w:r>
      <w:r w:rsidRPr="002B2A0D" w:rsidR="00773B96">
        <w:t xml:space="preserve"> a notice and request for comments </w:t>
      </w:r>
      <w:r w:rsidR="00742E29">
        <w:t xml:space="preserve">a </w:t>
      </w:r>
      <w:r w:rsidRPr="002B2A0D" w:rsidR="00773B96">
        <w:t>propos</w:t>
      </w:r>
      <w:r w:rsidR="00742E29">
        <w:t>ed</w:t>
      </w:r>
      <w:r w:rsidRPr="002B2A0D" w:rsidR="00773B96">
        <w:t xml:space="preserve"> rule to fundamentally reform the requirements for financial institutions’ AML/CFT programs.</w:t>
      </w:r>
      <w:r>
        <w:rPr>
          <w:rStyle w:val="FootnoteReference"/>
        </w:rPr>
        <w:footnoteReference w:id="5"/>
      </w:r>
      <w:r w:rsidRPr="002B2A0D" w:rsidR="00773B96">
        <w:t xml:space="preserve"> </w:t>
      </w:r>
      <w:r w:rsidRPr="002B2A0D" w:rsidR="009C7262">
        <w:t>The</w:t>
      </w:r>
      <w:r w:rsidRPr="002B2A0D" w:rsidR="004A0F11">
        <w:t xml:space="preserve"> proposed rule aims to ensure that financial institutions establish and maintain effective AML/CFT programs that better achieve the purposes of the BSA and lead to </w:t>
      </w:r>
      <w:r w:rsidRPr="002B2A0D" w:rsidR="004A0F11">
        <w:rPr>
          <w:color w:val="000000" w:themeColor="text1"/>
        </w:rPr>
        <w:t xml:space="preserve">more </w:t>
      </w:r>
      <w:r w:rsidRPr="002B2A0D" w:rsidR="004A0F11">
        <w:t>effective outcomes for financial institutions as well as law enforcement</w:t>
      </w:r>
      <w:r w:rsidRPr="002B2A0D" w:rsidR="004A0F11">
        <w:rPr>
          <w:color w:val="000000" w:themeColor="text1"/>
        </w:rPr>
        <w:t xml:space="preserve"> and </w:t>
      </w:r>
      <w:r w:rsidRPr="002B2A0D" w:rsidR="004A0F11">
        <w:t xml:space="preserve">national security agencies.  Through this rulemaking, consistent with its statutory authority as the administrator of the BSA, FinCEN is also proposing measures to modernize and reform federal supervision of AML/CFT programs by enhancing FinCEN’s role in AML/CFT supervision and enforcement in coordination with Federal banking regulators.  In addition, FinCEN is proposing regulatory amendments to promote clarity and consistency across FinCEN’s program </w:t>
      </w:r>
      <w:r w:rsidRPr="002B2A0D" w:rsidR="003655A6">
        <w:t>r</w:t>
      </w:r>
      <w:r w:rsidR="003655A6">
        <w:t>equirement</w:t>
      </w:r>
      <w:r w:rsidRPr="002B2A0D" w:rsidR="003655A6">
        <w:t xml:space="preserve">s </w:t>
      </w:r>
      <w:r w:rsidRPr="002B2A0D" w:rsidR="004A0F11">
        <w:t xml:space="preserve">for different types of financial institutions.   </w:t>
      </w:r>
      <w:r w:rsidR="009C60CC">
        <w:br/>
      </w:r>
    </w:p>
    <w:p w:rsidR="00240CCA" w:rsidRPr="002B2A0D" w:rsidP="00240CCA" w14:paraId="23C5AF28" w14:textId="77777777">
      <w:pPr>
        <w:spacing w:after="240"/>
        <w:rPr>
          <w:rFonts w:ascii="Times New Roman" w:hAnsi="Times New Roman" w:cs="Times New Roman"/>
          <w:sz w:val="24"/>
          <w:szCs w:val="24"/>
          <w:u w:val="single"/>
        </w:rPr>
      </w:pPr>
      <w:r w:rsidRPr="002B2A0D">
        <w:rPr>
          <w:rFonts w:ascii="Times New Roman" w:hAnsi="Times New Roman" w:cs="Times New Roman"/>
          <w:sz w:val="24"/>
          <w:szCs w:val="24"/>
        </w:rPr>
        <w:t xml:space="preserve">2. </w:t>
      </w:r>
      <w:r w:rsidRPr="002B2A0D">
        <w:rPr>
          <w:rFonts w:ascii="Times New Roman" w:hAnsi="Times New Roman" w:cs="Times New Roman"/>
          <w:sz w:val="24"/>
          <w:szCs w:val="24"/>
          <w:u w:val="single"/>
        </w:rPr>
        <w:t>Method of collection and use of data.</w:t>
      </w:r>
    </w:p>
    <w:p w:rsidR="00C0079C" w:rsidRPr="002B2A0D" w:rsidP="00DB2B27" w14:paraId="2F207656" w14:textId="5C6315D0">
      <w:pPr>
        <w:pStyle w:val="NPRMBody"/>
      </w:pPr>
      <w:r w:rsidRPr="002B2A0D">
        <w:t xml:space="preserve">AML/CFT programs help to ensure that </w:t>
      </w:r>
      <w:r w:rsidRPr="002B2A0D">
        <w:rPr>
          <w:rFonts w:eastAsia="MS Mincho"/>
          <w:bCs/>
        </w:rPr>
        <w:t>insurance companies, loan or finance companies, and banks lacking a Federal functional regulator</w:t>
      </w:r>
      <w:r w:rsidRPr="002B2A0D">
        <w:t xml:space="preserve"> </w:t>
      </w:r>
      <w:r w:rsidRPr="002B2A0D" w:rsidR="00BF740A">
        <w:t xml:space="preserve">(FFR) </w:t>
      </w:r>
      <w:r w:rsidRPr="002B2A0D">
        <w:t xml:space="preserve">comply with the BSA, including requirements related to retention and maintenance of reports and records, and ensure that such institutions are not used to facilitate money laundering or terrorist financing.  </w:t>
      </w:r>
      <w:r w:rsidRPr="002B2A0D">
        <w:rPr>
          <w:rFonts w:eastAsia="MS Mincho"/>
        </w:rPr>
        <w:t>These requirements will assist law enforcement in financial investigations, protect against terrorism and strengthen national security, improve financial institutions’ ability to assess and mitigate risk, help prevent evasion of financial sanctions, facilitate tax compliance, enhance financial transparency of legal entities, and advance U.S. compliance with international standards and commitments.</w:t>
      </w:r>
      <w:r w:rsidRPr="002B2A0D">
        <w:t xml:space="preserve"> </w:t>
      </w:r>
      <w:r w:rsidR="009C60CC">
        <w:t xml:space="preserve"> </w:t>
      </w:r>
      <w:r w:rsidRPr="002B2A0D">
        <w:t xml:space="preserve">Compliance with these requirements </w:t>
      </w:r>
      <w:r w:rsidRPr="002B2A0D" w:rsidR="00773B96">
        <w:t>is</w:t>
      </w:r>
      <w:r w:rsidRPr="002B2A0D">
        <w:t xml:space="preserve"> reviewed by Federal agencies </w:t>
      </w:r>
      <w:r w:rsidRPr="00970C95" w:rsidR="00970C95">
        <w:t xml:space="preserve">to which FinCEN has delegated examination authority </w:t>
      </w:r>
      <w:r w:rsidRPr="002B2A0D">
        <w:t>during BSA examinations.</w:t>
      </w:r>
      <w:r w:rsidR="009C60CC">
        <w:br/>
      </w:r>
    </w:p>
    <w:p w:rsidR="00240CCA" w:rsidRPr="002B2A0D" w:rsidP="00240CCA" w14:paraId="71DD532A" w14:textId="77777777">
      <w:pPr>
        <w:spacing w:after="240"/>
        <w:rPr>
          <w:rFonts w:ascii="Times New Roman" w:hAnsi="Times New Roman" w:cs="Times New Roman"/>
          <w:sz w:val="24"/>
          <w:szCs w:val="24"/>
        </w:rPr>
      </w:pPr>
      <w:r w:rsidRPr="002B2A0D">
        <w:rPr>
          <w:rFonts w:ascii="Times New Roman" w:hAnsi="Times New Roman" w:cs="Times New Roman"/>
          <w:sz w:val="24"/>
          <w:szCs w:val="24"/>
        </w:rPr>
        <w:t xml:space="preserve">3. </w:t>
      </w:r>
      <w:r w:rsidRPr="002B2A0D">
        <w:rPr>
          <w:rFonts w:ascii="Times New Roman" w:hAnsi="Times New Roman" w:cs="Times New Roman"/>
          <w:sz w:val="24"/>
          <w:szCs w:val="24"/>
          <w:u w:val="single"/>
        </w:rPr>
        <w:t>Use of improved information technology to reduce burden.</w:t>
      </w:r>
      <w:r w:rsidRPr="002B2A0D">
        <w:rPr>
          <w:rFonts w:ascii="Times New Roman" w:hAnsi="Times New Roman" w:cs="Times New Roman"/>
          <w:sz w:val="24"/>
          <w:szCs w:val="24"/>
        </w:rPr>
        <w:t xml:space="preserve"> </w:t>
      </w:r>
    </w:p>
    <w:p w:rsidR="00BF740A" w:rsidRPr="002B2A0D" w:rsidP="00DB2B27" w14:paraId="5952ECAB" w14:textId="646DCBBF">
      <w:pPr>
        <w:pStyle w:val="NPRMBody"/>
      </w:pPr>
      <w:r w:rsidRPr="002B2A0D">
        <w:t xml:space="preserve">Insurance companies, loan or finance companies, and banks lacking an FFR </w:t>
      </w:r>
      <w:r w:rsidRPr="002B2A0D" w:rsidR="00EE1CF0">
        <w:t>may—but are not required—to</w:t>
      </w:r>
      <w:r w:rsidRPr="002B2A0D">
        <w:t xml:space="preserve"> automate their AML/CFT program to meet their requirements.  </w:t>
      </w:r>
      <w:r w:rsidR="009C60CC">
        <w:br/>
      </w:r>
    </w:p>
    <w:p w:rsidR="00240CCA" w:rsidRPr="002B2A0D" w:rsidP="00240CCA" w14:paraId="52CC76F4" w14:textId="77777777">
      <w:pPr>
        <w:spacing w:after="240"/>
        <w:rPr>
          <w:rFonts w:ascii="Times New Roman" w:hAnsi="Times New Roman" w:cs="Times New Roman"/>
          <w:sz w:val="24"/>
          <w:szCs w:val="24"/>
          <w:u w:val="single"/>
        </w:rPr>
      </w:pPr>
      <w:r w:rsidRPr="002B2A0D">
        <w:rPr>
          <w:rFonts w:ascii="Times New Roman" w:hAnsi="Times New Roman" w:cs="Times New Roman"/>
          <w:sz w:val="24"/>
          <w:szCs w:val="24"/>
        </w:rPr>
        <w:t xml:space="preserve">4. </w:t>
      </w:r>
      <w:r w:rsidRPr="002B2A0D">
        <w:rPr>
          <w:rFonts w:ascii="Times New Roman" w:hAnsi="Times New Roman" w:cs="Times New Roman"/>
          <w:sz w:val="24"/>
          <w:szCs w:val="24"/>
          <w:u w:val="single"/>
        </w:rPr>
        <w:t xml:space="preserve">Efforts to identify duplication. </w:t>
      </w:r>
    </w:p>
    <w:p w:rsidR="00EC08A0" w:rsidRPr="002B2A0D" w:rsidP="00DB2B27" w14:paraId="4BC4A4E4" w14:textId="585D93FD">
      <w:pPr>
        <w:pStyle w:val="NPRMBody"/>
        <w:rPr>
          <w:color w:val="0F4761" w:themeColor="accent1" w:themeShade="BF"/>
        </w:rPr>
      </w:pPr>
      <w:r w:rsidRPr="002B2A0D">
        <w:t xml:space="preserve">There is no </w:t>
      </w:r>
      <w:r w:rsidRPr="002B2A0D" w:rsidR="009F473A">
        <w:t xml:space="preserve">identical </w:t>
      </w:r>
      <w:r w:rsidRPr="002B2A0D" w:rsidR="00C16C68">
        <w:t xml:space="preserve">or </w:t>
      </w:r>
      <w:r w:rsidRPr="002B2A0D">
        <w:t>similar information available</w:t>
      </w:r>
      <w:r w:rsidRPr="002B2A0D" w:rsidR="00C16C68">
        <w:t>, and therefore</w:t>
      </w:r>
      <w:r w:rsidRPr="002B2A0D">
        <w:t xml:space="preserve"> no duplication. </w:t>
      </w:r>
      <w:r w:rsidR="009C60CC">
        <w:br/>
      </w:r>
    </w:p>
    <w:p w:rsidR="00240CCA" w:rsidRPr="002B2A0D" w:rsidP="00240CCA" w14:paraId="55693AD5" w14:textId="77777777">
      <w:pPr>
        <w:spacing w:after="240"/>
        <w:rPr>
          <w:rFonts w:ascii="Times New Roman" w:hAnsi="Times New Roman" w:cs="Times New Roman"/>
          <w:sz w:val="24"/>
          <w:szCs w:val="24"/>
        </w:rPr>
      </w:pPr>
      <w:r w:rsidRPr="002B2A0D">
        <w:rPr>
          <w:rFonts w:ascii="Times New Roman" w:hAnsi="Times New Roman" w:cs="Times New Roman"/>
          <w:sz w:val="24"/>
          <w:szCs w:val="24"/>
        </w:rPr>
        <w:t xml:space="preserve">5. </w:t>
      </w:r>
      <w:r w:rsidRPr="002B2A0D">
        <w:rPr>
          <w:rFonts w:ascii="Times New Roman" w:hAnsi="Times New Roman" w:cs="Times New Roman"/>
          <w:sz w:val="24"/>
          <w:szCs w:val="24"/>
          <w:u w:val="single"/>
        </w:rPr>
        <w:t>Methods to minimize burden on small businesses or other small entities.</w:t>
      </w:r>
      <w:r w:rsidRPr="002B2A0D">
        <w:rPr>
          <w:rFonts w:ascii="Times New Roman" w:hAnsi="Times New Roman" w:cs="Times New Roman"/>
          <w:sz w:val="24"/>
          <w:szCs w:val="24"/>
        </w:rPr>
        <w:t xml:space="preserve"> </w:t>
      </w:r>
    </w:p>
    <w:p w:rsidR="007249A7" w:rsidRPr="002B2A0D" w:rsidP="00DB2B27" w14:paraId="602FB91C" w14:textId="2DF6AE73">
      <w:pPr>
        <w:pStyle w:val="NPRMBody"/>
      </w:pPr>
      <w:r w:rsidRPr="002B2A0D">
        <w:t>I</w:t>
      </w:r>
      <w:r w:rsidRPr="002B2A0D">
        <w:rPr>
          <w:rFonts w:eastAsia="MS Mincho"/>
          <w:bCs/>
        </w:rPr>
        <w:t xml:space="preserve">nsurance companies, loan or finance companies, and banks lacking an </w:t>
      </w:r>
      <w:r w:rsidRPr="002B2A0D">
        <w:t xml:space="preserve">FFR are required to document their AML/CFT programs and </w:t>
      </w:r>
      <w:r w:rsidRPr="002B2A0D" w:rsidR="00C463AC">
        <w:t>may</w:t>
      </w:r>
      <w:r w:rsidRPr="002B2A0D">
        <w:t xml:space="preserve"> use the method most suitable to their requirements. </w:t>
      </w:r>
      <w:r w:rsidR="002A4EB8">
        <w:br/>
      </w:r>
    </w:p>
    <w:p w:rsidR="00240CCA" w:rsidRPr="002B2A0D" w:rsidP="00240CCA" w14:paraId="4102DDF6" w14:textId="77777777">
      <w:pPr>
        <w:spacing w:after="240"/>
        <w:rPr>
          <w:rFonts w:ascii="Times New Roman" w:hAnsi="Times New Roman" w:cs="Times New Roman"/>
          <w:sz w:val="24"/>
          <w:szCs w:val="24"/>
        </w:rPr>
      </w:pPr>
      <w:r w:rsidRPr="002B2A0D">
        <w:rPr>
          <w:rFonts w:ascii="Times New Roman" w:hAnsi="Times New Roman" w:cs="Times New Roman"/>
          <w:sz w:val="24"/>
          <w:szCs w:val="24"/>
        </w:rPr>
        <w:t xml:space="preserve">6. </w:t>
      </w:r>
      <w:r w:rsidRPr="002B2A0D">
        <w:rPr>
          <w:rFonts w:ascii="Times New Roman" w:hAnsi="Times New Roman" w:cs="Times New Roman"/>
          <w:sz w:val="24"/>
          <w:szCs w:val="24"/>
          <w:u w:val="single"/>
        </w:rPr>
        <w:t>Consequences to the Federal government of not collecting the information or less frequent collections.</w:t>
      </w:r>
      <w:r w:rsidRPr="002B2A0D">
        <w:rPr>
          <w:rFonts w:ascii="Times New Roman" w:hAnsi="Times New Roman" w:cs="Times New Roman"/>
          <w:sz w:val="24"/>
          <w:szCs w:val="24"/>
        </w:rPr>
        <w:t xml:space="preserve"> </w:t>
      </w:r>
    </w:p>
    <w:p w:rsidR="001E2153" w:rsidP="001E2153" w14:paraId="3C0ED6F7" w14:textId="44D6B03C">
      <w:pPr>
        <w:pStyle w:val="NPRMBody"/>
      </w:pPr>
      <w:r w:rsidRPr="00451A80">
        <w:t xml:space="preserve">A </w:t>
      </w:r>
      <w:r>
        <w:t xml:space="preserve">covered financial institution must maintain a </w:t>
      </w:r>
      <w:r w:rsidRPr="00451A80">
        <w:t xml:space="preserve">copy of </w:t>
      </w:r>
      <w:r>
        <w:t>its</w:t>
      </w:r>
      <w:r w:rsidRPr="00451A80">
        <w:t xml:space="preserve"> AML/CFT program in writing and ma</w:t>
      </w:r>
      <w:r>
        <w:t>k</w:t>
      </w:r>
      <w:r w:rsidRPr="00451A80">
        <w:t xml:space="preserve">e </w:t>
      </w:r>
      <w:r>
        <w:t>the written program</w:t>
      </w:r>
      <w:r w:rsidRPr="00451A80">
        <w:t xml:space="preserve"> available for inspection upon request</w:t>
      </w:r>
      <w:r>
        <w:t xml:space="preserve"> by FinCEN or one of its delegated examiners</w:t>
      </w:r>
      <w:r w:rsidRPr="00451A80">
        <w:t xml:space="preserve">.  </w:t>
      </w:r>
      <w:r w:rsidRPr="00715CD8">
        <w:t xml:space="preserve">If the information were not collected, or were collected less frequently, FinCEN and its delegated examiners would be unable to effectively assess financial institutions’ compliance with the BSA. </w:t>
      </w:r>
    </w:p>
    <w:p w:rsidR="00D17463" w:rsidRPr="002B2A0D" w:rsidP="00DB2B27" w14:paraId="388D663B" w14:textId="5B9007E6">
      <w:pPr>
        <w:pStyle w:val="NPRMBody"/>
      </w:pPr>
    </w:p>
    <w:p w:rsidR="00240CCA" w:rsidRPr="002B2A0D" w:rsidP="00240CCA" w14:paraId="260A0561" w14:textId="77777777">
      <w:pPr>
        <w:spacing w:after="240"/>
        <w:rPr>
          <w:rFonts w:ascii="Times New Roman" w:hAnsi="Times New Roman" w:cs="Times New Roman"/>
          <w:sz w:val="24"/>
          <w:szCs w:val="24"/>
          <w:u w:val="single"/>
        </w:rPr>
      </w:pPr>
      <w:r w:rsidRPr="002B2A0D">
        <w:rPr>
          <w:rFonts w:ascii="Times New Roman" w:hAnsi="Times New Roman" w:cs="Times New Roman"/>
          <w:sz w:val="24"/>
          <w:szCs w:val="24"/>
        </w:rPr>
        <w:t xml:space="preserve">7. </w:t>
      </w:r>
      <w:r w:rsidRPr="002B2A0D">
        <w:rPr>
          <w:rFonts w:ascii="Times New Roman" w:hAnsi="Times New Roman" w:cs="Times New Roman"/>
          <w:sz w:val="24"/>
          <w:szCs w:val="24"/>
          <w:u w:val="single"/>
        </w:rPr>
        <w:t xml:space="preserve">Special circumstances requiring data collection </w:t>
      </w:r>
      <w:r w:rsidRPr="002B2A0D">
        <w:rPr>
          <w:rFonts w:ascii="Times New Roman" w:hAnsi="Times New Roman" w:cs="Times New Roman"/>
          <w:sz w:val="24"/>
          <w:szCs w:val="24"/>
          <w:u w:val="single"/>
        </w:rPr>
        <w:t>inconsistent</w:t>
      </w:r>
      <w:r w:rsidRPr="002B2A0D">
        <w:rPr>
          <w:rFonts w:ascii="Times New Roman" w:hAnsi="Times New Roman" w:cs="Times New Roman"/>
          <w:sz w:val="24"/>
          <w:szCs w:val="24"/>
          <w:u w:val="single"/>
        </w:rPr>
        <w:t xml:space="preserve"> with guidelines in 5 CFR 1320.5(d)(2).</w:t>
      </w:r>
    </w:p>
    <w:p w:rsidR="00AF0FE6" w:rsidRPr="002B2A0D" w:rsidP="00DB2B27" w14:paraId="031A4578" w14:textId="0C45ECFE">
      <w:pPr>
        <w:pStyle w:val="NPRMBody"/>
      </w:pPr>
      <w:r w:rsidRPr="002B2A0D">
        <w:t xml:space="preserve">Under 31 CFR 1010.430(d), </w:t>
      </w:r>
      <w:r w:rsidRPr="002B2A0D">
        <w:rPr>
          <w:lang w:val="en"/>
        </w:rPr>
        <w:t xml:space="preserve">all records that are required to be retained by 31 CFR chapter X, including a written copy of the AML/CFT program, must be retained for a period of five years.  Records </w:t>
      </w:r>
      <w:r w:rsidRPr="002B2A0D">
        <w:t xml:space="preserve">must also be kept for five years to verify compliance with the requirement to maintain such a program, as such record may relate to civil penalty actions that are subject to statutes of limitation longer than three years. </w:t>
      </w:r>
    </w:p>
    <w:p w:rsidR="007E79CE" w:rsidRPr="002B2A0D" w:rsidP="007E79CE" w14:paraId="4D75589A" w14:textId="77777777">
      <w:pPr>
        <w:pStyle w:val="BodyText"/>
        <w:spacing w:before="0"/>
        <w:ind w:left="360"/>
        <w:rPr>
          <w:sz w:val="24"/>
          <w:szCs w:val="24"/>
        </w:rPr>
      </w:pPr>
    </w:p>
    <w:p w:rsidR="00240CCA" w:rsidRPr="002B2A0D" w:rsidP="00240CCA" w14:paraId="7F5B61F0" w14:textId="77777777">
      <w:pPr>
        <w:spacing w:after="240"/>
        <w:rPr>
          <w:rFonts w:ascii="Times New Roman" w:hAnsi="Times New Roman" w:cs="Times New Roman"/>
          <w:sz w:val="24"/>
          <w:szCs w:val="24"/>
        </w:rPr>
      </w:pPr>
      <w:r w:rsidRPr="002B2A0D">
        <w:rPr>
          <w:rFonts w:ascii="Times New Roman" w:hAnsi="Times New Roman" w:cs="Times New Roman"/>
          <w:sz w:val="24"/>
          <w:szCs w:val="24"/>
        </w:rPr>
        <w:t xml:space="preserve">8. </w:t>
      </w:r>
      <w:r w:rsidRPr="002B2A0D">
        <w:rPr>
          <w:rFonts w:ascii="Times New Roman" w:hAnsi="Times New Roman" w:cs="Times New Roman"/>
          <w:sz w:val="24"/>
          <w:szCs w:val="24"/>
          <w:u w:val="single"/>
        </w:rPr>
        <w:t>Consultation with individuals outside of the agency on availability of data, frequency of collection, clarity of instructions and forms, and data elements.</w:t>
      </w:r>
      <w:r w:rsidRPr="002B2A0D">
        <w:rPr>
          <w:rFonts w:ascii="Times New Roman" w:hAnsi="Times New Roman" w:cs="Times New Roman"/>
          <w:sz w:val="24"/>
          <w:szCs w:val="24"/>
        </w:rPr>
        <w:t xml:space="preserve"> </w:t>
      </w:r>
    </w:p>
    <w:p w:rsidR="005773E8" w:rsidRPr="002B2A0D" w:rsidP="00DB2B27" w14:paraId="4B84A997" w14:textId="53B3CBEE">
      <w:pPr>
        <w:pStyle w:val="NPRMBody"/>
      </w:pPr>
      <w:r w:rsidRPr="002B2A0D">
        <w:t>Prior to the enactment of the AML Act, and as informed by the recommendations of the AML Effectiveness Bank Secrecy Act Advisory Group</w:t>
      </w:r>
      <w:r w:rsidRPr="002B2A0D" w:rsidR="00A232EB">
        <w:t xml:space="preserve"> (BSAAG)</w:t>
      </w:r>
      <w:r w:rsidRPr="002B2A0D">
        <w:t xml:space="preserve"> working group, FinCEN published an ANPRM seeking public comment on potential regulatory amendments to increase the effectiveness of the current program rules (Effectiveness ANPRM).</w:t>
      </w:r>
      <w:bookmarkStart w:id="0" w:name="_Ref166195730"/>
      <w:r>
        <w:rPr>
          <w:rStyle w:val="FootnoteReference"/>
        </w:rPr>
        <w:footnoteReference w:id="6"/>
      </w:r>
      <w:bookmarkEnd w:id="0"/>
      <w:r w:rsidRPr="002B2A0D">
        <w:t xml:space="preserve">  </w:t>
      </w:r>
      <w:r w:rsidRPr="002B2A0D">
        <w:t xml:space="preserve">FinCEN received 111 comments in response to the Effectiveness ANPRM, many of which generally supported the goals underlying the ANPRM.    </w:t>
      </w:r>
    </w:p>
    <w:p w:rsidR="005773E8" w:rsidRPr="002B2A0D" w:rsidP="00DB2B27" w14:paraId="5378CD93" w14:textId="77777777">
      <w:pPr>
        <w:pStyle w:val="NPRMBody"/>
      </w:pPr>
    </w:p>
    <w:p w:rsidR="0093511D" w:rsidRPr="002B2A0D" w:rsidP="00DB2B27" w14:paraId="1293D04D" w14:textId="7019E244">
      <w:pPr>
        <w:pStyle w:val="NPRMBody"/>
      </w:pPr>
      <w:r w:rsidRPr="002A4EB8">
        <w:t>In</w:t>
      </w:r>
      <w:r w:rsidRPr="002B2A0D">
        <w:t xml:space="preserve"> addition, on July 3, 2024, FinCEN published an NPRM proposing revisions to AML/CFT program requirements (2024 Program NPRM).</w:t>
      </w:r>
      <w:r>
        <w:rPr>
          <w:rStyle w:val="FootnoteReference"/>
        </w:rPr>
        <w:footnoteReference w:id="7"/>
      </w:r>
      <w:r w:rsidRPr="002B2A0D">
        <w:t xml:space="preserve">  </w:t>
      </w:r>
      <w:r w:rsidRPr="002B2A0D" w:rsidR="00DD7A79">
        <w:t xml:space="preserve">FinCEN received 86 comments from the public in response to the 2024 Program NPRM.  Submissions came from a broad array of individuals and organizations, including members of Congress, the financial industry and related trade associations, groups representing small business interests, corporate transparency advocacy groups, regulatory associations, legal associations, and other interested groups and individuals.  The proposed rule </w:t>
      </w:r>
      <w:r w:rsidRPr="005C542D" w:rsidR="00DD7A79">
        <w:t xml:space="preserve">of April </w:t>
      </w:r>
      <w:r w:rsidRPr="005C542D" w:rsidR="00742E29">
        <w:t>10</w:t>
      </w:r>
      <w:r w:rsidRPr="005C542D" w:rsidR="00DD7A79">
        <w:t xml:space="preserve">, </w:t>
      </w:r>
      <w:r w:rsidRPr="005C542D" w:rsidR="00DD7A79">
        <w:t>2026</w:t>
      </w:r>
      <w:r w:rsidRPr="005C542D" w:rsidR="00DD7A79">
        <w:t xml:space="preserve"> </w:t>
      </w:r>
      <w:r w:rsidRPr="005C542D" w:rsidR="00DD7A79">
        <w:rPr>
          <w:bCs/>
        </w:rPr>
        <w:t>supersedes the 2024 Program NPRM entirely</w:t>
      </w:r>
      <w:r w:rsidRPr="005C542D" w:rsidR="00DD7A79">
        <w:t xml:space="preserve">.  The public comment period on the new proposed rule closes on June </w:t>
      </w:r>
      <w:r w:rsidRPr="005C542D" w:rsidR="00742E29">
        <w:t>9</w:t>
      </w:r>
      <w:r w:rsidRPr="005C542D" w:rsidR="00DD7A79">
        <w:t>, 2026.</w:t>
      </w:r>
      <w:r>
        <w:rPr>
          <w:rStyle w:val="FootnoteReference"/>
        </w:rPr>
        <w:footnoteReference w:id="8"/>
      </w:r>
      <w:r w:rsidRPr="002B2A0D" w:rsidR="00DD7A79">
        <w:t xml:space="preserve"> </w:t>
      </w:r>
    </w:p>
    <w:p w:rsidR="00173BAB" w:rsidRPr="002B2A0D" w:rsidP="00DB2B27" w14:paraId="43CAE49B" w14:textId="77777777">
      <w:pPr>
        <w:pStyle w:val="NPRMBody"/>
      </w:pPr>
    </w:p>
    <w:p w:rsidR="00240CCA" w:rsidRPr="002B2A0D" w:rsidP="00240CCA" w14:paraId="170DD981" w14:textId="77777777">
      <w:pPr>
        <w:spacing w:after="240"/>
        <w:rPr>
          <w:rFonts w:ascii="Times New Roman" w:hAnsi="Times New Roman" w:cs="Times New Roman"/>
          <w:sz w:val="24"/>
          <w:szCs w:val="24"/>
        </w:rPr>
      </w:pPr>
      <w:r w:rsidRPr="002B2A0D">
        <w:rPr>
          <w:rFonts w:ascii="Times New Roman" w:hAnsi="Times New Roman" w:cs="Times New Roman"/>
          <w:sz w:val="24"/>
          <w:szCs w:val="24"/>
        </w:rPr>
        <w:t xml:space="preserve">9. </w:t>
      </w:r>
      <w:r w:rsidRPr="002B2A0D">
        <w:rPr>
          <w:rFonts w:ascii="Times New Roman" w:hAnsi="Times New Roman" w:cs="Times New Roman"/>
          <w:sz w:val="24"/>
          <w:szCs w:val="24"/>
          <w:u w:val="single"/>
        </w:rPr>
        <w:t>Explanation of decision to provide any payment or gift to respondents.</w:t>
      </w:r>
      <w:r w:rsidRPr="002B2A0D">
        <w:rPr>
          <w:rFonts w:ascii="Times New Roman" w:hAnsi="Times New Roman" w:cs="Times New Roman"/>
          <w:sz w:val="24"/>
          <w:szCs w:val="24"/>
        </w:rPr>
        <w:t xml:space="preserve"> </w:t>
      </w:r>
    </w:p>
    <w:p w:rsidR="004D3783" w:rsidRPr="002B2A0D" w:rsidP="00DB2B27" w14:paraId="2833A528" w14:textId="308A0D39">
      <w:pPr>
        <w:pStyle w:val="NPRMBody"/>
        <w:rPr>
          <w:rFonts w:eastAsiaTheme="minorEastAsia"/>
        </w:rPr>
      </w:pPr>
      <w:r w:rsidRPr="002B2A0D">
        <w:t>No payments or gifts were made to respondents.</w:t>
      </w:r>
      <w:r w:rsidR="002A4EB8">
        <w:br/>
      </w:r>
    </w:p>
    <w:p w:rsidR="00240CCA" w:rsidRPr="002B2A0D" w:rsidP="00240CCA" w14:paraId="756231D6" w14:textId="19D5553C">
      <w:pPr>
        <w:pStyle w:val="BodyText"/>
        <w:spacing w:before="0" w:after="240"/>
        <w:rPr>
          <w:sz w:val="24"/>
          <w:szCs w:val="24"/>
        </w:rPr>
      </w:pPr>
      <w:r w:rsidRPr="002B2A0D">
        <w:rPr>
          <w:sz w:val="24"/>
          <w:szCs w:val="24"/>
        </w:rPr>
        <w:t xml:space="preserve">10. </w:t>
      </w:r>
      <w:r w:rsidRPr="002B2A0D">
        <w:rPr>
          <w:sz w:val="24"/>
          <w:szCs w:val="24"/>
          <w:u w:val="single"/>
        </w:rPr>
        <w:t>Assurance of confidentiality of responses.</w:t>
      </w:r>
      <w:r w:rsidRPr="002B2A0D">
        <w:rPr>
          <w:sz w:val="24"/>
          <w:szCs w:val="24"/>
        </w:rPr>
        <w:t xml:space="preserve"> </w:t>
      </w:r>
    </w:p>
    <w:p w:rsidR="00C80B87" w:rsidRPr="002B2A0D" w:rsidP="00DB2B27" w14:paraId="76AA98A5" w14:textId="07078269">
      <w:pPr>
        <w:pStyle w:val="NPRMBody"/>
      </w:pPr>
      <w:r w:rsidRPr="002B2A0D">
        <w:t>Information collected under an AML/CFT program established pursuant to 31 U.S.C. 5318(h) may be made available to appropriate law enforcement agencies and supervisory agencies.</w:t>
      </w:r>
      <w:r w:rsidR="002A4EB8">
        <w:br/>
      </w:r>
    </w:p>
    <w:p w:rsidR="00240CCA" w:rsidRPr="002B2A0D" w:rsidP="00240CCA" w14:paraId="62E5B574" w14:textId="77777777">
      <w:pPr>
        <w:spacing w:after="240"/>
        <w:rPr>
          <w:rFonts w:ascii="Times New Roman" w:hAnsi="Times New Roman" w:cs="Times New Roman"/>
          <w:sz w:val="24"/>
          <w:szCs w:val="24"/>
        </w:rPr>
      </w:pPr>
      <w:r w:rsidRPr="002B2A0D">
        <w:rPr>
          <w:rFonts w:ascii="Times New Roman" w:hAnsi="Times New Roman" w:cs="Times New Roman"/>
          <w:sz w:val="24"/>
          <w:szCs w:val="24"/>
        </w:rPr>
        <w:t xml:space="preserve">11. </w:t>
      </w:r>
      <w:r w:rsidRPr="002B2A0D">
        <w:rPr>
          <w:rFonts w:ascii="Times New Roman" w:hAnsi="Times New Roman" w:cs="Times New Roman"/>
          <w:sz w:val="24"/>
          <w:szCs w:val="24"/>
          <w:u w:val="single"/>
        </w:rPr>
        <w:t>Justification of sensitive questions.</w:t>
      </w:r>
      <w:r w:rsidRPr="002B2A0D">
        <w:rPr>
          <w:rFonts w:ascii="Times New Roman" w:hAnsi="Times New Roman" w:cs="Times New Roman"/>
          <w:sz w:val="24"/>
          <w:szCs w:val="24"/>
        </w:rPr>
        <w:t xml:space="preserve"> </w:t>
      </w:r>
    </w:p>
    <w:p w:rsidR="0009337F" w:rsidRPr="002B2A0D" w:rsidP="00DB2B27" w14:paraId="599FDD48" w14:textId="7FDF347E">
      <w:pPr>
        <w:pStyle w:val="NPRMBody"/>
        <w:rPr>
          <w:color w:val="0F4761" w:themeColor="accent1" w:themeShade="BF"/>
        </w:rPr>
      </w:pPr>
      <w:r w:rsidRPr="002B2A0D">
        <w:t>There are no questions of a sensitive nature in the collection of information.  Any personally identifiable information collected under the BSA is strictly controlled as outlined in FinCEN’s Systems of Records Notice</w:t>
      </w:r>
      <w:hyperlink w:history="1"/>
      <w:r w:rsidRPr="002B2A0D">
        <w:t>.</w:t>
      </w:r>
      <w:r>
        <w:rPr>
          <w:rStyle w:val="FootnoteReference"/>
        </w:rPr>
        <w:footnoteReference w:id="9"/>
      </w:r>
      <w:r w:rsidRPr="002B2A0D">
        <w:t xml:space="preserve">  </w:t>
      </w:r>
      <w:r w:rsidR="002A4EB8">
        <w:br/>
      </w:r>
    </w:p>
    <w:p w:rsidR="00240CCA" w:rsidRPr="002B2A0D" w:rsidP="00240CCA" w14:paraId="3A0019F3" w14:textId="77777777">
      <w:pPr>
        <w:spacing w:after="240"/>
        <w:rPr>
          <w:rFonts w:ascii="Times New Roman" w:hAnsi="Times New Roman" w:cs="Times New Roman"/>
          <w:sz w:val="24"/>
          <w:szCs w:val="24"/>
        </w:rPr>
      </w:pPr>
      <w:r w:rsidRPr="002B2A0D">
        <w:rPr>
          <w:rFonts w:ascii="Times New Roman" w:hAnsi="Times New Roman" w:cs="Times New Roman"/>
          <w:sz w:val="24"/>
          <w:szCs w:val="24"/>
        </w:rPr>
        <w:t xml:space="preserve">12. </w:t>
      </w:r>
      <w:r w:rsidRPr="002B2A0D">
        <w:rPr>
          <w:rFonts w:ascii="Times New Roman" w:hAnsi="Times New Roman" w:cs="Times New Roman"/>
          <w:sz w:val="24"/>
          <w:szCs w:val="24"/>
          <w:u w:val="single"/>
        </w:rPr>
        <w:t>Estimated burden.</w:t>
      </w:r>
    </w:p>
    <w:p w:rsidR="00240CCA" w:rsidRPr="002B2A0D" w:rsidP="00DB2B27" w14:paraId="30F0622F" w14:textId="6E748B9D">
      <w:pPr>
        <w:pStyle w:val="NPRMBody"/>
        <w:rPr>
          <w:rFonts w:eastAsia="MS Mincho"/>
        </w:rPr>
      </w:pPr>
      <w:r w:rsidRPr="002B2A0D">
        <w:rPr>
          <w:rFonts w:eastAsia="MS Mincho"/>
          <w:u w:val="single"/>
        </w:rPr>
        <w:t>Frequency</w:t>
      </w:r>
      <w:r w:rsidRPr="002B2A0D">
        <w:rPr>
          <w:rFonts w:eastAsia="MS Mincho"/>
          <w:u w:val="single"/>
        </w:rPr>
        <w:t>:</w:t>
      </w:r>
      <w:r w:rsidRPr="002B2A0D">
        <w:rPr>
          <w:rFonts w:eastAsia="MS Mincho"/>
        </w:rPr>
        <w:t xml:space="preserve">  </w:t>
      </w:r>
      <w:r w:rsidRPr="002B2A0D" w:rsidR="00664F33">
        <w:rPr>
          <w:rFonts w:eastAsia="MS Mincho"/>
        </w:rPr>
        <w:t>As</w:t>
      </w:r>
      <w:r w:rsidRPr="002B2A0D" w:rsidR="00664F33">
        <w:rPr>
          <w:rFonts w:eastAsia="MS Mincho"/>
        </w:rPr>
        <w:t xml:space="preserve"> required.</w:t>
      </w:r>
      <w:r w:rsidR="002A4EB8">
        <w:rPr>
          <w:rFonts w:eastAsia="MS Mincho"/>
        </w:rPr>
        <w:br/>
      </w:r>
    </w:p>
    <w:p w:rsidR="00240CCA" w:rsidRPr="002B2A0D" w:rsidP="00DB2B27" w14:paraId="66FFB832" w14:textId="0F3CDB20">
      <w:pPr>
        <w:pStyle w:val="NPRMBody"/>
        <w:rPr>
          <w:rFonts w:eastAsia="MS Mincho"/>
        </w:rPr>
      </w:pPr>
      <w:r w:rsidRPr="002B2A0D">
        <w:rPr>
          <w:rFonts w:eastAsia="MS Mincho"/>
          <w:u w:val="single"/>
        </w:rPr>
        <w:t>Estimated Number of Respondents</w:t>
      </w:r>
      <w:r w:rsidRPr="002B2A0D">
        <w:rPr>
          <w:rFonts w:eastAsia="MS Mincho"/>
          <w:u w:val="single"/>
        </w:rPr>
        <w:t>:</w:t>
      </w:r>
      <w:r w:rsidRPr="002B2A0D">
        <w:rPr>
          <w:rFonts w:eastAsia="MS Mincho"/>
        </w:rPr>
        <w:t xml:space="preserve">  </w:t>
      </w:r>
      <w:r w:rsidRPr="002B2A0D" w:rsidR="00FF4229">
        <w:rPr>
          <w:rFonts w:eastAsia="MS Mincho"/>
        </w:rPr>
        <w:t>14,424</w:t>
      </w:r>
      <w:r w:rsidRPr="002B2A0D" w:rsidR="0048552A">
        <w:rPr>
          <w:rFonts w:eastAsia="MS Mincho"/>
        </w:rPr>
        <w:t xml:space="preserve"> financial institutions.</w:t>
      </w:r>
      <w:r>
        <w:rPr>
          <w:rStyle w:val="FootnoteReference"/>
          <w:rFonts w:eastAsia="MS Mincho"/>
        </w:rPr>
        <w:footnoteReference w:id="10"/>
      </w:r>
      <w:r w:rsidR="002A4EB8">
        <w:rPr>
          <w:rFonts w:eastAsia="MS Mincho"/>
        </w:rPr>
        <w:br/>
      </w:r>
    </w:p>
    <w:p w:rsidR="00776F9B" w:rsidRPr="002B2A0D" w:rsidP="00DB2B27" w14:paraId="00DD7CEA" w14:textId="03032A94">
      <w:pPr>
        <w:pStyle w:val="NPRMBody"/>
        <w:rPr>
          <w:rFonts w:eastAsia="MS Mincho"/>
        </w:rPr>
      </w:pPr>
      <w:r w:rsidRPr="00DB2B27">
        <w:rPr>
          <w:rFonts w:eastAsia="MS Mincho"/>
          <w:u w:val="single"/>
        </w:rPr>
        <w:t>Estimated Total Annual Burden Hours</w:t>
      </w:r>
      <w:r w:rsidRPr="002B2A0D">
        <w:rPr>
          <w:rFonts w:eastAsia="MS Mincho"/>
        </w:rPr>
        <w:t xml:space="preserve">:  </w:t>
      </w:r>
      <w:r w:rsidRPr="002B2A0D" w:rsidR="00980612">
        <w:rPr>
          <w:rFonts w:eastAsia="MS Mincho"/>
        </w:rPr>
        <w:t>49,502</w:t>
      </w:r>
      <w:r w:rsidRPr="002B2A0D" w:rsidR="00980612">
        <w:rPr>
          <w:rFonts w:eastAsia="MS Mincho"/>
        </w:rPr>
        <w:t xml:space="preserve"> hours.</w:t>
      </w:r>
      <w:r>
        <w:rPr>
          <w:rStyle w:val="FootnoteReference"/>
          <w:rFonts w:eastAsia="MS Mincho"/>
        </w:rPr>
        <w:footnoteReference w:id="11"/>
      </w:r>
    </w:p>
    <w:p w:rsidR="001C4A0C" w:rsidP="007E20E6" w14:paraId="40F5AB0D" w14:textId="77777777">
      <w:pPr>
        <w:pStyle w:val="PlainText"/>
        <w:rPr>
          <w:rFonts w:ascii="Times New Roman" w:eastAsia="MS Mincho" w:hAnsi="Times New Roman" w:cs="Times New Roman"/>
          <w:sz w:val="24"/>
          <w:szCs w:val="24"/>
        </w:rPr>
      </w:pPr>
    </w:p>
    <w:tbl>
      <w:tblPr>
        <w:tblW w:w="0" w:type="auto"/>
        <w:tblLayout w:type="fixed"/>
        <w:tblLook w:val="04A0"/>
      </w:tblPr>
      <w:tblGrid>
        <w:gridCol w:w="3780"/>
        <w:gridCol w:w="1350"/>
        <w:gridCol w:w="1530"/>
        <w:gridCol w:w="1350"/>
        <w:gridCol w:w="1350"/>
      </w:tblGrid>
      <w:tr w14:paraId="41B9A99E" w14:textId="77777777" w:rsidTr="00D54697">
        <w:tblPrEx>
          <w:tblW w:w="0" w:type="auto"/>
          <w:tblLayout w:type="fixed"/>
          <w:tblLook w:val="04A0"/>
        </w:tblPrEx>
        <w:trPr>
          <w:trHeight w:val="432"/>
        </w:trPr>
        <w:tc>
          <w:tcPr>
            <w:tcW w:w="9360" w:type="dxa"/>
            <w:gridSpan w:val="5"/>
            <w:tcBorders>
              <w:bottom w:val="single" w:sz="4" w:space="0" w:color="auto"/>
            </w:tcBorders>
            <w:vAlign w:val="bottom"/>
          </w:tcPr>
          <w:p w:rsidR="001C4A0C" w:rsidRPr="003309D2" w:rsidP="00D54697" w14:paraId="5DE1FD27" w14:textId="77777777">
            <w:pPr>
              <w:spacing w:after="0" w:line="240" w:lineRule="auto"/>
              <w:rPr>
                <w:rFonts w:ascii="Times New Roman" w:eastAsia="Times New Roman" w:hAnsi="Times New Roman" w:cs="Times New Roman"/>
                <w:sz w:val="24"/>
                <w:szCs w:val="24"/>
                <w14:ligatures w14:val="none"/>
              </w:rPr>
            </w:pPr>
            <w:r w:rsidRPr="003309D2">
              <w:rPr>
                <w:rFonts w:ascii="Times New Roman" w:hAnsi="Times New Roman" w:cs="Times New Roman"/>
                <w:b/>
                <w:color w:val="000000" w:themeColor="text1"/>
                <w:sz w:val="24"/>
                <w:szCs w:val="24"/>
              </w:rPr>
              <w:t>Table 1.  Summary of the PRA Burden and Costs, by Covered Financial Institution Type, Included under this OMB Control Number</w:t>
            </w:r>
          </w:p>
        </w:tc>
      </w:tr>
      <w:tr w14:paraId="45C2E94D" w14:textId="77777777" w:rsidTr="003309D2">
        <w:tblPrEx>
          <w:tblW w:w="0" w:type="auto"/>
          <w:tblLayout w:type="fixed"/>
          <w:tblLook w:val="04A0"/>
        </w:tblPrEx>
        <w:trPr>
          <w:trHeight w:val="900"/>
        </w:trPr>
        <w:tc>
          <w:tcPr>
            <w:tcW w:w="3780" w:type="dxa"/>
            <w:tcBorders>
              <w:top w:val="single" w:sz="4" w:space="0" w:color="auto"/>
              <w:left w:val="single" w:sz="8" w:space="0" w:color="auto"/>
              <w:bottom w:val="single" w:sz="4" w:space="0" w:color="auto"/>
              <w:right w:val="single" w:sz="4" w:space="0" w:color="auto"/>
            </w:tcBorders>
            <w:vAlign w:val="center"/>
            <w:hideMark/>
          </w:tcPr>
          <w:p w:rsidR="001C4A0C" w:rsidRPr="003309D2" w:rsidP="00D54697" w14:paraId="0AACF42F" w14:textId="77777777">
            <w:pPr>
              <w:spacing w:after="0" w:line="240" w:lineRule="auto"/>
              <w:jc w:val="center"/>
              <w:rPr>
                <w:rFonts w:ascii="Times New Roman" w:eastAsia="Times New Roman" w:hAnsi="Times New Roman" w:cs="Times New Roman"/>
                <w:sz w:val="24"/>
                <w:szCs w:val="24"/>
                <w14:ligatures w14:val="none"/>
              </w:rPr>
            </w:pPr>
            <w:r w:rsidRPr="003309D2">
              <w:rPr>
                <w:rFonts w:ascii="Times New Roman" w:eastAsia="Times New Roman" w:hAnsi="Times New Roman" w:cs="Times New Roman"/>
                <w:sz w:val="24"/>
                <w:szCs w:val="24"/>
                <w14:ligatures w14:val="none"/>
              </w:rPr>
              <w:t>Type of Financial Institution</w:t>
            </w:r>
          </w:p>
        </w:tc>
        <w:tc>
          <w:tcPr>
            <w:tcW w:w="1350" w:type="dxa"/>
            <w:tcBorders>
              <w:top w:val="single" w:sz="4" w:space="0" w:color="auto"/>
              <w:left w:val="nil"/>
              <w:bottom w:val="single" w:sz="4" w:space="0" w:color="auto"/>
              <w:right w:val="single" w:sz="4" w:space="0" w:color="auto"/>
            </w:tcBorders>
            <w:vAlign w:val="center"/>
            <w:hideMark/>
          </w:tcPr>
          <w:p w:rsidR="001C4A0C" w:rsidRPr="003309D2" w:rsidP="00D54697" w14:paraId="28206420" w14:textId="77777777">
            <w:pPr>
              <w:spacing w:after="0" w:line="240" w:lineRule="auto"/>
              <w:jc w:val="center"/>
              <w:rPr>
                <w:rFonts w:ascii="Times New Roman" w:eastAsia="Times New Roman" w:hAnsi="Times New Roman" w:cs="Times New Roman"/>
                <w:sz w:val="24"/>
                <w:szCs w:val="24"/>
                <w14:ligatures w14:val="none"/>
              </w:rPr>
            </w:pPr>
            <w:r w:rsidRPr="003309D2">
              <w:rPr>
                <w:rFonts w:ascii="Times New Roman" w:eastAsia="Times New Roman" w:hAnsi="Times New Roman" w:cs="Times New Roman"/>
                <w:sz w:val="24"/>
                <w:szCs w:val="24"/>
                <w14:ligatures w14:val="none"/>
              </w:rPr>
              <w:t xml:space="preserve">Hours per </w:t>
            </w:r>
            <w:r w:rsidRPr="003309D2">
              <w:rPr>
                <w:rFonts w:ascii="Times New Roman" w:eastAsia="Times New Roman" w:hAnsi="Times New Roman" w:cs="Times New Roman"/>
                <w:sz w:val="24"/>
                <w:szCs w:val="24"/>
                <w14:ligatures w14:val="none"/>
              </w:rPr>
              <w:t>Respondent</w:t>
            </w:r>
            <w:r w:rsidRPr="003309D2">
              <w:rPr>
                <w:rFonts w:ascii="Times New Roman" w:eastAsia="Times New Roman" w:hAnsi="Times New Roman" w:cs="Times New Roman"/>
                <w:sz w:val="24"/>
                <w:szCs w:val="24"/>
                <w:vertAlign w:val="superscript"/>
                <w14:ligatures w14:val="none"/>
              </w:rPr>
              <w:t>a</w:t>
            </w:r>
          </w:p>
        </w:tc>
        <w:tc>
          <w:tcPr>
            <w:tcW w:w="1530" w:type="dxa"/>
            <w:tcBorders>
              <w:top w:val="single" w:sz="4" w:space="0" w:color="auto"/>
              <w:left w:val="nil"/>
              <w:bottom w:val="single" w:sz="4" w:space="0" w:color="auto"/>
              <w:right w:val="single" w:sz="4" w:space="0" w:color="auto"/>
            </w:tcBorders>
            <w:vAlign w:val="center"/>
            <w:hideMark/>
          </w:tcPr>
          <w:p w:rsidR="001C4A0C" w:rsidRPr="003309D2" w:rsidP="00D54697" w14:paraId="7DADEA2D" w14:textId="6C05A985">
            <w:pPr>
              <w:spacing w:after="0" w:line="240" w:lineRule="auto"/>
              <w:jc w:val="center"/>
              <w:rPr>
                <w:rFonts w:ascii="Times New Roman" w:eastAsia="Times New Roman" w:hAnsi="Times New Roman" w:cs="Times New Roman"/>
                <w:sz w:val="24"/>
                <w:szCs w:val="24"/>
                <w14:ligatures w14:val="none"/>
              </w:rPr>
            </w:pPr>
            <w:r w:rsidRPr="003309D2">
              <w:rPr>
                <w:rFonts w:ascii="Times New Roman" w:eastAsia="Times New Roman" w:hAnsi="Times New Roman" w:cs="Times New Roman"/>
                <w:sz w:val="24"/>
                <w:szCs w:val="24"/>
                <w14:ligatures w14:val="none"/>
              </w:rPr>
              <w:t>Number of Respondents</w:t>
            </w:r>
          </w:p>
        </w:tc>
        <w:tc>
          <w:tcPr>
            <w:tcW w:w="1350" w:type="dxa"/>
            <w:tcBorders>
              <w:top w:val="single" w:sz="4" w:space="0" w:color="auto"/>
              <w:left w:val="nil"/>
              <w:bottom w:val="single" w:sz="4" w:space="0" w:color="auto"/>
              <w:right w:val="single" w:sz="4" w:space="0" w:color="auto"/>
            </w:tcBorders>
            <w:vAlign w:val="center"/>
            <w:hideMark/>
          </w:tcPr>
          <w:p w:rsidR="001C4A0C" w:rsidRPr="003309D2" w:rsidP="00D54697" w14:paraId="13FDB64A" w14:textId="06216FFC">
            <w:pPr>
              <w:spacing w:after="0" w:line="240" w:lineRule="auto"/>
              <w:jc w:val="center"/>
              <w:rPr>
                <w:rFonts w:ascii="Times New Roman" w:eastAsia="Times New Roman" w:hAnsi="Times New Roman" w:cs="Times New Roman"/>
                <w:sz w:val="24"/>
                <w:szCs w:val="24"/>
                <w14:ligatures w14:val="none"/>
              </w:rPr>
            </w:pPr>
            <w:r w:rsidRPr="003309D2">
              <w:rPr>
                <w:rFonts w:ascii="Times New Roman" w:eastAsia="Times New Roman" w:hAnsi="Times New Roman" w:cs="Times New Roman"/>
                <w:sz w:val="24"/>
                <w:szCs w:val="24"/>
                <w14:ligatures w14:val="none"/>
              </w:rPr>
              <w:t>Total Burden Hours</w:t>
            </w:r>
          </w:p>
        </w:tc>
        <w:tc>
          <w:tcPr>
            <w:tcW w:w="1350" w:type="dxa"/>
            <w:tcBorders>
              <w:top w:val="single" w:sz="4" w:space="0" w:color="auto"/>
              <w:left w:val="nil"/>
              <w:bottom w:val="single" w:sz="4" w:space="0" w:color="auto"/>
              <w:right w:val="single" w:sz="8" w:space="0" w:color="auto"/>
            </w:tcBorders>
            <w:vAlign w:val="center"/>
            <w:hideMark/>
          </w:tcPr>
          <w:p w:rsidR="001C4A0C" w:rsidRPr="003309D2" w:rsidP="00D54697" w14:paraId="0746E4C4" w14:textId="77777777">
            <w:pPr>
              <w:spacing w:after="0" w:line="240" w:lineRule="auto"/>
              <w:jc w:val="center"/>
              <w:rPr>
                <w:rFonts w:ascii="Times New Roman" w:eastAsia="Times New Roman" w:hAnsi="Times New Roman" w:cs="Times New Roman"/>
                <w:sz w:val="24"/>
                <w:szCs w:val="24"/>
                <w14:ligatures w14:val="none"/>
              </w:rPr>
            </w:pPr>
            <w:r w:rsidRPr="003309D2">
              <w:rPr>
                <w:rFonts w:ascii="Times New Roman" w:eastAsia="Times New Roman" w:hAnsi="Times New Roman" w:cs="Times New Roman"/>
                <w:sz w:val="24"/>
                <w:szCs w:val="24"/>
                <w14:ligatures w14:val="none"/>
              </w:rPr>
              <w:t>Total Cost</w:t>
            </w:r>
          </w:p>
        </w:tc>
      </w:tr>
      <w:tr w14:paraId="37428CAC" w14:textId="77777777" w:rsidTr="003309D2">
        <w:tblPrEx>
          <w:tblW w:w="0" w:type="auto"/>
          <w:tblLayout w:type="fixed"/>
          <w:tblLook w:val="04A0"/>
        </w:tblPrEx>
        <w:trPr>
          <w:trHeight w:val="300"/>
        </w:trPr>
        <w:tc>
          <w:tcPr>
            <w:tcW w:w="3780" w:type="dxa"/>
            <w:tcBorders>
              <w:top w:val="nil"/>
              <w:left w:val="single" w:sz="8" w:space="0" w:color="auto"/>
              <w:bottom w:val="single" w:sz="4" w:space="0" w:color="auto"/>
              <w:right w:val="single" w:sz="4" w:space="0" w:color="auto"/>
            </w:tcBorders>
            <w:noWrap/>
            <w:hideMark/>
          </w:tcPr>
          <w:p w:rsidR="001C4A0C" w:rsidRPr="003309D2" w:rsidP="00D54697" w14:paraId="34248363" w14:textId="400C8ADE">
            <w:pPr>
              <w:spacing w:after="0" w:line="240" w:lineRule="auto"/>
              <w:rPr>
                <w:rFonts w:ascii="Times New Roman" w:eastAsia="Times New Roman" w:hAnsi="Times New Roman" w:cs="Times New Roman"/>
                <w:color w:val="000000"/>
                <w:sz w:val="24"/>
                <w:szCs w:val="24"/>
                <w14:ligatures w14:val="none"/>
              </w:rPr>
            </w:pPr>
            <w:r w:rsidRPr="003309D2">
              <w:rPr>
                <w:rFonts w:ascii="Times New Roman" w:eastAsia="Times New Roman" w:hAnsi="Times New Roman" w:cs="Times New Roman"/>
                <w:color w:val="000000"/>
                <w:sz w:val="24"/>
                <w:szCs w:val="24"/>
                <w14:ligatures w14:val="none"/>
              </w:rPr>
              <w:t xml:space="preserve">Banks </w:t>
            </w:r>
            <w:r w:rsidRPr="003309D2" w:rsidR="005C542D">
              <w:rPr>
                <w:rFonts w:ascii="Times New Roman" w:eastAsia="Times New Roman" w:hAnsi="Times New Roman" w:cs="Times New Roman"/>
                <w:color w:val="000000"/>
                <w:sz w:val="24"/>
                <w:szCs w:val="24"/>
                <w14:ligatures w14:val="none"/>
              </w:rPr>
              <w:t>Lacking</w:t>
            </w:r>
            <w:r w:rsidRPr="003309D2">
              <w:rPr>
                <w:rFonts w:ascii="Times New Roman" w:eastAsia="Times New Roman" w:hAnsi="Times New Roman" w:cs="Times New Roman"/>
                <w:color w:val="000000"/>
                <w:sz w:val="24"/>
                <w:szCs w:val="24"/>
                <w14:ligatures w14:val="none"/>
              </w:rPr>
              <w:t xml:space="preserve"> an FFR </w:t>
            </w:r>
          </w:p>
        </w:tc>
        <w:tc>
          <w:tcPr>
            <w:tcW w:w="1350" w:type="dxa"/>
            <w:tcBorders>
              <w:top w:val="nil"/>
              <w:left w:val="nil"/>
              <w:bottom w:val="single" w:sz="4" w:space="0" w:color="auto"/>
              <w:right w:val="single" w:sz="4" w:space="0" w:color="auto"/>
            </w:tcBorders>
            <w:noWrap/>
            <w:hideMark/>
          </w:tcPr>
          <w:p w:rsidR="001C4A0C" w:rsidRPr="003309D2" w:rsidP="00D54697" w14:paraId="77D139FD" w14:textId="77777777">
            <w:pPr>
              <w:spacing w:after="0" w:line="240" w:lineRule="auto"/>
              <w:jc w:val="right"/>
              <w:rPr>
                <w:rFonts w:ascii="Times New Roman" w:eastAsia="Times New Roman" w:hAnsi="Times New Roman" w:cs="Times New Roman"/>
                <w:color w:val="000000"/>
                <w:sz w:val="24"/>
                <w:szCs w:val="24"/>
                <w14:ligatures w14:val="none"/>
              </w:rPr>
            </w:pPr>
            <w:r w:rsidRPr="003309D2">
              <w:rPr>
                <w:rFonts w:ascii="Times New Roman" w:eastAsia="Times New Roman" w:hAnsi="Times New Roman" w:cs="Times New Roman"/>
                <w:color w:val="000000"/>
                <w:sz w:val="24"/>
                <w:szCs w:val="24"/>
                <w14:ligatures w14:val="none"/>
              </w:rPr>
              <w:t>52.17</w:t>
            </w:r>
          </w:p>
        </w:tc>
        <w:tc>
          <w:tcPr>
            <w:tcW w:w="1530" w:type="dxa"/>
            <w:tcBorders>
              <w:top w:val="nil"/>
              <w:left w:val="nil"/>
              <w:bottom w:val="single" w:sz="4" w:space="0" w:color="auto"/>
              <w:right w:val="single" w:sz="4" w:space="0" w:color="auto"/>
            </w:tcBorders>
            <w:noWrap/>
            <w:hideMark/>
          </w:tcPr>
          <w:p w:rsidR="001C4A0C" w:rsidRPr="003309D2" w:rsidP="00D54697" w14:paraId="30AA94A0" w14:textId="56D73E98">
            <w:pPr>
              <w:spacing w:after="0" w:line="240" w:lineRule="auto"/>
              <w:jc w:val="right"/>
              <w:rPr>
                <w:rFonts w:ascii="Times New Roman" w:eastAsia="Times New Roman" w:hAnsi="Times New Roman" w:cs="Times New Roman"/>
                <w:color w:val="000000"/>
                <w:sz w:val="24"/>
                <w:szCs w:val="24"/>
                <w14:ligatures w14:val="none"/>
              </w:rPr>
            </w:pPr>
            <w:r w:rsidRPr="003309D2">
              <w:rPr>
                <w:rFonts w:ascii="Times New Roman" w:eastAsia="Times New Roman" w:hAnsi="Times New Roman" w:cs="Times New Roman"/>
                <w:color w:val="000000"/>
                <w:sz w:val="24"/>
                <w:szCs w:val="24"/>
                <w14:ligatures w14:val="none"/>
              </w:rPr>
              <w:t>365</w:t>
            </w:r>
          </w:p>
        </w:tc>
        <w:tc>
          <w:tcPr>
            <w:tcW w:w="1350" w:type="dxa"/>
            <w:tcBorders>
              <w:top w:val="nil"/>
              <w:left w:val="nil"/>
              <w:bottom w:val="single" w:sz="4" w:space="0" w:color="auto"/>
              <w:right w:val="single" w:sz="4" w:space="0" w:color="auto"/>
            </w:tcBorders>
            <w:noWrap/>
            <w:hideMark/>
          </w:tcPr>
          <w:p w:rsidR="001C4A0C" w:rsidRPr="003309D2" w:rsidP="00D54697" w14:paraId="1B147F64" w14:textId="24CB2A99">
            <w:pPr>
              <w:spacing w:after="0" w:line="240" w:lineRule="auto"/>
              <w:jc w:val="right"/>
              <w:rPr>
                <w:rFonts w:ascii="Times New Roman" w:eastAsia="Times New Roman" w:hAnsi="Times New Roman" w:cs="Times New Roman"/>
                <w:color w:val="000000"/>
                <w:sz w:val="24"/>
                <w:szCs w:val="24"/>
                <w14:ligatures w14:val="none"/>
              </w:rPr>
            </w:pPr>
            <w:r w:rsidRPr="003309D2">
              <w:rPr>
                <w:rFonts w:ascii="Times New Roman" w:eastAsia="Times New Roman" w:hAnsi="Times New Roman" w:cs="Times New Roman"/>
                <w:color w:val="000000"/>
                <w:sz w:val="24"/>
                <w:szCs w:val="24"/>
                <w14:ligatures w14:val="none"/>
              </w:rPr>
              <w:t>19,041</w:t>
            </w:r>
          </w:p>
        </w:tc>
        <w:tc>
          <w:tcPr>
            <w:tcW w:w="1350" w:type="dxa"/>
            <w:tcBorders>
              <w:top w:val="nil"/>
              <w:left w:val="nil"/>
              <w:bottom w:val="single" w:sz="4" w:space="0" w:color="auto"/>
              <w:right w:val="single" w:sz="8" w:space="0" w:color="auto"/>
            </w:tcBorders>
            <w:noWrap/>
            <w:hideMark/>
          </w:tcPr>
          <w:p w:rsidR="001C4A0C" w:rsidRPr="003309D2" w:rsidP="00D54697" w14:paraId="7C67DAD1" w14:textId="39AF69B5">
            <w:pPr>
              <w:spacing w:after="0" w:line="240" w:lineRule="auto"/>
              <w:jc w:val="right"/>
              <w:rPr>
                <w:rFonts w:ascii="Times New Roman" w:eastAsia="Times New Roman" w:hAnsi="Times New Roman" w:cs="Times New Roman"/>
                <w:color w:val="000000"/>
                <w:sz w:val="24"/>
                <w:szCs w:val="24"/>
                <w14:ligatures w14:val="none"/>
              </w:rPr>
            </w:pPr>
            <w:r w:rsidRPr="003309D2">
              <w:rPr>
                <w:rFonts w:ascii="Times New Roman" w:eastAsia="Times New Roman" w:hAnsi="Times New Roman" w:cs="Times New Roman"/>
                <w:color w:val="000000"/>
                <w:sz w:val="24"/>
                <w:szCs w:val="24"/>
                <w14:ligatures w14:val="none"/>
              </w:rPr>
              <w:t>$</w:t>
            </w:r>
            <w:r w:rsidRPr="003309D2" w:rsidR="007D7F21">
              <w:rPr>
                <w:rFonts w:ascii="Times New Roman" w:eastAsia="Times New Roman" w:hAnsi="Times New Roman" w:cs="Times New Roman"/>
                <w:color w:val="000000"/>
                <w:sz w:val="24"/>
                <w:szCs w:val="24"/>
                <w14:ligatures w14:val="none"/>
              </w:rPr>
              <w:t>2,372,107</w:t>
            </w:r>
          </w:p>
        </w:tc>
      </w:tr>
      <w:tr w14:paraId="257593FC" w14:textId="77777777" w:rsidTr="003309D2">
        <w:tblPrEx>
          <w:tblW w:w="0" w:type="auto"/>
          <w:tblLayout w:type="fixed"/>
          <w:tblLook w:val="04A0"/>
        </w:tblPrEx>
        <w:trPr>
          <w:trHeight w:val="315"/>
        </w:trPr>
        <w:tc>
          <w:tcPr>
            <w:tcW w:w="3780" w:type="dxa"/>
            <w:tcBorders>
              <w:top w:val="nil"/>
              <w:left w:val="single" w:sz="8" w:space="0" w:color="auto"/>
              <w:bottom w:val="single" w:sz="4" w:space="0" w:color="auto"/>
              <w:right w:val="single" w:sz="4" w:space="0" w:color="auto"/>
            </w:tcBorders>
            <w:noWrap/>
            <w:hideMark/>
          </w:tcPr>
          <w:p w:rsidR="001C4A0C" w:rsidRPr="003309D2" w:rsidP="00D54697" w14:paraId="0F1B68FF" w14:textId="329090FD">
            <w:pPr>
              <w:spacing w:after="0" w:line="240" w:lineRule="auto"/>
              <w:rPr>
                <w:rFonts w:ascii="Times New Roman" w:eastAsia="Times New Roman" w:hAnsi="Times New Roman" w:cs="Times New Roman"/>
                <w:color w:val="000000"/>
                <w:sz w:val="24"/>
                <w:szCs w:val="24"/>
                <w14:ligatures w14:val="none"/>
              </w:rPr>
            </w:pPr>
            <w:r w:rsidRPr="003309D2">
              <w:rPr>
                <w:rFonts w:ascii="Times New Roman" w:eastAsia="Times New Roman" w:hAnsi="Times New Roman" w:cs="Times New Roman"/>
                <w:color w:val="000000"/>
                <w:sz w:val="24"/>
                <w:szCs w:val="24"/>
                <w14:ligatures w14:val="none"/>
              </w:rPr>
              <w:t>Insurance Companies </w:t>
            </w:r>
          </w:p>
        </w:tc>
        <w:tc>
          <w:tcPr>
            <w:tcW w:w="1350" w:type="dxa"/>
            <w:tcBorders>
              <w:top w:val="nil"/>
              <w:left w:val="nil"/>
              <w:bottom w:val="single" w:sz="4" w:space="0" w:color="auto"/>
              <w:right w:val="single" w:sz="4" w:space="0" w:color="auto"/>
            </w:tcBorders>
            <w:noWrap/>
            <w:hideMark/>
          </w:tcPr>
          <w:p w:rsidR="001C4A0C" w:rsidRPr="003309D2" w:rsidP="00D54697" w14:paraId="2997AF31" w14:textId="77777777">
            <w:pPr>
              <w:spacing w:after="0" w:line="240" w:lineRule="auto"/>
              <w:jc w:val="right"/>
              <w:rPr>
                <w:rFonts w:ascii="Times New Roman" w:eastAsia="Times New Roman" w:hAnsi="Times New Roman" w:cs="Times New Roman"/>
                <w:color w:val="000000"/>
                <w:sz w:val="24"/>
                <w:szCs w:val="24"/>
                <w14:ligatures w14:val="none"/>
              </w:rPr>
            </w:pPr>
            <w:r w:rsidRPr="003309D2">
              <w:rPr>
                <w:rFonts w:ascii="Times New Roman" w:eastAsia="Times New Roman" w:hAnsi="Times New Roman" w:cs="Times New Roman"/>
                <w:color w:val="000000"/>
                <w:sz w:val="24"/>
                <w:szCs w:val="24"/>
                <w14:ligatures w14:val="none"/>
              </w:rPr>
              <w:t>2.17</w:t>
            </w:r>
          </w:p>
        </w:tc>
        <w:tc>
          <w:tcPr>
            <w:tcW w:w="1530" w:type="dxa"/>
            <w:tcBorders>
              <w:top w:val="nil"/>
              <w:left w:val="nil"/>
              <w:bottom w:val="single" w:sz="4" w:space="0" w:color="auto"/>
              <w:right w:val="single" w:sz="4" w:space="0" w:color="auto"/>
            </w:tcBorders>
            <w:noWrap/>
            <w:hideMark/>
          </w:tcPr>
          <w:p w:rsidR="001C4A0C" w:rsidRPr="003309D2" w:rsidP="00D54697" w14:paraId="3B28B940" w14:textId="4E1E78A8">
            <w:pPr>
              <w:spacing w:after="0" w:line="240" w:lineRule="auto"/>
              <w:jc w:val="right"/>
              <w:rPr>
                <w:rFonts w:ascii="Times New Roman" w:eastAsia="Times New Roman" w:hAnsi="Times New Roman" w:cs="Times New Roman"/>
                <w:color w:val="000000"/>
                <w:sz w:val="24"/>
                <w:szCs w:val="24"/>
                <w14:ligatures w14:val="none"/>
              </w:rPr>
            </w:pPr>
            <w:r w:rsidRPr="003309D2">
              <w:rPr>
                <w:rFonts w:ascii="Times New Roman" w:eastAsia="Times New Roman" w:hAnsi="Times New Roman" w:cs="Times New Roman"/>
                <w:color w:val="000000"/>
                <w:sz w:val="24"/>
                <w:szCs w:val="24"/>
                <w14:ligatures w14:val="none"/>
              </w:rPr>
              <w:t>717</w:t>
            </w:r>
          </w:p>
        </w:tc>
        <w:tc>
          <w:tcPr>
            <w:tcW w:w="1350" w:type="dxa"/>
            <w:tcBorders>
              <w:top w:val="nil"/>
              <w:left w:val="nil"/>
              <w:bottom w:val="single" w:sz="4" w:space="0" w:color="auto"/>
              <w:right w:val="single" w:sz="4" w:space="0" w:color="auto"/>
            </w:tcBorders>
            <w:noWrap/>
            <w:hideMark/>
          </w:tcPr>
          <w:p w:rsidR="001C4A0C" w:rsidRPr="003309D2" w:rsidP="00D54697" w14:paraId="2457ACE9" w14:textId="41BA0282">
            <w:pPr>
              <w:spacing w:after="0" w:line="240" w:lineRule="auto"/>
              <w:jc w:val="right"/>
              <w:rPr>
                <w:rFonts w:ascii="Times New Roman" w:eastAsia="Times New Roman" w:hAnsi="Times New Roman" w:cs="Times New Roman"/>
                <w:color w:val="000000"/>
                <w:sz w:val="24"/>
                <w:szCs w:val="24"/>
                <w14:ligatures w14:val="none"/>
              </w:rPr>
            </w:pPr>
            <w:r w:rsidRPr="003309D2">
              <w:rPr>
                <w:rFonts w:ascii="Times New Roman" w:eastAsia="Times New Roman" w:hAnsi="Times New Roman" w:cs="Times New Roman"/>
                <w:color w:val="000000"/>
                <w:sz w:val="24"/>
                <w:szCs w:val="24"/>
                <w14:ligatures w14:val="none"/>
              </w:rPr>
              <w:t>1,554</w:t>
            </w:r>
          </w:p>
        </w:tc>
        <w:tc>
          <w:tcPr>
            <w:tcW w:w="1350" w:type="dxa"/>
            <w:tcBorders>
              <w:top w:val="nil"/>
              <w:left w:val="nil"/>
              <w:bottom w:val="single" w:sz="4" w:space="0" w:color="auto"/>
              <w:right w:val="single" w:sz="8" w:space="0" w:color="auto"/>
            </w:tcBorders>
            <w:noWrap/>
            <w:hideMark/>
          </w:tcPr>
          <w:p w:rsidR="001C4A0C" w:rsidRPr="003309D2" w:rsidP="00D54697" w14:paraId="52912642" w14:textId="5CF04490">
            <w:pPr>
              <w:spacing w:after="0" w:line="240" w:lineRule="auto"/>
              <w:jc w:val="right"/>
              <w:rPr>
                <w:rFonts w:ascii="Times New Roman" w:eastAsia="Times New Roman" w:hAnsi="Times New Roman" w:cs="Times New Roman"/>
                <w:color w:val="000000"/>
                <w:sz w:val="24"/>
                <w:szCs w:val="24"/>
                <w14:ligatures w14:val="none"/>
              </w:rPr>
            </w:pPr>
            <w:r w:rsidRPr="003309D2">
              <w:rPr>
                <w:rFonts w:ascii="Times New Roman" w:eastAsia="Times New Roman" w:hAnsi="Times New Roman" w:cs="Times New Roman"/>
                <w:color w:val="000000"/>
                <w:sz w:val="24"/>
                <w:szCs w:val="24"/>
                <w14:ligatures w14:val="none"/>
              </w:rPr>
              <w:t>$1</w:t>
            </w:r>
            <w:r w:rsidRPr="003309D2" w:rsidR="007D7F21">
              <w:rPr>
                <w:rFonts w:ascii="Times New Roman" w:eastAsia="Times New Roman" w:hAnsi="Times New Roman" w:cs="Times New Roman"/>
                <w:color w:val="000000"/>
                <w:sz w:val="24"/>
                <w:szCs w:val="24"/>
                <w14:ligatures w14:val="none"/>
              </w:rPr>
              <w:t>93,535</w:t>
            </w:r>
          </w:p>
        </w:tc>
      </w:tr>
      <w:tr w14:paraId="182897F3" w14:textId="77777777" w:rsidTr="003309D2">
        <w:tblPrEx>
          <w:tblW w:w="0" w:type="auto"/>
          <w:tblLayout w:type="fixed"/>
          <w:tblLook w:val="04A0"/>
        </w:tblPrEx>
        <w:trPr>
          <w:trHeight w:val="315"/>
        </w:trPr>
        <w:tc>
          <w:tcPr>
            <w:tcW w:w="3780" w:type="dxa"/>
            <w:tcBorders>
              <w:top w:val="nil"/>
              <w:left w:val="single" w:sz="8" w:space="0" w:color="auto"/>
              <w:bottom w:val="single" w:sz="4" w:space="0" w:color="auto"/>
              <w:right w:val="single" w:sz="4" w:space="0" w:color="auto"/>
            </w:tcBorders>
            <w:noWrap/>
          </w:tcPr>
          <w:p w:rsidR="001C4A0C" w:rsidRPr="003309D2" w:rsidP="00D54697" w14:paraId="1DA53D21" w14:textId="21B5F1D2">
            <w:pPr>
              <w:spacing w:after="0" w:line="240" w:lineRule="auto"/>
              <w:rPr>
                <w:rFonts w:ascii="Times New Roman" w:eastAsia="Times New Roman" w:hAnsi="Times New Roman" w:cs="Times New Roman"/>
                <w:color w:val="000000"/>
                <w:sz w:val="24"/>
                <w:szCs w:val="24"/>
                <w14:ligatures w14:val="none"/>
              </w:rPr>
            </w:pPr>
            <w:r w:rsidRPr="003309D2">
              <w:rPr>
                <w:rFonts w:ascii="Times New Roman" w:eastAsia="Times New Roman" w:hAnsi="Times New Roman" w:cs="Times New Roman"/>
                <w:color w:val="000000"/>
                <w:sz w:val="24"/>
                <w:szCs w:val="24"/>
                <w14:ligatures w14:val="none"/>
              </w:rPr>
              <w:t>Loan or Finance Companies</w:t>
            </w:r>
          </w:p>
        </w:tc>
        <w:tc>
          <w:tcPr>
            <w:tcW w:w="1350" w:type="dxa"/>
            <w:tcBorders>
              <w:top w:val="nil"/>
              <w:left w:val="nil"/>
              <w:bottom w:val="single" w:sz="4" w:space="0" w:color="auto"/>
              <w:right w:val="single" w:sz="4" w:space="0" w:color="auto"/>
            </w:tcBorders>
            <w:noWrap/>
          </w:tcPr>
          <w:p w:rsidR="001C4A0C" w:rsidRPr="003309D2" w:rsidP="00D54697" w14:paraId="6726EF95" w14:textId="6C4973CE">
            <w:pPr>
              <w:spacing w:after="0" w:line="240" w:lineRule="auto"/>
              <w:jc w:val="right"/>
              <w:rPr>
                <w:rFonts w:ascii="Times New Roman" w:eastAsia="Times New Roman" w:hAnsi="Times New Roman" w:cs="Times New Roman"/>
                <w:color w:val="000000"/>
                <w:sz w:val="24"/>
                <w:szCs w:val="24"/>
                <w14:ligatures w14:val="none"/>
              </w:rPr>
            </w:pPr>
            <w:r w:rsidRPr="003309D2">
              <w:rPr>
                <w:rFonts w:ascii="Times New Roman" w:eastAsia="Times New Roman" w:hAnsi="Times New Roman" w:cs="Times New Roman"/>
                <w:color w:val="000000"/>
                <w:sz w:val="24"/>
                <w:szCs w:val="24"/>
                <w14:ligatures w14:val="none"/>
              </w:rPr>
              <w:t>2.17</w:t>
            </w:r>
          </w:p>
        </w:tc>
        <w:tc>
          <w:tcPr>
            <w:tcW w:w="1530" w:type="dxa"/>
            <w:tcBorders>
              <w:top w:val="nil"/>
              <w:left w:val="nil"/>
              <w:bottom w:val="single" w:sz="4" w:space="0" w:color="auto"/>
              <w:right w:val="single" w:sz="4" w:space="0" w:color="auto"/>
            </w:tcBorders>
            <w:noWrap/>
          </w:tcPr>
          <w:p w:rsidR="001C4A0C" w:rsidRPr="003309D2" w:rsidP="00D54697" w14:paraId="5BC203BD" w14:textId="71F2FFCC">
            <w:pPr>
              <w:spacing w:after="0" w:line="240" w:lineRule="auto"/>
              <w:jc w:val="right"/>
              <w:rPr>
                <w:rFonts w:ascii="Times New Roman" w:eastAsia="Times New Roman" w:hAnsi="Times New Roman" w:cs="Times New Roman"/>
                <w:color w:val="000000"/>
                <w:sz w:val="24"/>
                <w:szCs w:val="24"/>
                <w14:ligatures w14:val="none"/>
              </w:rPr>
            </w:pPr>
            <w:r w:rsidRPr="003309D2">
              <w:rPr>
                <w:rFonts w:ascii="Times New Roman" w:eastAsia="Times New Roman" w:hAnsi="Times New Roman" w:cs="Times New Roman"/>
                <w:color w:val="000000"/>
                <w:sz w:val="24"/>
                <w:szCs w:val="24"/>
                <w14:ligatures w14:val="none"/>
              </w:rPr>
              <w:t>13,342</w:t>
            </w:r>
          </w:p>
        </w:tc>
        <w:tc>
          <w:tcPr>
            <w:tcW w:w="1350" w:type="dxa"/>
            <w:tcBorders>
              <w:top w:val="nil"/>
              <w:left w:val="nil"/>
              <w:bottom w:val="single" w:sz="4" w:space="0" w:color="auto"/>
              <w:right w:val="single" w:sz="4" w:space="0" w:color="auto"/>
            </w:tcBorders>
            <w:noWrap/>
          </w:tcPr>
          <w:p w:rsidR="001C4A0C" w:rsidRPr="003309D2" w:rsidP="00D54697" w14:paraId="3D1656FB" w14:textId="3AEF95C3">
            <w:pPr>
              <w:spacing w:after="0" w:line="240" w:lineRule="auto"/>
              <w:jc w:val="right"/>
              <w:rPr>
                <w:rFonts w:ascii="Times New Roman" w:eastAsia="Times New Roman" w:hAnsi="Times New Roman" w:cs="Times New Roman"/>
                <w:color w:val="000000"/>
                <w:sz w:val="24"/>
                <w:szCs w:val="24"/>
                <w14:ligatures w14:val="none"/>
              </w:rPr>
            </w:pPr>
            <w:r w:rsidRPr="003309D2">
              <w:rPr>
                <w:rFonts w:ascii="Times New Roman" w:eastAsia="Times New Roman" w:hAnsi="Times New Roman" w:cs="Times New Roman"/>
                <w:color w:val="000000"/>
                <w:sz w:val="24"/>
                <w:szCs w:val="24"/>
                <w14:ligatures w14:val="none"/>
              </w:rPr>
              <w:t>28,908</w:t>
            </w:r>
          </w:p>
        </w:tc>
        <w:tc>
          <w:tcPr>
            <w:tcW w:w="1350" w:type="dxa"/>
            <w:tcBorders>
              <w:top w:val="nil"/>
              <w:left w:val="nil"/>
              <w:bottom w:val="single" w:sz="4" w:space="0" w:color="auto"/>
              <w:right w:val="single" w:sz="8" w:space="0" w:color="auto"/>
            </w:tcBorders>
            <w:noWrap/>
          </w:tcPr>
          <w:p w:rsidR="001C4A0C" w:rsidRPr="003309D2" w:rsidP="007D7F21" w14:paraId="1D13B58D" w14:textId="1753772C">
            <w:pPr>
              <w:spacing w:after="0" w:line="240" w:lineRule="auto"/>
              <w:jc w:val="right"/>
              <w:rPr>
                <w:rFonts w:ascii="Times New Roman" w:eastAsia="Times New Roman" w:hAnsi="Times New Roman" w:cs="Times New Roman"/>
                <w:color w:val="000000"/>
                <w:sz w:val="24"/>
                <w:szCs w:val="24"/>
                <w14:ligatures w14:val="none"/>
              </w:rPr>
            </w:pPr>
            <w:r w:rsidRPr="003309D2">
              <w:rPr>
                <w:rFonts w:ascii="Times New Roman" w:eastAsia="Times New Roman" w:hAnsi="Times New Roman" w:cs="Times New Roman"/>
                <w:color w:val="000000"/>
                <w:sz w:val="24"/>
                <w:szCs w:val="24"/>
                <w14:ligatures w14:val="none"/>
              </w:rPr>
              <w:t>$3,601,317</w:t>
            </w:r>
          </w:p>
        </w:tc>
      </w:tr>
      <w:tr w14:paraId="6D52507D" w14:textId="77777777" w:rsidTr="003309D2">
        <w:tblPrEx>
          <w:tblW w:w="0" w:type="auto"/>
          <w:tblLayout w:type="fixed"/>
          <w:tblLook w:val="04A0"/>
        </w:tblPrEx>
        <w:trPr>
          <w:trHeight w:val="315"/>
        </w:trPr>
        <w:tc>
          <w:tcPr>
            <w:tcW w:w="3780" w:type="dxa"/>
            <w:tcBorders>
              <w:top w:val="nil"/>
              <w:left w:val="single" w:sz="8" w:space="0" w:color="auto"/>
              <w:bottom w:val="single" w:sz="4" w:space="0" w:color="auto"/>
              <w:right w:val="single" w:sz="4" w:space="0" w:color="auto"/>
            </w:tcBorders>
            <w:noWrap/>
          </w:tcPr>
          <w:p w:rsidR="001C4A0C" w:rsidRPr="003309D2" w:rsidP="00D54697" w14:paraId="2ABAF481" w14:textId="77777777">
            <w:pPr>
              <w:spacing w:after="0" w:line="240" w:lineRule="auto"/>
              <w:rPr>
                <w:rFonts w:ascii="Times New Roman" w:eastAsia="Times New Roman" w:hAnsi="Times New Roman" w:cs="Times New Roman"/>
                <w:b/>
                <w:bCs/>
                <w:color w:val="000000"/>
                <w:sz w:val="24"/>
                <w:szCs w:val="24"/>
                <w14:ligatures w14:val="none"/>
              </w:rPr>
            </w:pPr>
            <w:r w:rsidRPr="003309D2">
              <w:rPr>
                <w:rFonts w:ascii="Times New Roman" w:eastAsia="Times New Roman" w:hAnsi="Times New Roman" w:cs="Times New Roman"/>
                <w:b/>
                <w:bCs/>
                <w:color w:val="000000"/>
                <w:sz w:val="24"/>
                <w:szCs w:val="24"/>
                <w14:ligatures w14:val="none"/>
              </w:rPr>
              <w:t>Total</w:t>
            </w:r>
          </w:p>
        </w:tc>
        <w:tc>
          <w:tcPr>
            <w:tcW w:w="1350" w:type="dxa"/>
            <w:tcBorders>
              <w:top w:val="nil"/>
              <w:left w:val="nil"/>
              <w:bottom w:val="single" w:sz="4" w:space="0" w:color="auto"/>
              <w:right w:val="single" w:sz="4" w:space="0" w:color="auto"/>
            </w:tcBorders>
            <w:noWrap/>
          </w:tcPr>
          <w:p w:rsidR="001C4A0C" w:rsidRPr="003309D2" w:rsidP="00D54697" w14:paraId="6142B70D" w14:textId="77777777">
            <w:pPr>
              <w:spacing w:after="0" w:line="240" w:lineRule="auto"/>
              <w:jc w:val="right"/>
              <w:rPr>
                <w:rFonts w:ascii="Times New Roman" w:eastAsia="Times New Roman" w:hAnsi="Times New Roman" w:cs="Times New Roman"/>
                <w:b/>
                <w:bCs/>
                <w:color w:val="000000"/>
                <w:sz w:val="24"/>
                <w:szCs w:val="24"/>
                <w14:ligatures w14:val="none"/>
              </w:rPr>
            </w:pPr>
          </w:p>
        </w:tc>
        <w:tc>
          <w:tcPr>
            <w:tcW w:w="1530" w:type="dxa"/>
            <w:tcBorders>
              <w:top w:val="nil"/>
              <w:left w:val="nil"/>
              <w:bottom w:val="single" w:sz="4" w:space="0" w:color="auto"/>
              <w:right w:val="single" w:sz="4" w:space="0" w:color="auto"/>
            </w:tcBorders>
            <w:noWrap/>
          </w:tcPr>
          <w:p w:rsidR="001C4A0C" w:rsidRPr="003309D2" w:rsidP="00D54697" w14:paraId="577564C8" w14:textId="6BD00F91">
            <w:pPr>
              <w:spacing w:after="0" w:line="240" w:lineRule="auto"/>
              <w:jc w:val="right"/>
              <w:rPr>
                <w:rFonts w:ascii="Times New Roman" w:eastAsia="Times New Roman" w:hAnsi="Times New Roman" w:cs="Times New Roman"/>
                <w:b/>
                <w:bCs/>
                <w:color w:val="000000"/>
                <w:sz w:val="24"/>
                <w:szCs w:val="24"/>
                <w14:ligatures w14:val="none"/>
              </w:rPr>
            </w:pPr>
            <w:r w:rsidRPr="003309D2">
              <w:rPr>
                <w:rFonts w:ascii="Times New Roman" w:eastAsia="Times New Roman" w:hAnsi="Times New Roman" w:cs="Times New Roman"/>
                <w:b/>
                <w:bCs/>
                <w:color w:val="000000"/>
                <w:sz w:val="24"/>
                <w:szCs w:val="24"/>
                <w14:ligatures w14:val="none"/>
              </w:rPr>
              <w:t>14,424</w:t>
            </w:r>
          </w:p>
        </w:tc>
        <w:tc>
          <w:tcPr>
            <w:tcW w:w="1350" w:type="dxa"/>
            <w:tcBorders>
              <w:top w:val="nil"/>
              <w:left w:val="nil"/>
              <w:bottom w:val="single" w:sz="4" w:space="0" w:color="auto"/>
              <w:right w:val="single" w:sz="4" w:space="0" w:color="auto"/>
            </w:tcBorders>
            <w:noWrap/>
          </w:tcPr>
          <w:p w:rsidR="001C4A0C" w:rsidRPr="003309D2" w:rsidP="00D54697" w14:paraId="4DA83E8C" w14:textId="36236E39">
            <w:pPr>
              <w:spacing w:after="0" w:line="240" w:lineRule="auto"/>
              <w:jc w:val="right"/>
              <w:rPr>
                <w:rFonts w:ascii="Times New Roman" w:eastAsia="Times New Roman" w:hAnsi="Times New Roman" w:cs="Times New Roman"/>
                <w:b/>
                <w:bCs/>
                <w:color w:val="000000"/>
                <w:sz w:val="24"/>
                <w:szCs w:val="24"/>
                <w14:ligatures w14:val="none"/>
              </w:rPr>
            </w:pPr>
            <w:r w:rsidRPr="003309D2">
              <w:rPr>
                <w:rFonts w:ascii="Times New Roman" w:eastAsia="Times New Roman" w:hAnsi="Times New Roman" w:cs="Times New Roman"/>
                <w:b/>
                <w:bCs/>
                <w:color w:val="000000"/>
                <w:sz w:val="24"/>
                <w:szCs w:val="24"/>
                <w14:ligatures w14:val="none"/>
              </w:rPr>
              <w:t>49,502</w:t>
            </w:r>
          </w:p>
        </w:tc>
        <w:tc>
          <w:tcPr>
            <w:tcW w:w="1350" w:type="dxa"/>
            <w:tcBorders>
              <w:top w:val="nil"/>
              <w:left w:val="nil"/>
              <w:bottom w:val="single" w:sz="4" w:space="0" w:color="auto"/>
              <w:right w:val="single" w:sz="8" w:space="0" w:color="auto"/>
            </w:tcBorders>
            <w:noWrap/>
          </w:tcPr>
          <w:p w:rsidR="001C4A0C" w:rsidRPr="003309D2" w:rsidP="00D54697" w14:paraId="4A745E4B" w14:textId="642419FB">
            <w:pPr>
              <w:spacing w:after="0" w:line="240" w:lineRule="auto"/>
              <w:jc w:val="right"/>
              <w:rPr>
                <w:rFonts w:ascii="Times New Roman" w:eastAsia="Times New Roman" w:hAnsi="Times New Roman" w:cs="Times New Roman"/>
                <w:b/>
                <w:bCs/>
                <w:color w:val="000000"/>
                <w:sz w:val="24"/>
                <w:szCs w:val="24"/>
                <w14:ligatures w14:val="none"/>
              </w:rPr>
            </w:pPr>
            <w:r w:rsidRPr="003309D2">
              <w:rPr>
                <w:rFonts w:ascii="Times New Roman" w:eastAsia="Times New Roman" w:hAnsi="Times New Roman" w:cs="Times New Roman"/>
                <w:b/>
                <w:bCs/>
                <w:color w:val="000000"/>
                <w:sz w:val="24"/>
                <w:szCs w:val="24"/>
                <w14:ligatures w14:val="none"/>
              </w:rPr>
              <w:t>$</w:t>
            </w:r>
            <w:r w:rsidRPr="003309D2" w:rsidR="007D7F21">
              <w:rPr>
                <w:rFonts w:ascii="Times New Roman" w:eastAsia="Times New Roman" w:hAnsi="Times New Roman" w:cs="Times New Roman"/>
                <w:b/>
                <w:bCs/>
                <w:color w:val="000000"/>
                <w:sz w:val="24"/>
                <w:szCs w:val="24"/>
                <w14:ligatures w14:val="none"/>
              </w:rPr>
              <w:t>6,166,959</w:t>
            </w:r>
          </w:p>
        </w:tc>
      </w:tr>
      <w:tr w14:paraId="6FDBA16A" w14:textId="77777777" w:rsidTr="003D39AE">
        <w:tblPrEx>
          <w:tblW w:w="0" w:type="auto"/>
          <w:tblLayout w:type="fixed"/>
          <w:tblLook w:val="04A0"/>
        </w:tblPrEx>
        <w:trPr>
          <w:trHeight w:val="557"/>
        </w:trPr>
        <w:tc>
          <w:tcPr>
            <w:tcW w:w="9360" w:type="dxa"/>
            <w:gridSpan w:val="5"/>
            <w:tcBorders>
              <w:top w:val="single" w:sz="4" w:space="0" w:color="auto"/>
            </w:tcBorders>
            <w:noWrap/>
          </w:tcPr>
          <w:p w:rsidR="001C4A0C" w:rsidRPr="00D5024C" w:rsidP="007D7F21" w14:paraId="7526E2E7" w14:textId="744CF4E1">
            <w:pPr>
              <w:spacing w:after="0" w:line="240" w:lineRule="auto"/>
              <w:rPr>
                <w:rFonts w:ascii="Times New Roman" w:eastAsia="Times New Roman" w:hAnsi="Times New Roman" w:cs="Times New Roman"/>
                <w:color w:val="000000"/>
                <w:sz w:val="22"/>
                <w:szCs w:val="22"/>
                <w14:ligatures w14:val="none"/>
              </w:rPr>
            </w:pPr>
            <w:r w:rsidRPr="00421256">
              <w:rPr>
                <w:rFonts w:ascii="Times New Roman" w:hAnsi="Times New Roman" w:cs="Times New Roman"/>
                <w:sz w:val="20"/>
                <w:szCs w:val="20"/>
                <w:vertAlign w:val="superscript"/>
              </w:rPr>
              <w:t>a</w:t>
            </w:r>
            <w:r w:rsidRPr="00421256">
              <w:rPr>
                <w:rFonts w:ascii="Times New Roman" w:hAnsi="Times New Roman" w:cs="Times New Roman"/>
                <w:sz w:val="20"/>
                <w:szCs w:val="20"/>
              </w:rPr>
              <w:t xml:space="preserve"> Hourly burden figures presented here are rounded to the nearest </w:t>
            </w:r>
            <w:r w:rsidRPr="00421256">
              <w:rPr>
                <w:rFonts w:ascii="Times New Roman" w:hAnsi="Times New Roman" w:cs="Times New Roman"/>
                <w:sz w:val="20"/>
                <w:szCs w:val="20"/>
              </w:rPr>
              <w:t>hundredth</w:t>
            </w:r>
            <w:r w:rsidRPr="00421256">
              <w:rPr>
                <w:rFonts w:ascii="Times New Roman" w:hAnsi="Times New Roman" w:cs="Times New Roman"/>
                <w:sz w:val="20"/>
                <w:szCs w:val="20"/>
              </w:rPr>
              <w:t xml:space="preserve"> of an hour for presentation purposes.  Total burden figures are produced using unrounded figures for accuracy.</w:t>
            </w:r>
          </w:p>
        </w:tc>
      </w:tr>
    </w:tbl>
    <w:p w:rsidR="00607B1C" w:rsidP="007E20E6" w14:paraId="180355FA" w14:textId="77777777">
      <w:pPr>
        <w:pStyle w:val="PlainText"/>
        <w:rPr>
          <w:rFonts w:ascii="Times New Roman" w:eastAsia="MS Mincho" w:hAnsi="Times New Roman" w:cs="Times New Roman"/>
          <w:sz w:val="24"/>
          <w:szCs w:val="24"/>
        </w:rPr>
      </w:pPr>
    </w:p>
    <w:p w:rsidR="00240CCA" w:rsidRPr="008A4327" w:rsidP="008A4327" w14:paraId="6D2DEDD6" w14:textId="77777777">
      <w:pPr>
        <w:spacing w:after="160" w:line="259" w:lineRule="auto"/>
        <w:rPr>
          <w:rFonts w:ascii="Times New Roman" w:eastAsia="MS Mincho" w:hAnsi="Times New Roman" w:cs="Times New Roman"/>
          <w:sz w:val="24"/>
          <w:szCs w:val="24"/>
        </w:rPr>
      </w:pPr>
      <w:r w:rsidRPr="008A4327">
        <w:rPr>
          <w:rFonts w:ascii="Times New Roman" w:eastAsia="MS Mincho" w:hAnsi="Times New Roman" w:cs="Times New Roman"/>
          <w:sz w:val="24"/>
          <w:szCs w:val="24"/>
        </w:rPr>
        <w:t xml:space="preserve">13. </w:t>
      </w:r>
      <w:r w:rsidRPr="006E7219">
        <w:rPr>
          <w:rFonts w:ascii="Times New Roman" w:eastAsia="MS Mincho" w:hAnsi="Times New Roman" w:cs="Times New Roman"/>
          <w:sz w:val="24"/>
          <w:szCs w:val="24"/>
          <w:u w:val="single"/>
        </w:rPr>
        <w:t>Estimated total annual cost burden</w:t>
      </w:r>
      <w:r w:rsidRPr="008A4327">
        <w:rPr>
          <w:rFonts w:ascii="Times New Roman" w:eastAsia="MS Mincho" w:hAnsi="Times New Roman" w:cs="Times New Roman"/>
          <w:sz w:val="24"/>
          <w:szCs w:val="24"/>
        </w:rPr>
        <w:t>.</w:t>
      </w:r>
    </w:p>
    <w:p w:rsidR="000C287F" w:rsidRPr="008A4327" w:rsidP="00DB2B27" w14:paraId="3E777A50" w14:textId="2A9B2B4A">
      <w:pPr>
        <w:pStyle w:val="NPRMBody"/>
      </w:pPr>
      <w:r w:rsidRPr="008A4327">
        <w:rPr>
          <w:u w:val="single"/>
        </w:rPr>
        <w:t xml:space="preserve">Estimated Total Annual </w:t>
      </w:r>
      <w:r w:rsidRPr="008A4327" w:rsidR="003D39AE">
        <w:rPr>
          <w:u w:val="single"/>
        </w:rPr>
        <w:t>Aggregate</w:t>
      </w:r>
      <w:r w:rsidRPr="008A4327">
        <w:rPr>
          <w:u w:val="single"/>
        </w:rPr>
        <w:t xml:space="preserve"> Cost</w:t>
      </w:r>
      <w:r w:rsidRPr="008A4327">
        <w:rPr>
          <w:u w:val="single"/>
        </w:rPr>
        <w:t>:</w:t>
      </w:r>
      <w:r w:rsidRPr="008A4327">
        <w:t xml:space="preserve">  </w:t>
      </w:r>
      <w:r w:rsidRPr="008A4327" w:rsidR="00271ED0">
        <w:t>$</w:t>
      </w:r>
      <w:r w:rsidRPr="008A4327" w:rsidR="001D333F">
        <w:t xml:space="preserve">6,166,959 </w:t>
      </w:r>
      <w:r w:rsidRPr="008A4327" w:rsidR="004D3783">
        <w:t>(49,502 hours multiplied by $124.58)</w:t>
      </w:r>
      <w:r w:rsidRPr="008A4327" w:rsidR="001D333F">
        <w:t>.</w:t>
      </w:r>
      <w:r>
        <w:rPr>
          <w:rStyle w:val="FootnoteReference"/>
        </w:rPr>
        <w:footnoteReference w:id="12"/>
      </w:r>
      <w:r w:rsidR="002A4EB8">
        <w:br/>
      </w:r>
    </w:p>
    <w:p w:rsidR="00DB2B27" w:rsidP="003655A6" w14:paraId="130937FC" w14:textId="7D6AD8A0">
      <w:pPr>
        <w:spacing w:after="240"/>
        <w:ind w:firstLine="720"/>
        <w:rPr>
          <w:rFonts w:ascii="Times New Roman" w:hAnsi="Times New Roman" w:cs="Times New Roman"/>
          <w:sz w:val="24"/>
          <w:szCs w:val="24"/>
        </w:rPr>
      </w:pPr>
      <w:r w:rsidRPr="00F06EF0">
        <w:rPr>
          <w:rFonts w:ascii="Times New Roman" w:hAnsi="Times New Roman" w:cs="Times New Roman"/>
          <w:sz w:val="24"/>
          <w:szCs w:val="24"/>
        </w:rPr>
        <w:t xml:space="preserve">Table </w:t>
      </w:r>
      <w:r>
        <w:rPr>
          <w:rFonts w:ascii="Times New Roman" w:hAnsi="Times New Roman" w:cs="Times New Roman"/>
          <w:sz w:val="24"/>
          <w:szCs w:val="24"/>
        </w:rPr>
        <w:t>2</w:t>
      </w:r>
      <w:r w:rsidRPr="00F06EF0">
        <w:rPr>
          <w:rFonts w:ascii="Times New Roman" w:hAnsi="Times New Roman" w:cs="Times New Roman"/>
          <w:sz w:val="24"/>
          <w:szCs w:val="24"/>
        </w:rPr>
        <w:t xml:space="preserve"> is included here for illustrative purposes to highlight the portion of total</w:t>
      </w:r>
      <w:r w:rsidRPr="00F06EF0">
        <w:rPr>
          <w:rFonts w:ascii="Times New Roman" w:hAnsi="Times New Roman" w:cs="Times New Roman"/>
          <w:sz w:val="24"/>
          <w:szCs w:val="24"/>
        </w:rPr>
        <w:t xml:space="preserve"> </w:t>
      </w:r>
      <w:r w:rsidRPr="00F06EF0">
        <w:rPr>
          <w:rFonts w:ascii="Times New Roman" w:hAnsi="Times New Roman" w:cs="Times New Roman"/>
          <w:sz w:val="24"/>
          <w:szCs w:val="24"/>
        </w:rPr>
        <w:t>recordkeeping burden modified in connection with the proposed rule.</w:t>
      </w:r>
    </w:p>
    <w:p w:rsidR="005C542D" w:rsidRPr="003709EB" w:rsidP="003309D2" w14:paraId="51E551F1" w14:textId="77777777">
      <w:pPr>
        <w:spacing w:after="240"/>
        <w:rPr>
          <w:rFonts w:ascii="Times New Roman" w:eastAsia="MS Mincho" w:hAnsi="Times New Roman" w:cs="Times New Roman"/>
          <w:sz w:val="24"/>
          <w:szCs w:val="24"/>
        </w:rPr>
      </w:pPr>
    </w:p>
    <w:tbl>
      <w:tblPr>
        <w:tblW w:w="9360" w:type="dxa"/>
        <w:tblLook w:val="04A0"/>
      </w:tblPr>
      <w:tblGrid>
        <w:gridCol w:w="3771"/>
        <w:gridCol w:w="1357"/>
        <w:gridCol w:w="1534"/>
        <w:gridCol w:w="1402"/>
        <w:gridCol w:w="1296"/>
      </w:tblGrid>
      <w:tr w14:paraId="13635CEB" w14:textId="77777777" w:rsidTr="00D54697">
        <w:tblPrEx>
          <w:tblW w:w="9360" w:type="dxa"/>
          <w:tblLook w:val="04A0"/>
        </w:tblPrEx>
        <w:trPr>
          <w:trHeight w:val="250"/>
        </w:trPr>
        <w:tc>
          <w:tcPr>
            <w:tcW w:w="9360" w:type="dxa"/>
            <w:gridSpan w:val="5"/>
            <w:tcBorders>
              <w:bottom w:val="single" w:sz="4" w:space="0" w:color="auto"/>
            </w:tcBorders>
            <w:vAlign w:val="bottom"/>
          </w:tcPr>
          <w:p w:rsidR="0023661B" w:rsidRPr="003309D2" w:rsidP="00D54697" w14:paraId="1B8689DB" w14:textId="77777777">
            <w:pPr>
              <w:spacing w:after="0" w:line="240" w:lineRule="auto"/>
              <w:rPr>
                <w:rFonts w:ascii="Times New Roman" w:eastAsia="Times New Roman" w:hAnsi="Times New Roman" w:cs="Times New Roman"/>
                <w:b/>
                <w:bCs/>
                <w:sz w:val="24"/>
                <w:szCs w:val="24"/>
                <w14:ligatures w14:val="none"/>
              </w:rPr>
            </w:pPr>
            <w:r w:rsidRPr="003309D2">
              <w:rPr>
                <w:rFonts w:ascii="Times New Roman" w:eastAsia="Times New Roman" w:hAnsi="Times New Roman" w:cs="Times New Roman"/>
                <w:b/>
                <w:bCs/>
                <w:sz w:val="24"/>
                <w:szCs w:val="24"/>
                <w14:ligatures w14:val="none"/>
              </w:rPr>
              <w:t>Table 2.  Summary of the Pro Forma Change in PRA Burden and Cost Reflected in the AML/CFT Program Rule NPRM</w:t>
            </w:r>
          </w:p>
        </w:tc>
      </w:tr>
      <w:tr w14:paraId="07C999EC" w14:textId="77777777" w:rsidTr="003309D2">
        <w:tblPrEx>
          <w:tblW w:w="9360" w:type="dxa"/>
          <w:tblLook w:val="04A0"/>
        </w:tblPrEx>
        <w:trPr>
          <w:trHeight w:val="1160"/>
        </w:trPr>
        <w:tc>
          <w:tcPr>
            <w:tcW w:w="3773" w:type="dxa"/>
            <w:tcBorders>
              <w:top w:val="single" w:sz="4" w:space="0" w:color="auto"/>
              <w:left w:val="single" w:sz="8" w:space="0" w:color="auto"/>
              <w:bottom w:val="single" w:sz="4" w:space="0" w:color="auto"/>
              <w:right w:val="single" w:sz="4" w:space="0" w:color="auto"/>
            </w:tcBorders>
            <w:vAlign w:val="center"/>
            <w:hideMark/>
          </w:tcPr>
          <w:p w:rsidR="0023661B" w:rsidRPr="003309D2" w:rsidP="00D54697" w14:paraId="65F06C59" w14:textId="77777777">
            <w:pPr>
              <w:spacing w:after="0" w:line="240" w:lineRule="auto"/>
              <w:jc w:val="center"/>
              <w:rPr>
                <w:rFonts w:ascii="Times New Roman" w:eastAsia="Times New Roman" w:hAnsi="Times New Roman" w:cs="Times New Roman"/>
                <w:sz w:val="24"/>
                <w:szCs w:val="24"/>
                <w14:ligatures w14:val="none"/>
              </w:rPr>
            </w:pPr>
            <w:r w:rsidRPr="003309D2">
              <w:rPr>
                <w:rFonts w:ascii="Times New Roman" w:eastAsia="Times New Roman" w:hAnsi="Times New Roman" w:cs="Times New Roman"/>
                <w:sz w:val="24"/>
                <w:szCs w:val="24"/>
                <w14:ligatures w14:val="none"/>
              </w:rPr>
              <w:t>Type of Financial Institution</w:t>
            </w:r>
          </w:p>
        </w:tc>
        <w:tc>
          <w:tcPr>
            <w:tcW w:w="1357" w:type="dxa"/>
            <w:tcBorders>
              <w:top w:val="single" w:sz="4" w:space="0" w:color="auto"/>
              <w:left w:val="nil"/>
              <w:bottom w:val="single" w:sz="4" w:space="0" w:color="auto"/>
              <w:right w:val="single" w:sz="4" w:space="0" w:color="auto"/>
            </w:tcBorders>
            <w:vAlign w:val="center"/>
            <w:hideMark/>
          </w:tcPr>
          <w:p w:rsidR="0023661B" w:rsidRPr="003309D2" w:rsidP="00D54697" w14:paraId="53798F63" w14:textId="77777777">
            <w:pPr>
              <w:spacing w:after="0" w:line="240" w:lineRule="auto"/>
              <w:jc w:val="center"/>
              <w:rPr>
                <w:rFonts w:ascii="Times New Roman" w:eastAsia="Times New Roman" w:hAnsi="Times New Roman" w:cs="Times New Roman"/>
                <w:sz w:val="24"/>
                <w:szCs w:val="24"/>
                <w14:ligatures w14:val="none"/>
              </w:rPr>
            </w:pPr>
            <w:r w:rsidRPr="003309D2">
              <w:rPr>
                <w:rFonts w:ascii="Times New Roman" w:eastAsia="Times New Roman" w:hAnsi="Times New Roman" w:cs="Times New Roman"/>
                <w:sz w:val="24"/>
                <w:szCs w:val="24"/>
                <w14:ligatures w14:val="none"/>
              </w:rPr>
              <w:t>Change in Hours per Respondent</w:t>
            </w:r>
          </w:p>
        </w:tc>
        <w:tc>
          <w:tcPr>
            <w:tcW w:w="1534" w:type="dxa"/>
            <w:tcBorders>
              <w:top w:val="single" w:sz="4" w:space="0" w:color="auto"/>
              <w:left w:val="nil"/>
              <w:bottom w:val="single" w:sz="4" w:space="0" w:color="auto"/>
              <w:right w:val="single" w:sz="4" w:space="0" w:color="auto"/>
            </w:tcBorders>
            <w:vAlign w:val="center"/>
            <w:hideMark/>
          </w:tcPr>
          <w:p w:rsidR="0023661B" w:rsidRPr="003309D2" w:rsidP="00D54697" w14:paraId="797EA8DF" w14:textId="77777777">
            <w:pPr>
              <w:spacing w:after="0" w:line="240" w:lineRule="auto"/>
              <w:jc w:val="center"/>
              <w:rPr>
                <w:rFonts w:ascii="Times New Roman" w:eastAsia="Times New Roman" w:hAnsi="Times New Roman" w:cs="Times New Roman"/>
                <w:sz w:val="24"/>
                <w:szCs w:val="24"/>
                <w14:ligatures w14:val="none"/>
              </w:rPr>
            </w:pPr>
            <w:r w:rsidRPr="003309D2">
              <w:rPr>
                <w:rFonts w:ascii="Times New Roman" w:eastAsia="Times New Roman" w:hAnsi="Times New Roman" w:cs="Times New Roman"/>
                <w:sz w:val="24"/>
                <w:szCs w:val="24"/>
                <w14:ligatures w14:val="none"/>
              </w:rPr>
              <w:t>Number of Respondents</w:t>
            </w:r>
          </w:p>
        </w:tc>
        <w:tc>
          <w:tcPr>
            <w:tcW w:w="1402" w:type="dxa"/>
            <w:tcBorders>
              <w:top w:val="single" w:sz="4" w:space="0" w:color="auto"/>
              <w:left w:val="nil"/>
              <w:bottom w:val="single" w:sz="4" w:space="0" w:color="auto"/>
              <w:right w:val="single" w:sz="4" w:space="0" w:color="auto"/>
            </w:tcBorders>
            <w:vAlign w:val="center"/>
            <w:hideMark/>
          </w:tcPr>
          <w:p w:rsidR="0023661B" w:rsidRPr="003309D2" w:rsidP="00D54697" w14:paraId="0B216009" w14:textId="77777777">
            <w:pPr>
              <w:spacing w:after="0" w:line="240" w:lineRule="auto"/>
              <w:jc w:val="center"/>
              <w:rPr>
                <w:rFonts w:ascii="Times New Roman" w:eastAsia="Times New Roman" w:hAnsi="Times New Roman" w:cs="Times New Roman"/>
                <w:sz w:val="24"/>
                <w:szCs w:val="24"/>
                <w14:ligatures w14:val="none"/>
              </w:rPr>
            </w:pPr>
            <w:r w:rsidRPr="003309D2">
              <w:rPr>
                <w:rFonts w:ascii="Times New Roman" w:eastAsia="Times New Roman" w:hAnsi="Times New Roman" w:cs="Times New Roman"/>
                <w:sz w:val="24"/>
                <w:szCs w:val="24"/>
                <w14:ligatures w14:val="none"/>
              </w:rPr>
              <w:t>Change in Total Burden Hours</w:t>
            </w:r>
          </w:p>
        </w:tc>
        <w:tc>
          <w:tcPr>
            <w:tcW w:w="1294" w:type="dxa"/>
            <w:tcBorders>
              <w:top w:val="single" w:sz="4" w:space="0" w:color="auto"/>
              <w:left w:val="single" w:sz="4" w:space="0" w:color="auto"/>
              <w:bottom w:val="single" w:sz="4" w:space="0" w:color="auto"/>
              <w:right w:val="single" w:sz="4" w:space="0" w:color="auto"/>
            </w:tcBorders>
            <w:vAlign w:val="center"/>
          </w:tcPr>
          <w:p w:rsidR="0023661B" w:rsidRPr="003309D2" w:rsidP="00D54697" w14:paraId="1A6DF7D6" w14:textId="77777777">
            <w:pPr>
              <w:spacing w:after="0" w:line="240" w:lineRule="auto"/>
              <w:jc w:val="center"/>
              <w:rPr>
                <w:rFonts w:ascii="Times New Roman" w:eastAsia="Times New Roman" w:hAnsi="Times New Roman" w:cs="Times New Roman"/>
                <w:sz w:val="24"/>
                <w:szCs w:val="24"/>
                <w14:ligatures w14:val="none"/>
              </w:rPr>
            </w:pPr>
            <w:r w:rsidRPr="003309D2">
              <w:rPr>
                <w:rFonts w:ascii="Times New Roman" w:eastAsia="Times New Roman" w:hAnsi="Times New Roman" w:cs="Times New Roman"/>
                <w:sz w:val="24"/>
                <w:szCs w:val="24"/>
                <w14:ligatures w14:val="none"/>
              </w:rPr>
              <w:t>Change in Cost Due to Change in Burden</w:t>
            </w:r>
          </w:p>
        </w:tc>
      </w:tr>
      <w:tr w14:paraId="3494FAF8" w14:textId="77777777" w:rsidTr="003309D2">
        <w:tblPrEx>
          <w:tblW w:w="9360" w:type="dxa"/>
          <w:tblLook w:val="04A0"/>
        </w:tblPrEx>
        <w:trPr>
          <w:trHeight w:val="287"/>
        </w:trPr>
        <w:tc>
          <w:tcPr>
            <w:tcW w:w="3773" w:type="dxa"/>
            <w:tcBorders>
              <w:top w:val="single" w:sz="4" w:space="0" w:color="auto"/>
              <w:left w:val="single" w:sz="8" w:space="0" w:color="auto"/>
              <w:bottom w:val="single" w:sz="4" w:space="0" w:color="auto"/>
              <w:right w:val="single" w:sz="4" w:space="0" w:color="auto"/>
            </w:tcBorders>
          </w:tcPr>
          <w:p w:rsidR="006B488A" w:rsidRPr="003309D2" w:rsidP="003D39AE" w14:paraId="47C27FF1" w14:textId="03151E5C">
            <w:pPr>
              <w:spacing w:after="0" w:line="240" w:lineRule="auto"/>
              <w:rPr>
                <w:rFonts w:ascii="Times New Roman" w:eastAsia="Times New Roman" w:hAnsi="Times New Roman" w:cs="Times New Roman"/>
                <w:sz w:val="24"/>
                <w:szCs w:val="24"/>
                <w14:ligatures w14:val="none"/>
              </w:rPr>
            </w:pPr>
            <w:r w:rsidRPr="003309D2">
              <w:rPr>
                <w:rFonts w:ascii="Times New Roman" w:eastAsia="Times New Roman" w:hAnsi="Times New Roman" w:cs="Times New Roman"/>
                <w:color w:val="000000"/>
                <w:sz w:val="24"/>
                <w:szCs w:val="24"/>
                <w14:ligatures w14:val="none"/>
              </w:rPr>
              <w:t xml:space="preserve">Banks </w:t>
            </w:r>
            <w:r w:rsidRPr="003309D2" w:rsidR="007D308C">
              <w:rPr>
                <w:rFonts w:ascii="Times New Roman" w:eastAsia="Times New Roman" w:hAnsi="Times New Roman" w:cs="Times New Roman"/>
                <w:color w:val="000000"/>
                <w:sz w:val="24"/>
                <w:szCs w:val="24"/>
                <w14:ligatures w14:val="none"/>
              </w:rPr>
              <w:t>Lacking an</w:t>
            </w:r>
            <w:r w:rsidRPr="003309D2">
              <w:rPr>
                <w:rFonts w:ascii="Times New Roman" w:eastAsia="Times New Roman" w:hAnsi="Times New Roman" w:cs="Times New Roman"/>
                <w:color w:val="000000"/>
                <w:sz w:val="24"/>
                <w:szCs w:val="24"/>
                <w14:ligatures w14:val="none"/>
              </w:rPr>
              <w:t xml:space="preserve"> FFR</w:t>
            </w:r>
          </w:p>
        </w:tc>
        <w:tc>
          <w:tcPr>
            <w:tcW w:w="1357" w:type="dxa"/>
            <w:tcBorders>
              <w:top w:val="single" w:sz="4" w:space="0" w:color="auto"/>
              <w:left w:val="nil"/>
              <w:bottom w:val="single" w:sz="4" w:space="0" w:color="auto"/>
              <w:right w:val="single" w:sz="4" w:space="0" w:color="auto"/>
            </w:tcBorders>
            <w:vAlign w:val="center"/>
          </w:tcPr>
          <w:p w:rsidR="006B488A" w:rsidRPr="003309D2" w:rsidP="003D39AE" w14:paraId="0BB32076" w14:textId="7654FD43">
            <w:pPr>
              <w:spacing w:after="0" w:line="240" w:lineRule="auto"/>
              <w:jc w:val="right"/>
              <w:rPr>
                <w:rFonts w:ascii="Times New Roman" w:eastAsia="Times New Roman" w:hAnsi="Times New Roman" w:cs="Times New Roman"/>
                <w:sz w:val="24"/>
                <w:szCs w:val="24"/>
                <w14:ligatures w14:val="none"/>
              </w:rPr>
            </w:pPr>
            <w:r w:rsidRPr="003309D2">
              <w:rPr>
                <w:rFonts w:ascii="Times New Roman" w:eastAsia="Times New Roman" w:hAnsi="Times New Roman" w:cs="Times New Roman"/>
                <w:sz w:val="24"/>
                <w:szCs w:val="24"/>
                <w14:ligatures w14:val="none"/>
              </w:rPr>
              <w:t>50</w:t>
            </w:r>
          </w:p>
        </w:tc>
        <w:tc>
          <w:tcPr>
            <w:tcW w:w="1534" w:type="dxa"/>
            <w:tcBorders>
              <w:top w:val="single" w:sz="4" w:space="0" w:color="auto"/>
              <w:left w:val="nil"/>
              <w:bottom w:val="single" w:sz="4" w:space="0" w:color="auto"/>
              <w:right w:val="single" w:sz="4" w:space="0" w:color="auto"/>
            </w:tcBorders>
          </w:tcPr>
          <w:p w:rsidR="006B488A" w:rsidRPr="003309D2" w:rsidP="003D39AE" w14:paraId="71F11586" w14:textId="752B5016">
            <w:pPr>
              <w:spacing w:after="0" w:line="240" w:lineRule="auto"/>
              <w:jc w:val="right"/>
              <w:rPr>
                <w:rFonts w:ascii="Times New Roman" w:eastAsia="Times New Roman" w:hAnsi="Times New Roman" w:cs="Times New Roman"/>
                <w:sz w:val="24"/>
                <w:szCs w:val="24"/>
                <w14:ligatures w14:val="none"/>
              </w:rPr>
            </w:pPr>
            <w:r w:rsidRPr="003309D2">
              <w:rPr>
                <w:rFonts w:ascii="Times New Roman" w:eastAsia="Times New Roman" w:hAnsi="Times New Roman" w:cs="Times New Roman"/>
                <w:color w:val="000000"/>
                <w:sz w:val="24"/>
                <w:szCs w:val="24"/>
                <w14:ligatures w14:val="none"/>
              </w:rPr>
              <w:t>365</w:t>
            </w:r>
          </w:p>
        </w:tc>
        <w:tc>
          <w:tcPr>
            <w:tcW w:w="1402" w:type="dxa"/>
            <w:tcBorders>
              <w:top w:val="single" w:sz="4" w:space="0" w:color="auto"/>
              <w:left w:val="nil"/>
              <w:bottom w:val="single" w:sz="4" w:space="0" w:color="auto"/>
              <w:right w:val="single" w:sz="4" w:space="0" w:color="auto"/>
            </w:tcBorders>
            <w:vAlign w:val="center"/>
          </w:tcPr>
          <w:p w:rsidR="006B488A" w:rsidRPr="003309D2" w:rsidP="003D39AE" w14:paraId="48D39A88" w14:textId="3AFE88B8">
            <w:pPr>
              <w:spacing w:after="0" w:line="240" w:lineRule="auto"/>
              <w:jc w:val="right"/>
              <w:rPr>
                <w:rFonts w:ascii="Times New Roman" w:eastAsia="Times New Roman" w:hAnsi="Times New Roman" w:cs="Times New Roman"/>
                <w:sz w:val="24"/>
                <w:szCs w:val="24"/>
                <w14:ligatures w14:val="none"/>
              </w:rPr>
            </w:pPr>
            <w:r w:rsidRPr="003309D2">
              <w:rPr>
                <w:rFonts w:ascii="Times New Roman" w:eastAsia="Times New Roman" w:hAnsi="Times New Roman" w:cs="Times New Roman"/>
                <w:sz w:val="24"/>
                <w:szCs w:val="24"/>
                <w14:ligatures w14:val="none"/>
              </w:rPr>
              <w:t>18,250</w:t>
            </w:r>
          </w:p>
        </w:tc>
        <w:tc>
          <w:tcPr>
            <w:tcW w:w="1294" w:type="dxa"/>
            <w:tcBorders>
              <w:top w:val="single" w:sz="4" w:space="0" w:color="auto"/>
              <w:left w:val="single" w:sz="4" w:space="0" w:color="auto"/>
              <w:bottom w:val="single" w:sz="4" w:space="0" w:color="auto"/>
              <w:right w:val="single" w:sz="4" w:space="0" w:color="auto"/>
            </w:tcBorders>
            <w:vAlign w:val="center"/>
          </w:tcPr>
          <w:p w:rsidR="006B488A" w:rsidRPr="003309D2" w:rsidP="003D39AE" w14:paraId="78DC4020" w14:textId="041F12E1">
            <w:pPr>
              <w:spacing w:after="0" w:line="240" w:lineRule="auto"/>
              <w:jc w:val="right"/>
              <w:rPr>
                <w:rFonts w:ascii="Times New Roman" w:eastAsia="Times New Roman" w:hAnsi="Times New Roman" w:cs="Times New Roman"/>
                <w:sz w:val="24"/>
                <w:szCs w:val="24"/>
                <w14:ligatures w14:val="none"/>
              </w:rPr>
            </w:pPr>
            <w:r w:rsidRPr="003309D2">
              <w:rPr>
                <w:rFonts w:ascii="Times New Roman" w:eastAsia="Times New Roman" w:hAnsi="Times New Roman" w:cs="Times New Roman"/>
                <w:sz w:val="24"/>
                <w:szCs w:val="24"/>
                <w14:ligatures w14:val="none"/>
              </w:rPr>
              <w:t>$2,273,585</w:t>
            </w:r>
          </w:p>
        </w:tc>
      </w:tr>
      <w:tr w14:paraId="044174BC" w14:textId="77777777" w:rsidTr="003309D2">
        <w:tblPrEx>
          <w:tblW w:w="9360" w:type="dxa"/>
          <w:tblLook w:val="04A0"/>
        </w:tblPrEx>
        <w:trPr>
          <w:trHeight w:val="300"/>
        </w:trPr>
        <w:tc>
          <w:tcPr>
            <w:tcW w:w="3773" w:type="dxa"/>
            <w:tcBorders>
              <w:top w:val="nil"/>
              <w:left w:val="single" w:sz="8" w:space="0" w:color="auto"/>
              <w:bottom w:val="single" w:sz="4" w:space="0" w:color="auto"/>
              <w:right w:val="single" w:sz="4" w:space="0" w:color="auto"/>
            </w:tcBorders>
            <w:noWrap/>
            <w:hideMark/>
          </w:tcPr>
          <w:p w:rsidR="006B488A" w:rsidRPr="003309D2" w:rsidP="006B488A" w14:paraId="02BBB44C" w14:textId="3E323C89">
            <w:pPr>
              <w:spacing w:after="0" w:line="240" w:lineRule="auto"/>
              <w:rPr>
                <w:rFonts w:ascii="Times New Roman" w:eastAsia="Times New Roman" w:hAnsi="Times New Roman" w:cs="Times New Roman"/>
                <w:color w:val="000000"/>
                <w:sz w:val="24"/>
                <w:szCs w:val="24"/>
                <w14:ligatures w14:val="none"/>
              </w:rPr>
            </w:pPr>
            <w:r w:rsidRPr="003309D2">
              <w:rPr>
                <w:rFonts w:ascii="Times New Roman" w:eastAsia="Times New Roman" w:hAnsi="Times New Roman" w:cs="Times New Roman"/>
                <w:color w:val="000000"/>
                <w:sz w:val="24"/>
                <w:szCs w:val="24"/>
                <w14:ligatures w14:val="none"/>
              </w:rPr>
              <w:t>Insurance Companies</w:t>
            </w:r>
          </w:p>
        </w:tc>
        <w:tc>
          <w:tcPr>
            <w:tcW w:w="1357" w:type="dxa"/>
            <w:tcBorders>
              <w:top w:val="nil"/>
              <w:left w:val="nil"/>
              <w:bottom w:val="single" w:sz="4" w:space="0" w:color="auto"/>
              <w:right w:val="single" w:sz="4" w:space="0" w:color="auto"/>
            </w:tcBorders>
            <w:noWrap/>
            <w:hideMark/>
          </w:tcPr>
          <w:p w:rsidR="006B488A" w:rsidRPr="003309D2" w:rsidP="006B488A" w14:paraId="76006E6B" w14:textId="173E6A62">
            <w:pPr>
              <w:spacing w:after="0" w:line="240" w:lineRule="auto"/>
              <w:jc w:val="right"/>
              <w:rPr>
                <w:rFonts w:ascii="Times New Roman" w:eastAsia="Times New Roman" w:hAnsi="Times New Roman" w:cs="Times New Roman"/>
                <w:color w:val="000000"/>
                <w:sz w:val="24"/>
                <w:szCs w:val="24"/>
                <w14:ligatures w14:val="none"/>
              </w:rPr>
            </w:pPr>
            <w:r w:rsidRPr="003309D2">
              <w:rPr>
                <w:rFonts w:ascii="Times New Roman" w:eastAsia="Times New Roman" w:hAnsi="Times New Roman" w:cs="Times New Roman"/>
                <w:color w:val="000000"/>
                <w:sz w:val="24"/>
                <w:szCs w:val="24"/>
                <w14:ligatures w14:val="none"/>
              </w:rPr>
              <w:t>1</w:t>
            </w:r>
          </w:p>
        </w:tc>
        <w:tc>
          <w:tcPr>
            <w:tcW w:w="1534" w:type="dxa"/>
            <w:tcBorders>
              <w:top w:val="nil"/>
              <w:left w:val="nil"/>
              <w:bottom w:val="single" w:sz="4" w:space="0" w:color="auto"/>
              <w:right w:val="single" w:sz="4" w:space="0" w:color="auto"/>
            </w:tcBorders>
            <w:noWrap/>
            <w:hideMark/>
          </w:tcPr>
          <w:p w:rsidR="006B488A" w:rsidRPr="003309D2" w:rsidP="006B488A" w14:paraId="09990287" w14:textId="0300CB6F">
            <w:pPr>
              <w:spacing w:after="0" w:line="240" w:lineRule="auto"/>
              <w:jc w:val="right"/>
              <w:rPr>
                <w:rFonts w:ascii="Times New Roman" w:eastAsia="Times New Roman" w:hAnsi="Times New Roman" w:cs="Times New Roman"/>
                <w:color w:val="000000"/>
                <w:sz w:val="24"/>
                <w:szCs w:val="24"/>
                <w14:ligatures w14:val="none"/>
              </w:rPr>
            </w:pPr>
            <w:r w:rsidRPr="003309D2">
              <w:rPr>
                <w:rFonts w:ascii="Times New Roman" w:eastAsia="Times New Roman" w:hAnsi="Times New Roman" w:cs="Times New Roman"/>
                <w:color w:val="000000"/>
                <w:sz w:val="24"/>
                <w:szCs w:val="24"/>
                <w14:ligatures w14:val="none"/>
              </w:rPr>
              <w:t>717</w:t>
            </w:r>
          </w:p>
        </w:tc>
        <w:tc>
          <w:tcPr>
            <w:tcW w:w="1402" w:type="dxa"/>
            <w:tcBorders>
              <w:top w:val="nil"/>
              <w:left w:val="nil"/>
              <w:bottom w:val="single" w:sz="4" w:space="0" w:color="auto"/>
              <w:right w:val="single" w:sz="4" w:space="0" w:color="auto"/>
            </w:tcBorders>
            <w:noWrap/>
            <w:hideMark/>
          </w:tcPr>
          <w:p w:rsidR="006B488A" w:rsidRPr="003309D2" w:rsidP="006B488A" w14:paraId="4E029EA1" w14:textId="0B654813">
            <w:pPr>
              <w:spacing w:after="0" w:line="240" w:lineRule="auto"/>
              <w:jc w:val="right"/>
              <w:rPr>
                <w:rFonts w:ascii="Times New Roman" w:eastAsia="Times New Roman" w:hAnsi="Times New Roman" w:cs="Times New Roman"/>
                <w:color w:val="000000"/>
                <w:sz w:val="24"/>
                <w:szCs w:val="24"/>
                <w14:ligatures w14:val="none"/>
              </w:rPr>
            </w:pPr>
            <w:r w:rsidRPr="003309D2">
              <w:rPr>
                <w:rFonts w:ascii="Times New Roman" w:eastAsia="Times New Roman" w:hAnsi="Times New Roman" w:cs="Times New Roman"/>
                <w:color w:val="000000"/>
                <w:sz w:val="24"/>
                <w:szCs w:val="24"/>
                <w14:ligatures w14:val="none"/>
              </w:rPr>
              <w:t>717</w:t>
            </w:r>
          </w:p>
        </w:tc>
        <w:tc>
          <w:tcPr>
            <w:tcW w:w="1294" w:type="dxa"/>
            <w:tcBorders>
              <w:top w:val="single" w:sz="4" w:space="0" w:color="auto"/>
              <w:left w:val="single" w:sz="4" w:space="0" w:color="auto"/>
              <w:bottom w:val="single" w:sz="4" w:space="0" w:color="auto"/>
              <w:right w:val="single" w:sz="4" w:space="0" w:color="auto"/>
            </w:tcBorders>
          </w:tcPr>
          <w:p w:rsidR="006B488A" w:rsidRPr="003309D2" w:rsidP="006B488A" w14:paraId="558C590F" w14:textId="56B4C75E">
            <w:pPr>
              <w:spacing w:after="0" w:line="240" w:lineRule="auto"/>
              <w:jc w:val="right"/>
              <w:rPr>
                <w:rFonts w:ascii="Times New Roman" w:eastAsia="Times New Roman" w:hAnsi="Times New Roman" w:cs="Times New Roman"/>
                <w:color w:val="000000"/>
                <w:sz w:val="24"/>
                <w:szCs w:val="24"/>
                <w14:ligatures w14:val="none"/>
              </w:rPr>
            </w:pPr>
            <w:r w:rsidRPr="003309D2">
              <w:rPr>
                <w:rFonts w:ascii="Times New Roman" w:eastAsia="Times New Roman" w:hAnsi="Times New Roman" w:cs="Times New Roman"/>
                <w:color w:val="000000"/>
                <w:sz w:val="24"/>
                <w:szCs w:val="24"/>
                <w14:ligatures w14:val="none"/>
              </w:rPr>
              <w:t>$</w:t>
            </w:r>
            <w:r w:rsidRPr="003309D2" w:rsidR="000C287F">
              <w:rPr>
                <w:rFonts w:ascii="Times New Roman" w:eastAsia="Times New Roman" w:hAnsi="Times New Roman" w:cs="Times New Roman"/>
                <w:color w:val="000000"/>
                <w:sz w:val="24"/>
                <w:szCs w:val="24"/>
                <w14:ligatures w14:val="none"/>
              </w:rPr>
              <w:t>89,324</w:t>
            </w:r>
          </w:p>
        </w:tc>
      </w:tr>
      <w:tr w14:paraId="5D3D7AC1" w14:textId="77777777" w:rsidTr="003309D2">
        <w:tblPrEx>
          <w:tblW w:w="9360" w:type="dxa"/>
          <w:tblLook w:val="04A0"/>
        </w:tblPrEx>
        <w:trPr>
          <w:trHeight w:val="315"/>
        </w:trPr>
        <w:tc>
          <w:tcPr>
            <w:tcW w:w="3773" w:type="dxa"/>
            <w:tcBorders>
              <w:top w:val="single" w:sz="4" w:space="0" w:color="auto"/>
              <w:left w:val="single" w:sz="4" w:space="0" w:color="auto"/>
              <w:bottom w:val="single" w:sz="4" w:space="0" w:color="auto"/>
              <w:right w:val="single" w:sz="4" w:space="0" w:color="auto"/>
            </w:tcBorders>
            <w:noWrap/>
            <w:hideMark/>
          </w:tcPr>
          <w:p w:rsidR="006B488A" w:rsidRPr="003309D2" w:rsidP="006B488A" w14:paraId="5E28136E" w14:textId="6721299B">
            <w:pPr>
              <w:spacing w:after="0" w:line="240" w:lineRule="auto"/>
              <w:rPr>
                <w:rFonts w:ascii="Times New Roman" w:eastAsia="Times New Roman" w:hAnsi="Times New Roman" w:cs="Times New Roman"/>
                <w:color w:val="000000"/>
                <w:sz w:val="24"/>
                <w:szCs w:val="24"/>
                <w14:ligatures w14:val="none"/>
              </w:rPr>
            </w:pPr>
            <w:r w:rsidRPr="003309D2">
              <w:rPr>
                <w:rFonts w:ascii="Times New Roman" w:eastAsia="Times New Roman" w:hAnsi="Times New Roman" w:cs="Times New Roman"/>
                <w:color w:val="000000"/>
                <w:sz w:val="24"/>
                <w:szCs w:val="24"/>
                <w14:ligatures w14:val="none"/>
              </w:rPr>
              <w:t>Loan or Finance Companies</w:t>
            </w:r>
          </w:p>
        </w:tc>
        <w:tc>
          <w:tcPr>
            <w:tcW w:w="1357" w:type="dxa"/>
            <w:tcBorders>
              <w:top w:val="single" w:sz="4" w:space="0" w:color="auto"/>
              <w:left w:val="nil"/>
              <w:bottom w:val="single" w:sz="4" w:space="0" w:color="auto"/>
              <w:right w:val="single" w:sz="4" w:space="0" w:color="auto"/>
            </w:tcBorders>
            <w:noWrap/>
            <w:hideMark/>
          </w:tcPr>
          <w:p w:rsidR="006B488A" w:rsidRPr="003309D2" w:rsidP="006B488A" w14:paraId="427E5993" w14:textId="77777777">
            <w:pPr>
              <w:spacing w:after="0" w:line="240" w:lineRule="auto"/>
              <w:jc w:val="right"/>
              <w:rPr>
                <w:rFonts w:ascii="Times New Roman" w:eastAsia="Times New Roman" w:hAnsi="Times New Roman" w:cs="Times New Roman"/>
                <w:color w:val="000000"/>
                <w:sz w:val="24"/>
                <w:szCs w:val="24"/>
                <w14:ligatures w14:val="none"/>
              </w:rPr>
            </w:pPr>
            <w:r w:rsidRPr="003309D2">
              <w:rPr>
                <w:rFonts w:ascii="Times New Roman" w:eastAsia="Times New Roman" w:hAnsi="Times New Roman" w:cs="Times New Roman"/>
                <w:color w:val="000000"/>
                <w:sz w:val="24"/>
                <w:szCs w:val="24"/>
                <w14:ligatures w14:val="none"/>
              </w:rPr>
              <w:t>1</w:t>
            </w:r>
          </w:p>
        </w:tc>
        <w:tc>
          <w:tcPr>
            <w:tcW w:w="1534" w:type="dxa"/>
            <w:tcBorders>
              <w:top w:val="single" w:sz="4" w:space="0" w:color="auto"/>
              <w:left w:val="nil"/>
              <w:bottom w:val="single" w:sz="4" w:space="0" w:color="auto"/>
              <w:right w:val="single" w:sz="4" w:space="0" w:color="auto"/>
            </w:tcBorders>
            <w:noWrap/>
            <w:hideMark/>
          </w:tcPr>
          <w:p w:rsidR="006B488A" w:rsidRPr="003309D2" w:rsidP="006B488A" w14:paraId="043F247D" w14:textId="3648EA23">
            <w:pPr>
              <w:spacing w:after="0" w:line="240" w:lineRule="auto"/>
              <w:jc w:val="right"/>
              <w:rPr>
                <w:rFonts w:ascii="Times New Roman" w:eastAsia="Times New Roman" w:hAnsi="Times New Roman" w:cs="Times New Roman"/>
                <w:color w:val="000000"/>
                <w:sz w:val="24"/>
                <w:szCs w:val="24"/>
                <w14:ligatures w14:val="none"/>
              </w:rPr>
            </w:pPr>
            <w:r w:rsidRPr="003309D2">
              <w:rPr>
                <w:rFonts w:ascii="Times New Roman" w:eastAsia="Times New Roman" w:hAnsi="Times New Roman" w:cs="Times New Roman"/>
                <w:color w:val="000000"/>
                <w:sz w:val="24"/>
                <w:szCs w:val="24"/>
                <w14:ligatures w14:val="none"/>
              </w:rPr>
              <w:t>13,342</w:t>
            </w:r>
          </w:p>
        </w:tc>
        <w:tc>
          <w:tcPr>
            <w:tcW w:w="1402" w:type="dxa"/>
            <w:tcBorders>
              <w:top w:val="single" w:sz="4" w:space="0" w:color="auto"/>
              <w:left w:val="nil"/>
              <w:bottom w:val="single" w:sz="4" w:space="0" w:color="auto"/>
              <w:right w:val="single" w:sz="4" w:space="0" w:color="auto"/>
            </w:tcBorders>
            <w:noWrap/>
            <w:hideMark/>
          </w:tcPr>
          <w:p w:rsidR="006B488A" w:rsidRPr="003309D2" w:rsidP="006B488A" w14:paraId="056778D9" w14:textId="5AF9ADCD">
            <w:pPr>
              <w:spacing w:after="0" w:line="240" w:lineRule="auto"/>
              <w:jc w:val="right"/>
              <w:rPr>
                <w:rFonts w:ascii="Times New Roman" w:eastAsia="Times New Roman" w:hAnsi="Times New Roman" w:cs="Times New Roman"/>
                <w:color w:val="000000"/>
                <w:sz w:val="24"/>
                <w:szCs w:val="24"/>
                <w14:ligatures w14:val="none"/>
              </w:rPr>
            </w:pPr>
            <w:r w:rsidRPr="003309D2">
              <w:rPr>
                <w:rFonts w:ascii="Times New Roman" w:eastAsia="Times New Roman" w:hAnsi="Times New Roman" w:cs="Times New Roman"/>
                <w:color w:val="000000"/>
                <w:sz w:val="24"/>
                <w:szCs w:val="24"/>
                <w14:ligatures w14:val="none"/>
              </w:rPr>
              <w:t>13,342</w:t>
            </w:r>
          </w:p>
        </w:tc>
        <w:tc>
          <w:tcPr>
            <w:tcW w:w="1294" w:type="dxa"/>
            <w:tcBorders>
              <w:top w:val="single" w:sz="4" w:space="0" w:color="auto"/>
              <w:left w:val="single" w:sz="4" w:space="0" w:color="auto"/>
              <w:bottom w:val="single" w:sz="4" w:space="0" w:color="auto"/>
              <w:right w:val="single" w:sz="4" w:space="0" w:color="auto"/>
            </w:tcBorders>
          </w:tcPr>
          <w:p w:rsidR="006B488A" w:rsidRPr="003309D2" w:rsidP="006B488A" w14:paraId="6D93E177" w14:textId="2D6720AB">
            <w:pPr>
              <w:spacing w:after="0" w:line="240" w:lineRule="auto"/>
              <w:jc w:val="right"/>
              <w:rPr>
                <w:rFonts w:ascii="Times New Roman" w:eastAsia="Times New Roman" w:hAnsi="Times New Roman" w:cs="Times New Roman"/>
                <w:color w:val="000000"/>
                <w:sz w:val="24"/>
                <w:szCs w:val="24"/>
                <w14:ligatures w14:val="none"/>
              </w:rPr>
            </w:pPr>
            <w:r w:rsidRPr="003309D2">
              <w:rPr>
                <w:rFonts w:ascii="Times New Roman" w:eastAsia="Times New Roman" w:hAnsi="Times New Roman" w:cs="Times New Roman"/>
                <w:color w:val="000000"/>
                <w:sz w:val="24"/>
                <w:szCs w:val="24"/>
                <w14:ligatures w14:val="none"/>
              </w:rPr>
              <w:t>$</w:t>
            </w:r>
            <w:r w:rsidRPr="003309D2" w:rsidR="000C287F">
              <w:rPr>
                <w:rFonts w:ascii="Times New Roman" w:eastAsia="Times New Roman" w:hAnsi="Times New Roman" w:cs="Times New Roman"/>
                <w:color w:val="000000"/>
                <w:sz w:val="24"/>
                <w:szCs w:val="24"/>
                <w14:ligatures w14:val="none"/>
              </w:rPr>
              <w:t>1,662,146</w:t>
            </w:r>
          </w:p>
        </w:tc>
      </w:tr>
      <w:tr w14:paraId="3044972F" w14:textId="77777777" w:rsidTr="003309D2">
        <w:tblPrEx>
          <w:tblW w:w="9360" w:type="dxa"/>
          <w:tblLook w:val="04A0"/>
        </w:tblPrEx>
        <w:trPr>
          <w:trHeight w:val="315"/>
        </w:trPr>
        <w:tc>
          <w:tcPr>
            <w:tcW w:w="3773" w:type="dxa"/>
            <w:tcBorders>
              <w:top w:val="single" w:sz="4" w:space="0" w:color="auto"/>
              <w:left w:val="single" w:sz="8" w:space="0" w:color="auto"/>
              <w:bottom w:val="single" w:sz="8" w:space="0" w:color="auto"/>
              <w:right w:val="single" w:sz="4" w:space="0" w:color="auto"/>
            </w:tcBorders>
            <w:noWrap/>
          </w:tcPr>
          <w:p w:rsidR="006B488A" w:rsidRPr="003309D2" w:rsidP="006B488A" w14:paraId="1A9B26F1" w14:textId="77777777">
            <w:pPr>
              <w:spacing w:after="0" w:line="240" w:lineRule="auto"/>
              <w:rPr>
                <w:rFonts w:ascii="Times New Roman" w:eastAsia="Times New Roman" w:hAnsi="Times New Roman" w:cs="Times New Roman"/>
                <w:color w:val="000000"/>
                <w:sz w:val="24"/>
                <w:szCs w:val="24"/>
                <w14:ligatures w14:val="none"/>
              </w:rPr>
            </w:pPr>
            <w:r w:rsidRPr="003309D2">
              <w:rPr>
                <w:rFonts w:ascii="Times New Roman" w:eastAsia="Times New Roman" w:hAnsi="Times New Roman" w:cs="Times New Roman"/>
                <w:color w:val="000000"/>
                <w:sz w:val="24"/>
                <w:szCs w:val="24"/>
                <w14:ligatures w14:val="none"/>
              </w:rPr>
              <w:t>Total</w:t>
            </w:r>
          </w:p>
        </w:tc>
        <w:tc>
          <w:tcPr>
            <w:tcW w:w="1357" w:type="dxa"/>
            <w:tcBorders>
              <w:top w:val="single" w:sz="4" w:space="0" w:color="auto"/>
              <w:left w:val="nil"/>
              <w:bottom w:val="single" w:sz="8" w:space="0" w:color="auto"/>
              <w:right w:val="single" w:sz="4" w:space="0" w:color="auto"/>
            </w:tcBorders>
            <w:noWrap/>
          </w:tcPr>
          <w:p w:rsidR="006B488A" w:rsidRPr="003309D2" w:rsidP="006B488A" w14:paraId="4D31A372" w14:textId="77777777">
            <w:pPr>
              <w:spacing w:after="0" w:line="240" w:lineRule="auto"/>
              <w:jc w:val="right"/>
              <w:rPr>
                <w:rFonts w:ascii="Times New Roman" w:eastAsia="Times New Roman" w:hAnsi="Times New Roman" w:cs="Times New Roman"/>
                <w:color w:val="000000"/>
                <w:sz w:val="24"/>
                <w:szCs w:val="24"/>
                <w14:ligatures w14:val="none"/>
              </w:rPr>
            </w:pPr>
          </w:p>
        </w:tc>
        <w:tc>
          <w:tcPr>
            <w:tcW w:w="1534" w:type="dxa"/>
            <w:tcBorders>
              <w:top w:val="single" w:sz="4" w:space="0" w:color="auto"/>
              <w:left w:val="nil"/>
              <w:bottom w:val="single" w:sz="8" w:space="0" w:color="auto"/>
              <w:right w:val="single" w:sz="4" w:space="0" w:color="auto"/>
            </w:tcBorders>
            <w:noWrap/>
          </w:tcPr>
          <w:p w:rsidR="006B488A" w:rsidRPr="003309D2" w:rsidP="006B488A" w14:paraId="04583997" w14:textId="2BC1FA30">
            <w:pPr>
              <w:spacing w:after="0" w:line="240" w:lineRule="auto"/>
              <w:jc w:val="right"/>
              <w:rPr>
                <w:rFonts w:ascii="Times New Roman" w:eastAsia="Times New Roman" w:hAnsi="Times New Roman" w:cs="Times New Roman"/>
                <w:color w:val="000000"/>
                <w:sz w:val="24"/>
                <w:szCs w:val="24"/>
                <w14:ligatures w14:val="none"/>
              </w:rPr>
            </w:pPr>
            <w:r w:rsidRPr="003309D2">
              <w:rPr>
                <w:rFonts w:ascii="Times New Roman" w:eastAsia="Times New Roman" w:hAnsi="Times New Roman" w:cs="Times New Roman"/>
                <w:b/>
                <w:bCs/>
                <w:color w:val="000000"/>
                <w:sz w:val="24"/>
                <w:szCs w:val="24"/>
                <w14:ligatures w14:val="none"/>
              </w:rPr>
              <w:t>14,424</w:t>
            </w:r>
          </w:p>
        </w:tc>
        <w:tc>
          <w:tcPr>
            <w:tcW w:w="1402" w:type="dxa"/>
            <w:tcBorders>
              <w:top w:val="single" w:sz="4" w:space="0" w:color="auto"/>
              <w:left w:val="nil"/>
              <w:bottom w:val="single" w:sz="8" w:space="0" w:color="auto"/>
              <w:right w:val="single" w:sz="4" w:space="0" w:color="auto"/>
            </w:tcBorders>
            <w:noWrap/>
          </w:tcPr>
          <w:p w:rsidR="006B488A" w:rsidRPr="003309D2" w:rsidP="006B488A" w14:paraId="47A5FBEB" w14:textId="3F57F0CD">
            <w:pPr>
              <w:spacing w:after="0" w:line="240" w:lineRule="auto"/>
              <w:jc w:val="right"/>
              <w:rPr>
                <w:rFonts w:ascii="Times New Roman" w:eastAsia="Times New Roman" w:hAnsi="Times New Roman" w:cs="Times New Roman"/>
                <w:b/>
                <w:bCs/>
                <w:color w:val="000000"/>
                <w:sz w:val="24"/>
                <w:szCs w:val="24"/>
                <w14:ligatures w14:val="none"/>
              </w:rPr>
            </w:pPr>
            <w:r w:rsidRPr="003309D2">
              <w:rPr>
                <w:rFonts w:ascii="Times New Roman" w:eastAsia="Times New Roman" w:hAnsi="Times New Roman" w:cs="Times New Roman"/>
                <w:b/>
                <w:bCs/>
                <w:color w:val="000000"/>
                <w:sz w:val="24"/>
                <w:szCs w:val="24"/>
                <w14:ligatures w14:val="none"/>
              </w:rPr>
              <w:t>32,309</w:t>
            </w:r>
          </w:p>
        </w:tc>
        <w:tc>
          <w:tcPr>
            <w:tcW w:w="1294" w:type="dxa"/>
            <w:tcBorders>
              <w:top w:val="single" w:sz="4" w:space="0" w:color="auto"/>
              <w:left w:val="single" w:sz="4" w:space="0" w:color="auto"/>
              <w:bottom w:val="single" w:sz="4" w:space="0" w:color="auto"/>
              <w:right w:val="single" w:sz="4" w:space="0" w:color="auto"/>
            </w:tcBorders>
          </w:tcPr>
          <w:p w:rsidR="006B488A" w:rsidRPr="003309D2" w:rsidP="006B488A" w14:paraId="45BE4AB3" w14:textId="3C60C186">
            <w:pPr>
              <w:spacing w:after="0" w:line="240" w:lineRule="auto"/>
              <w:jc w:val="right"/>
              <w:rPr>
                <w:rFonts w:ascii="Times New Roman" w:eastAsia="Times New Roman" w:hAnsi="Times New Roman" w:cs="Times New Roman"/>
                <w:b/>
                <w:bCs/>
                <w:color w:val="000000"/>
                <w:sz w:val="24"/>
                <w:szCs w:val="24"/>
                <w14:ligatures w14:val="none"/>
              </w:rPr>
            </w:pPr>
            <w:r w:rsidRPr="003309D2">
              <w:rPr>
                <w:rFonts w:ascii="Times New Roman" w:eastAsia="Times New Roman" w:hAnsi="Times New Roman" w:cs="Times New Roman"/>
                <w:b/>
                <w:bCs/>
                <w:color w:val="000000"/>
                <w:sz w:val="24"/>
                <w:szCs w:val="24"/>
                <w14:ligatures w14:val="none"/>
              </w:rPr>
              <w:t>$</w:t>
            </w:r>
            <w:r w:rsidRPr="003309D2" w:rsidR="000C287F">
              <w:rPr>
                <w:rFonts w:ascii="Times New Roman" w:eastAsia="Times New Roman" w:hAnsi="Times New Roman" w:cs="Times New Roman"/>
                <w:b/>
                <w:bCs/>
                <w:color w:val="000000"/>
                <w:sz w:val="24"/>
                <w:szCs w:val="24"/>
                <w14:ligatures w14:val="none"/>
              </w:rPr>
              <w:t>4,025,055</w:t>
            </w:r>
          </w:p>
        </w:tc>
      </w:tr>
    </w:tbl>
    <w:p w:rsidR="0023661B" w:rsidRPr="003709EB" w:rsidP="0023661B" w14:paraId="5268BDF7" w14:textId="77777777">
      <w:pPr>
        <w:spacing w:after="240"/>
        <w:rPr>
          <w:rFonts w:ascii="Times New Roman" w:eastAsia="MS Mincho" w:hAnsi="Times New Roman" w:cs="Times New Roman"/>
          <w:sz w:val="24"/>
          <w:szCs w:val="24"/>
        </w:rPr>
      </w:pPr>
    </w:p>
    <w:p w:rsidR="00240CCA" w:rsidRPr="001C782D" w:rsidP="00240CCA" w14:paraId="1D18EEF1" w14:textId="77777777">
      <w:pPr>
        <w:spacing w:after="240"/>
        <w:rPr>
          <w:rFonts w:ascii="Times New Roman" w:hAnsi="Times New Roman" w:cs="Times New Roman"/>
          <w:sz w:val="24"/>
          <w:szCs w:val="24"/>
          <w:u w:val="single"/>
        </w:rPr>
      </w:pPr>
      <w:r w:rsidRPr="365DBCC6">
        <w:rPr>
          <w:rFonts w:ascii="Times New Roman" w:hAnsi="Times New Roman" w:cs="Times New Roman"/>
          <w:sz w:val="24"/>
          <w:szCs w:val="24"/>
        </w:rPr>
        <w:t xml:space="preserve">14. </w:t>
      </w:r>
      <w:r w:rsidRPr="365DBCC6">
        <w:rPr>
          <w:rFonts w:ascii="Times New Roman" w:hAnsi="Times New Roman" w:cs="Times New Roman"/>
          <w:sz w:val="24"/>
          <w:szCs w:val="24"/>
          <w:u w:val="single"/>
        </w:rPr>
        <w:t>Estimated annual cost to the Federal government.</w:t>
      </w:r>
    </w:p>
    <w:p w:rsidR="00546393" w:rsidP="00DB2B27" w14:paraId="275B1F73" w14:textId="30E7ADC0">
      <w:pPr>
        <w:pStyle w:val="NPRMBody"/>
        <w:rPr>
          <w:color w:val="0F4761" w:themeColor="accent1" w:themeShade="BF"/>
        </w:rPr>
      </w:pPr>
      <w:r w:rsidRPr="3EF6E6B0">
        <w:rPr>
          <w:rFonts w:eastAsia="Times New Roman"/>
        </w:rPr>
        <w:t>To implement the</w:t>
      </w:r>
      <w:r w:rsidRPr="3EF6E6B0" w:rsidR="679A95DA">
        <w:rPr>
          <w:rFonts w:eastAsia="Times New Roman"/>
        </w:rPr>
        <w:t xml:space="preserve"> </w:t>
      </w:r>
      <w:r w:rsidRPr="3EF6E6B0">
        <w:rPr>
          <w:rFonts w:eastAsia="Times New Roman"/>
        </w:rPr>
        <w:t>AML</w:t>
      </w:r>
      <w:r w:rsidR="00254B73">
        <w:rPr>
          <w:rFonts w:eastAsia="Times New Roman"/>
        </w:rPr>
        <w:t>/CFT</w:t>
      </w:r>
      <w:r w:rsidRPr="3EF6E6B0">
        <w:rPr>
          <w:rFonts w:eastAsia="Times New Roman"/>
        </w:rPr>
        <w:t xml:space="preserve"> program for </w:t>
      </w:r>
      <w:r w:rsidR="00254B73">
        <w:rPr>
          <w:rFonts w:eastAsia="Times New Roman"/>
        </w:rPr>
        <w:t xml:space="preserve">banks </w:t>
      </w:r>
      <w:r w:rsidR="00742E29">
        <w:rPr>
          <w:rFonts w:eastAsia="Times New Roman"/>
        </w:rPr>
        <w:t xml:space="preserve">lacking </w:t>
      </w:r>
      <w:r w:rsidR="00254B73">
        <w:rPr>
          <w:rFonts w:eastAsia="Times New Roman"/>
        </w:rPr>
        <w:t xml:space="preserve">an FFR, </w:t>
      </w:r>
      <w:r w:rsidRPr="3EF6E6B0">
        <w:rPr>
          <w:rFonts w:eastAsia="Times New Roman"/>
          <w:color w:val="000000" w:themeColor="text1"/>
        </w:rPr>
        <w:t>insurance companies</w:t>
      </w:r>
      <w:r w:rsidRPr="3EF6E6B0">
        <w:rPr>
          <w:rFonts w:eastAsia="Times New Roman"/>
        </w:rPr>
        <w:t xml:space="preserve">, </w:t>
      </w:r>
      <w:r w:rsidR="00254B73">
        <w:rPr>
          <w:rFonts w:eastAsia="Times New Roman"/>
        </w:rPr>
        <w:t xml:space="preserve">and </w:t>
      </w:r>
      <w:r w:rsidRPr="3EF6E6B0">
        <w:rPr>
          <w:rFonts w:eastAsia="Times New Roman"/>
        </w:rPr>
        <w:t>loan or finance companies</w:t>
      </w:r>
      <w:r w:rsidR="00254B73">
        <w:rPr>
          <w:rFonts w:eastAsia="Times New Roman"/>
        </w:rPr>
        <w:t xml:space="preserve">, </w:t>
      </w:r>
      <w:r w:rsidRPr="3EF6E6B0">
        <w:rPr>
          <w:rFonts w:eastAsia="Times New Roman"/>
        </w:rPr>
        <w:t xml:space="preserve">FinCEN expects to incur operating costs </w:t>
      </w:r>
      <w:r w:rsidR="007B1ED6">
        <w:rPr>
          <w:rFonts w:eastAsia="Times New Roman"/>
        </w:rPr>
        <w:t xml:space="preserve">of </w:t>
      </w:r>
      <w:r w:rsidRPr="3EF6E6B0">
        <w:rPr>
          <w:rFonts w:eastAsia="Times New Roman"/>
        </w:rPr>
        <w:t>approximately $0.9</w:t>
      </w:r>
      <w:r w:rsidRPr="4CC2ED7F" w:rsidR="00A645B9">
        <w:t> </w:t>
      </w:r>
      <w:r w:rsidRPr="3EF6E6B0">
        <w:rPr>
          <w:rFonts w:eastAsia="Times New Roman"/>
        </w:rPr>
        <w:t xml:space="preserve">million in the first effective year of the final rule and </w:t>
      </w:r>
      <w:r w:rsidR="00E848D0">
        <w:rPr>
          <w:rFonts w:eastAsia="Times New Roman"/>
        </w:rPr>
        <w:t xml:space="preserve">an average of </w:t>
      </w:r>
      <w:r w:rsidRPr="3EF6E6B0">
        <w:rPr>
          <w:rFonts w:eastAsia="Times New Roman"/>
        </w:rPr>
        <w:t xml:space="preserve">$0.8 million in </w:t>
      </w:r>
      <w:r w:rsidR="00E848D0">
        <w:rPr>
          <w:rFonts w:eastAsia="Times New Roman"/>
        </w:rPr>
        <w:t>each</w:t>
      </w:r>
      <w:r w:rsidRPr="3EF6E6B0">
        <w:rPr>
          <w:rFonts w:eastAsia="Times New Roman"/>
        </w:rPr>
        <w:t xml:space="preserve"> subsequent year.</w:t>
      </w:r>
      <w:r>
        <w:rPr>
          <w:rStyle w:val="FootnoteReference"/>
          <w:rFonts w:eastAsia="Times New Roman"/>
        </w:rPr>
        <w:footnoteReference w:id="13"/>
      </w:r>
      <w:r w:rsidRPr="3EF6E6B0">
        <w:rPr>
          <w:rFonts w:eastAsia="Times New Roman"/>
        </w:rPr>
        <w:t xml:space="preserve"> </w:t>
      </w:r>
      <w:r w:rsidR="00254B73">
        <w:rPr>
          <w:rFonts w:eastAsia="Times New Roman"/>
        </w:rPr>
        <w:t xml:space="preserve"> </w:t>
      </w:r>
      <w:r w:rsidRPr="3EF6E6B0">
        <w:rPr>
          <w:rFonts w:eastAsia="Times New Roman"/>
        </w:rPr>
        <w:t>These estimates include anticipated expenses related to rulemaking and maintenance, stakeholder outreach and support, compliance monitoring, and potential enforcement activities</w:t>
      </w:r>
      <w:r w:rsidR="00A645B9">
        <w:rPr>
          <w:rFonts w:eastAsia="Times New Roman"/>
        </w:rPr>
        <w:t>,</w:t>
      </w:r>
      <w:r w:rsidRPr="3EF6E6B0">
        <w:rPr>
          <w:rFonts w:eastAsia="Times New Roman"/>
        </w:rPr>
        <w:t xml:space="preserve"> as well as incremental increases to administrative expenses</w:t>
      </w:r>
      <w:r w:rsidRPr="003D39AE">
        <w:rPr>
          <w:rFonts w:eastAsia="Times New Roman"/>
        </w:rPr>
        <w:t>.</w:t>
      </w:r>
      <w:r w:rsidRPr="3EF6E6B0">
        <w:rPr>
          <w:color w:val="0F4761" w:themeColor="accent1" w:themeShade="BF"/>
        </w:rPr>
        <w:t xml:space="preserve"> </w:t>
      </w:r>
      <w:r w:rsidR="002A4EB8">
        <w:rPr>
          <w:color w:val="0F4761" w:themeColor="accent1" w:themeShade="BF"/>
        </w:rPr>
        <w:br/>
      </w:r>
    </w:p>
    <w:p w:rsidR="00240CCA" w:rsidRPr="00546393" w:rsidP="00546393" w14:paraId="60935A6E" w14:textId="6598860A">
      <w:pPr>
        <w:spacing w:after="160" w:line="259" w:lineRule="auto"/>
        <w:rPr>
          <w:rFonts w:ascii="Times New Roman" w:hAnsi="Times New Roman" w:cs="Times New Roman"/>
          <w:color w:val="0F4761" w:themeColor="accent1" w:themeShade="BF"/>
          <w:sz w:val="24"/>
          <w:szCs w:val="24"/>
        </w:rPr>
      </w:pPr>
      <w:r w:rsidRPr="001C782D">
        <w:rPr>
          <w:rFonts w:ascii="Times New Roman" w:hAnsi="Times New Roman" w:cs="Times New Roman"/>
          <w:sz w:val="24"/>
          <w:szCs w:val="24"/>
        </w:rPr>
        <w:t xml:space="preserve">15. </w:t>
      </w:r>
      <w:r w:rsidRPr="001C782D">
        <w:rPr>
          <w:rFonts w:ascii="Times New Roman" w:hAnsi="Times New Roman" w:cs="Times New Roman"/>
          <w:sz w:val="24"/>
          <w:szCs w:val="24"/>
          <w:u w:val="single"/>
        </w:rPr>
        <w:t>Reason for change in burden.</w:t>
      </w:r>
      <w:r w:rsidRPr="001C782D">
        <w:rPr>
          <w:rFonts w:ascii="Times New Roman" w:hAnsi="Times New Roman" w:cs="Times New Roman"/>
          <w:sz w:val="24"/>
          <w:szCs w:val="24"/>
        </w:rPr>
        <w:t xml:space="preserve"> </w:t>
      </w:r>
    </w:p>
    <w:p w:rsidR="008B6115" w:rsidP="00DB2B27" w14:paraId="6539FF02" w14:textId="4441E223">
      <w:pPr>
        <w:pStyle w:val="NPRMBody"/>
      </w:pPr>
      <w:r>
        <w:t xml:space="preserve">The change in burden </w:t>
      </w:r>
      <w:r w:rsidR="00AC185E">
        <w:t xml:space="preserve">presented in Table 2 </w:t>
      </w:r>
      <w:r>
        <w:t xml:space="preserve">is a result of </w:t>
      </w:r>
      <w:r w:rsidR="00A645B9">
        <w:t xml:space="preserve">(1) </w:t>
      </w:r>
      <w:r>
        <w:t xml:space="preserve">the </w:t>
      </w:r>
      <w:r w:rsidRPr="0076263A">
        <w:t>newly articulat</w:t>
      </w:r>
      <w:r>
        <w:t>ed</w:t>
      </w:r>
      <w:r w:rsidRPr="0076263A">
        <w:t xml:space="preserve"> pro forma average annual 50-hour burden that</w:t>
      </w:r>
      <w:r>
        <w:t xml:space="preserve"> banks </w:t>
      </w:r>
      <w:r w:rsidR="0034469D">
        <w:t xml:space="preserve">lacking </w:t>
      </w:r>
      <w:r>
        <w:t>an FFR</w:t>
      </w:r>
      <w:r w:rsidRPr="0076263A">
        <w:t xml:space="preserve"> already incur associated with </w:t>
      </w:r>
      <w:r w:rsidR="00821E5D">
        <w:t xml:space="preserve">ongoing </w:t>
      </w:r>
      <w:r w:rsidR="001371C0">
        <w:t>customer due diligence</w:t>
      </w:r>
      <w:r>
        <w:t xml:space="preserve"> (18,250 hours)</w:t>
      </w:r>
      <w:r w:rsidRPr="0076263A">
        <w:t xml:space="preserve"> and</w:t>
      </w:r>
      <w:r>
        <w:t xml:space="preserve"> </w:t>
      </w:r>
      <w:r w:rsidR="00A645B9">
        <w:t xml:space="preserve">(2) </w:t>
      </w:r>
      <w:r>
        <w:t xml:space="preserve">the </w:t>
      </w:r>
      <w:r w:rsidRPr="0076263A">
        <w:t>newly articulat</w:t>
      </w:r>
      <w:r>
        <w:t>ed</w:t>
      </w:r>
      <w:r w:rsidRPr="0076263A">
        <w:t xml:space="preserve"> pro forma average annual one-hour burden associated with program approval for financial institution types that do not already have PRA burden associated with that activity.</w:t>
      </w:r>
      <w:r>
        <w:t xml:space="preserve">  In this case, the new one-hour burden applies to </w:t>
      </w:r>
      <w:r w:rsidR="00F1294F">
        <w:t>insurance companies and loan and finance companies</w:t>
      </w:r>
      <w:r w:rsidR="008F0726">
        <w:t xml:space="preserve"> </w:t>
      </w:r>
      <w:r>
        <w:t>(</w:t>
      </w:r>
      <w:r w:rsidR="002B1E6A">
        <w:t>14,059</w:t>
      </w:r>
      <w:r>
        <w:t xml:space="preserve"> hours).  </w:t>
      </w:r>
      <w:r w:rsidR="002A4EB8">
        <w:br/>
      </w:r>
    </w:p>
    <w:p w:rsidR="00B57673" w:rsidRPr="001C782D" w:rsidP="00DB2B27" w14:paraId="54684768" w14:textId="2E8D3C98">
      <w:pPr>
        <w:pStyle w:val="NPRMBody"/>
        <w:rPr>
          <w:color w:val="0F4761" w:themeColor="accent1" w:themeShade="BF"/>
        </w:rPr>
      </w:pPr>
      <w:r>
        <w:t xml:space="preserve">In part, </w:t>
      </w:r>
      <w:r>
        <w:t>the change in</w:t>
      </w:r>
      <w:r>
        <w:t xml:space="preserve"> aggregate</w:t>
      </w:r>
      <w:r>
        <w:t xml:space="preserve"> burden is </w:t>
      </w:r>
      <w:r>
        <w:t xml:space="preserve">also attributable to certain changes in baseline populations of affected financial institutions, including (1) a decrease of </w:t>
      </w:r>
      <w:r w:rsidR="00186085">
        <w:t>235</w:t>
      </w:r>
      <w:r>
        <w:t xml:space="preserve"> in the expected population o</w:t>
      </w:r>
      <w:r w:rsidR="008C723B">
        <w:t xml:space="preserve">f banks </w:t>
      </w:r>
      <w:r w:rsidR="0034469D">
        <w:t xml:space="preserve">lacking </w:t>
      </w:r>
      <w:r w:rsidR="008C723B">
        <w:t>an FFR</w:t>
      </w:r>
      <w:r w:rsidR="006E3153">
        <w:t xml:space="preserve"> (from 600 to</w:t>
      </w:r>
      <w:r w:rsidR="00326BCF">
        <w:t xml:space="preserve"> 365</w:t>
      </w:r>
      <w:r w:rsidR="006E3153">
        <w:t>)</w:t>
      </w:r>
      <w:r w:rsidR="008C723B">
        <w:t xml:space="preserve">, </w:t>
      </w:r>
      <w:r>
        <w:t xml:space="preserve">(2) a decrease of </w:t>
      </w:r>
      <w:r w:rsidR="00186085">
        <w:t>3,961</w:t>
      </w:r>
      <w:r>
        <w:t xml:space="preserve"> in the expected population of </w:t>
      </w:r>
      <w:r w:rsidR="008C723B">
        <w:t>insurance companies</w:t>
      </w:r>
      <w:r w:rsidR="00326BCF">
        <w:t xml:space="preserve"> (from 4,678 to 717)</w:t>
      </w:r>
      <w:r w:rsidR="008C723B">
        <w:t xml:space="preserve">, </w:t>
      </w:r>
      <w:r>
        <w:t xml:space="preserve">and (3) an increase of 342 in the expected population of </w:t>
      </w:r>
      <w:r w:rsidR="008C723B">
        <w:t>loan and finance companies</w:t>
      </w:r>
      <w:r w:rsidR="00326BCF">
        <w:t xml:space="preserve"> (from 13,000 to 13,342)</w:t>
      </w:r>
      <w:r w:rsidR="008C723B">
        <w:t>.</w:t>
      </w:r>
      <w:r w:rsidR="002A4EB8">
        <w:br/>
      </w:r>
    </w:p>
    <w:p w:rsidR="00240CCA" w:rsidP="00240CCA" w14:paraId="175D9E0E" w14:textId="77777777">
      <w:pPr>
        <w:spacing w:after="240"/>
        <w:rPr>
          <w:rFonts w:ascii="Times New Roman" w:hAnsi="Times New Roman" w:cs="Times New Roman"/>
          <w:sz w:val="24"/>
          <w:szCs w:val="24"/>
        </w:rPr>
      </w:pPr>
      <w:r w:rsidRPr="001C782D">
        <w:rPr>
          <w:rFonts w:ascii="Times New Roman" w:hAnsi="Times New Roman" w:cs="Times New Roman"/>
          <w:sz w:val="24"/>
          <w:szCs w:val="24"/>
        </w:rPr>
        <w:t xml:space="preserve">16. </w:t>
      </w:r>
      <w:r w:rsidRPr="001C782D">
        <w:rPr>
          <w:rFonts w:ascii="Times New Roman" w:hAnsi="Times New Roman" w:cs="Times New Roman"/>
          <w:sz w:val="24"/>
          <w:szCs w:val="24"/>
          <w:u w:val="single"/>
        </w:rPr>
        <w:t>Plans for tabulation, statistical analysis, and publication.</w:t>
      </w:r>
      <w:r w:rsidRPr="001C782D">
        <w:rPr>
          <w:rFonts w:ascii="Times New Roman" w:hAnsi="Times New Roman" w:cs="Times New Roman"/>
          <w:sz w:val="24"/>
          <w:szCs w:val="24"/>
        </w:rPr>
        <w:t xml:space="preserve"> </w:t>
      </w:r>
    </w:p>
    <w:p w:rsidR="00437505" w:rsidP="00DB2B27" w14:paraId="7C08E678" w14:textId="76586B64">
      <w:pPr>
        <w:pStyle w:val="NPRMBody"/>
      </w:pPr>
      <w:r>
        <w:t>This collection of information will not be tabulated or compiled for publication.</w:t>
      </w:r>
      <w:r w:rsidR="002A4EB8">
        <w:br/>
      </w:r>
    </w:p>
    <w:p w:rsidR="00240CCA" w:rsidRPr="002E3B24" w:rsidP="00240CCA" w14:paraId="7D853B40" w14:textId="77777777">
      <w:pPr>
        <w:spacing w:after="240"/>
        <w:rPr>
          <w:rFonts w:ascii="Times New Roman" w:hAnsi="Times New Roman" w:cs="Times New Roman"/>
          <w:sz w:val="24"/>
          <w:szCs w:val="24"/>
        </w:rPr>
      </w:pPr>
      <w:r w:rsidRPr="002E3B24">
        <w:rPr>
          <w:rFonts w:ascii="Times New Roman" w:hAnsi="Times New Roman" w:cs="Times New Roman"/>
          <w:sz w:val="24"/>
          <w:szCs w:val="24"/>
        </w:rPr>
        <w:t xml:space="preserve">17. </w:t>
      </w:r>
      <w:r w:rsidRPr="002E3B24">
        <w:rPr>
          <w:rFonts w:ascii="Times New Roman" w:hAnsi="Times New Roman" w:cs="Times New Roman"/>
          <w:sz w:val="24"/>
          <w:szCs w:val="24"/>
          <w:u w:val="single"/>
        </w:rPr>
        <w:t>Request not to display the OMB expiration date.</w:t>
      </w:r>
      <w:r w:rsidRPr="002E3B24">
        <w:rPr>
          <w:rFonts w:ascii="Times New Roman" w:hAnsi="Times New Roman" w:cs="Times New Roman"/>
          <w:sz w:val="24"/>
          <w:szCs w:val="24"/>
        </w:rPr>
        <w:t xml:space="preserve"> </w:t>
      </w:r>
    </w:p>
    <w:p w:rsidR="002E3B24" w:rsidRPr="007E20E6" w:rsidP="00DB2B27" w14:paraId="7DDC7D66" w14:textId="727C9687">
      <w:pPr>
        <w:pStyle w:val="NPRMBody"/>
      </w:pPr>
      <w:r w:rsidRPr="007E20E6">
        <w:t xml:space="preserve">FinCEN requests that it </w:t>
      </w:r>
      <w:r w:rsidRPr="007E20E6">
        <w:t>not be</w:t>
      </w:r>
      <w:r w:rsidRPr="007E20E6">
        <w:t xml:space="preserve"> required to display the expiration date so that the regulations will not have to be amended for the new expiration date every three years.  This request will not affect the normal three-year PRA renewal process.</w:t>
      </w:r>
      <w:r w:rsidR="002A4EB8">
        <w:br/>
      </w:r>
    </w:p>
    <w:p w:rsidR="00240CCA" w:rsidP="00240CCA" w14:paraId="7B3F00FB" w14:textId="77777777">
      <w:pPr>
        <w:spacing w:after="240"/>
        <w:rPr>
          <w:rFonts w:ascii="Times New Roman" w:hAnsi="Times New Roman" w:cs="Times New Roman"/>
          <w:sz w:val="24"/>
          <w:szCs w:val="24"/>
        </w:rPr>
      </w:pPr>
      <w:r w:rsidRPr="001C782D">
        <w:rPr>
          <w:rFonts w:ascii="Times New Roman" w:hAnsi="Times New Roman" w:cs="Times New Roman"/>
          <w:sz w:val="24"/>
          <w:szCs w:val="24"/>
        </w:rPr>
        <w:t xml:space="preserve">18. </w:t>
      </w:r>
      <w:r w:rsidRPr="001C782D">
        <w:rPr>
          <w:rFonts w:ascii="Times New Roman" w:hAnsi="Times New Roman" w:cs="Times New Roman"/>
          <w:sz w:val="24"/>
          <w:szCs w:val="24"/>
          <w:u w:val="single"/>
        </w:rPr>
        <w:t>Exceptions to the certification statement.</w:t>
      </w:r>
      <w:r w:rsidRPr="001C782D">
        <w:rPr>
          <w:rFonts w:ascii="Times New Roman" w:hAnsi="Times New Roman" w:cs="Times New Roman"/>
          <w:sz w:val="24"/>
          <w:szCs w:val="24"/>
        </w:rPr>
        <w:t xml:space="preserve"> </w:t>
      </w:r>
    </w:p>
    <w:p w:rsidR="00853ECC" w:rsidRPr="001C782D" w:rsidP="00DB2B27" w14:paraId="4261D0CC" w14:textId="43AEB83E">
      <w:pPr>
        <w:pStyle w:val="NPRMBody"/>
      </w:pPr>
      <w:r>
        <w:t>There are no exceptions to certification statement.</w:t>
      </w:r>
    </w:p>
    <w:p w:rsidR="00201625" w:rsidRPr="001C782D" w:rsidP="00900C63" w14:paraId="08909968" w14:textId="12059FA6">
      <w:pPr>
        <w:spacing w:after="240" w:line="240" w:lineRule="auto"/>
        <w:rPr>
          <w:rFonts w:ascii="Times New Roman" w:hAnsi="Times New Roman" w:cs="Times New Roman"/>
          <w:color w:val="0F4761" w:themeColor="accent1" w:themeShade="BF"/>
          <w:sz w:val="24"/>
          <w:szCs w:val="24"/>
        </w:rPr>
      </w:pP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5002EFF" w:usb1="C200ACFF" w:usb2="00000009" w:usb3="00000000" w:csb0="000001FF" w:csb1="00000000"/>
  </w:font>
  <w:font w:name="ZapfDingbats">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76011887"/>
      <w:docPartObj>
        <w:docPartGallery w:val="Page Numbers (Bottom of Page)"/>
        <w:docPartUnique/>
      </w:docPartObj>
    </w:sdtPr>
    <w:sdtEndPr>
      <w:rPr>
        <w:rFonts w:ascii="Times New Roman" w:hAnsi="Times New Roman" w:cs="Times New Roman"/>
        <w:noProof/>
        <w:sz w:val="24"/>
        <w:szCs w:val="24"/>
      </w:rPr>
    </w:sdtEndPr>
    <w:sdtContent>
      <w:p w:rsidR="00546393" w:rsidRPr="00546393" w14:paraId="049320A9" w14:textId="70C12CC3">
        <w:pPr>
          <w:pStyle w:val="Footer"/>
          <w:jc w:val="center"/>
          <w:rPr>
            <w:rFonts w:ascii="Times New Roman" w:hAnsi="Times New Roman" w:cs="Times New Roman"/>
            <w:sz w:val="24"/>
            <w:szCs w:val="24"/>
          </w:rPr>
        </w:pPr>
        <w:r w:rsidRPr="00546393">
          <w:rPr>
            <w:rFonts w:ascii="Times New Roman" w:hAnsi="Times New Roman" w:cs="Times New Roman"/>
            <w:sz w:val="24"/>
            <w:szCs w:val="24"/>
          </w:rPr>
          <w:fldChar w:fldCharType="begin"/>
        </w:r>
        <w:r w:rsidRPr="00546393">
          <w:rPr>
            <w:rFonts w:ascii="Times New Roman" w:hAnsi="Times New Roman" w:cs="Times New Roman"/>
            <w:sz w:val="24"/>
            <w:szCs w:val="24"/>
          </w:rPr>
          <w:instrText xml:space="preserve"> PAGE   \* MERGEFORMAT </w:instrText>
        </w:r>
        <w:r w:rsidRPr="00546393">
          <w:rPr>
            <w:rFonts w:ascii="Times New Roman" w:hAnsi="Times New Roman" w:cs="Times New Roman"/>
            <w:sz w:val="24"/>
            <w:szCs w:val="24"/>
          </w:rPr>
          <w:fldChar w:fldCharType="separate"/>
        </w:r>
        <w:r w:rsidRPr="00546393">
          <w:rPr>
            <w:rFonts w:ascii="Times New Roman" w:hAnsi="Times New Roman" w:cs="Times New Roman"/>
            <w:noProof/>
            <w:sz w:val="24"/>
            <w:szCs w:val="24"/>
          </w:rPr>
          <w:t>2</w:t>
        </w:r>
        <w:r w:rsidRPr="00546393">
          <w:rPr>
            <w:rFonts w:ascii="Times New Roman" w:hAnsi="Times New Roman" w:cs="Times New Roman"/>
            <w:noProof/>
            <w:sz w:val="24"/>
            <w:szCs w:val="24"/>
          </w:rPr>
          <w:fldChar w:fldCharType="end"/>
        </w:r>
      </w:p>
    </w:sdtContent>
  </w:sdt>
  <w:p w:rsidR="00546393" w14:paraId="72929E8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941B9" w:rsidP="001D333F" w14:paraId="22201C81" w14:textId="77777777">
      <w:pPr>
        <w:spacing w:after="0" w:line="240" w:lineRule="auto"/>
      </w:pPr>
      <w:r>
        <w:separator/>
      </w:r>
    </w:p>
  </w:footnote>
  <w:footnote w:type="continuationSeparator" w:id="1">
    <w:p w:rsidR="007941B9" w:rsidP="001D333F" w14:paraId="1B6158AF" w14:textId="77777777">
      <w:pPr>
        <w:spacing w:after="0" w:line="240" w:lineRule="auto"/>
      </w:pPr>
      <w:r>
        <w:continuationSeparator/>
      </w:r>
    </w:p>
  </w:footnote>
  <w:footnote w:id="2">
    <w:p w:rsidR="00B851E7" w:rsidRPr="00D17398" w:rsidP="00B851E7" w14:paraId="6D64E501" w14:textId="3399C340">
      <w:pPr>
        <w:pStyle w:val="FootnoteText"/>
        <w:rPr>
          <w:rFonts w:ascii="Times New Roman" w:hAnsi="Times New Roman" w:cs="Times New Roman"/>
        </w:rPr>
      </w:pPr>
      <w:r w:rsidRPr="00D17398">
        <w:rPr>
          <w:rStyle w:val="FootnoteReference"/>
          <w:rFonts w:ascii="Times New Roman" w:hAnsi="Times New Roman" w:cs="Times New Roman"/>
        </w:rPr>
        <w:footnoteRef/>
      </w:r>
      <w:r w:rsidRPr="00D17398">
        <w:rPr>
          <w:rFonts w:ascii="Times New Roman" w:hAnsi="Times New Roman" w:cs="Times New Roman"/>
        </w:rPr>
        <w:t xml:space="preserve"> Pursuant to the Paperwork Reduction Act (PRA) requirements, FinCEN has historically accounted for the existing reporting and recordkeeping burdens associated with the AML/CFT program requirements for financial institutions using the following OMB control numbers: 1506-0020 (money services businesses, mutual funds, and operators of credit card systems); 1506-0030 (dealers in precious metals, </w:t>
      </w:r>
      <w:r>
        <w:rPr>
          <w:rFonts w:ascii="Times New Roman" w:hAnsi="Times New Roman" w:cs="Times New Roman"/>
        </w:rPr>
        <w:t xml:space="preserve">precious </w:t>
      </w:r>
      <w:r w:rsidRPr="00D17398">
        <w:rPr>
          <w:rFonts w:ascii="Times New Roman" w:hAnsi="Times New Roman" w:cs="Times New Roman"/>
        </w:rPr>
        <w:t xml:space="preserve">stones, </w:t>
      </w:r>
      <w:r>
        <w:rPr>
          <w:rFonts w:ascii="Times New Roman" w:hAnsi="Times New Roman" w:cs="Times New Roman"/>
        </w:rPr>
        <w:t xml:space="preserve">or </w:t>
      </w:r>
      <w:r w:rsidRPr="00D17398">
        <w:rPr>
          <w:rFonts w:ascii="Times New Roman" w:hAnsi="Times New Roman" w:cs="Times New Roman"/>
        </w:rPr>
        <w:t>jewels); 1506-0035 (insurance companies, loan or finance companies, and banks lacking a federal functional regulator); and 1506-0051 (casinos).  FinCEN does not maintain existing OMB control numbers for the program requirements for banks, brokers or dealers in securities, futures commission merchants, or introducing brokers in commodities, or housing government sponsored enterprises.  This supporting statement only pertains to a proposed revision to an existing collection of information applicable to insurance companies, loan or finance companies, and banks lacking a federal functional regulator under OMB control number 1506-00</w:t>
      </w:r>
      <w:r>
        <w:rPr>
          <w:rFonts w:ascii="Times New Roman" w:hAnsi="Times New Roman" w:cs="Times New Roman"/>
        </w:rPr>
        <w:t>35</w:t>
      </w:r>
      <w:r w:rsidRPr="00D17398">
        <w:rPr>
          <w:rFonts w:ascii="Times New Roman" w:hAnsi="Times New Roman" w:cs="Times New Roman"/>
        </w:rPr>
        <w:t>.</w:t>
      </w:r>
      <w:r w:rsidR="00FA12D5">
        <w:rPr>
          <w:rFonts w:ascii="Times New Roman" w:hAnsi="Times New Roman" w:cs="Times New Roman"/>
        </w:rPr>
        <w:t xml:space="preserve"> </w:t>
      </w:r>
      <w:r w:rsidR="003655A6">
        <w:rPr>
          <w:rFonts w:ascii="Times New Roman" w:hAnsi="Times New Roman" w:cs="Times New Roman"/>
        </w:rPr>
        <w:t xml:space="preserve"> </w:t>
      </w:r>
      <w:r w:rsidR="00FA12D5">
        <w:rPr>
          <w:rFonts w:ascii="Times New Roman" w:hAnsi="Times New Roman" w:cs="Times New Roman"/>
        </w:rPr>
        <w:t xml:space="preserve">The AML/CFT program requirements for insurance companies, loan or finance companies, and banks lacking a FFR are found in 31 CFR </w:t>
      </w:r>
      <w:r w:rsidRPr="00FA12D5" w:rsidR="00FA12D5">
        <w:rPr>
          <w:rFonts w:ascii="Times New Roman" w:hAnsi="Times New Roman" w:cs="Times New Roman"/>
        </w:rPr>
        <w:t>1025.210</w:t>
      </w:r>
      <w:r w:rsidR="00FA12D5">
        <w:rPr>
          <w:rFonts w:ascii="Times New Roman" w:hAnsi="Times New Roman" w:cs="Times New Roman"/>
        </w:rPr>
        <w:t xml:space="preserve">, </w:t>
      </w:r>
      <w:r w:rsidRPr="00FA12D5" w:rsidR="00FA12D5">
        <w:rPr>
          <w:rFonts w:ascii="Times New Roman" w:hAnsi="Times New Roman" w:cs="Times New Roman"/>
        </w:rPr>
        <w:t>1029.210</w:t>
      </w:r>
      <w:r w:rsidR="00FA12D5">
        <w:rPr>
          <w:rFonts w:ascii="Times New Roman" w:hAnsi="Times New Roman" w:cs="Times New Roman"/>
        </w:rPr>
        <w:t xml:space="preserve">, and </w:t>
      </w:r>
      <w:r w:rsidRPr="00A06179" w:rsidR="00A06179">
        <w:rPr>
          <w:rFonts w:ascii="Times New Roman" w:hAnsi="Times New Roman" w:cs="Times New Roman"/>
        </w:rPr>
        <w:t>1020.210(b)</w:t>
      </w:r>
      <w:r w:rsidR="00A06179">
        <w:rPr>
          <w:rFonts w:ascii="Times New Roman" w:hAnsi="Times New Roman" w:cs="Times New Roman"/>
        </w:rPr>
        <w:t xml:space="preserve">, respectively. </w:t>
      </w:r>
    </w:p>
  </w:footnote>
  <w:footnote w:id="3">
    <w:p w:rsidR="00BC0CCE" w:rsidRPr="004F685C" w14:paraId="6087A774" w14:textId="35076868">
      <w:pPr>
        <w:pStyle w:val="FootnoteText"/>
        <w:rPr>
          <w:rFonts w:ascii="Times New Roman" w:hAnsi="Times New Roman" w:cs="Times New Roman"/>
        </w:rPr>
      </w:pPr>
      <w:r w:rsidRPr="004F685C">
        <w:rPr>
          <w:rStyle w:val="FootnoteReference"/>
          <w:rFonts w:ascii="Times New Roman" w:hAnsi="Times New Roman" w:cs="Times New Roman"/>
        </w:rPr>
        <w:footnoteRef/>
      </w:r>
      <w:r w:rsidRPr="004F685C">
        <w:rPr>
          <w:rFonts w:ascii="Times New Roman" w:hAnsi="Times New Roman" w:cs="Times New Roman"/>
        </w:rPr>
        <w:t xml:space="preserve"> </w:t>
      </w:r>
      <w:r w:rsidRPr="004F685C" w:rsidR="004F685C">
        <w:rPr>
          <w:rFonts w:ascii="Times New Roman" w:eastAsia="Calibri" w:hAnsi="Times New Roman" w:cs="Times New Roman"/>
          <w:color w:val="000000"/>
          <w:szCs w:val="22"/>
          <w14:ligatures w14:val="none"/>
        </w:rPr>
        <w:t>Certain parts of the Currency and Foreign Transactions Reporting Act, its amendments, and the other statutes relating to the subject matter of that Act, have come to be referred to as the BSA.  These statutes are codified at 12 U.S.C. 1829b, 12 U.S.C. 1951-1960, and 31 U.S.C. 5311-5314 and 5316-5336 and notes thereto</w:t>
      </w:r>
      <w:r w:rsidRPr="004F685C" w:rsidR="004F685C">
        <w:rPr>
          <w:rFonts w:ascii="Times New Roman" w:eastAsia="ZapfDingbats" w:hAnsi="Times New Roman" w:cs="Times New Roman"/>
          <w:color w:val="000000"/>
          <w:szCs w:val="22"/>
          <w14:ligatures w14:val="none"/>
        </w:rPr>
        <w:t>, with implementing regulations at 31 CFR chapter X</w:t>
      </w:r>
      <w:r w:rsidRPr="004F685C" w:rsidR="004F685C">
        <w:rPr>
          <w:rFonts w:ascii="Times New Roman" w:eastAsia="Calibri" w:hAnsi="Times New Roman" w:cs="Times New Roman"/>
          <w:color w:val="000000"/>
          <w:szCs w:val="22"/>
          <w14:ligatures w14:val="none"/>
        </w:rPr>
        <w:t>.</w:t>
      </w:r>
    </w:p>
  </w:footnote>
  <w:footnote w:id="4">
    <w:p w:rsidR="004366CE" w:rsidRPr="00D17398" w:rsidP="004366CE" w14:paraId="2151DE6F" w14:textId="77777777">
      <w:pPr>
        <w:pStyle w:val="FootnoteText"/>
        <w:rPr>
          <w:rFonts w:ascii="Times New Roman" w:hAnsi="Times New Roman" w:cs="Times New Roman"/>
        </w:rPr>
      </w:pPr>
      <w:r w:rsidRPr="00D17398">
        <w:rPr>
          <w:rStyle w:val="FootnoteReference"/>
          <w:rFonts w:ascii="Times New Roman" w:hAnsi="Times New Roman" w:eastAsiaTheme="majorEastAsia" w:cs="Times New Roman"/>
        </w:rPr>
        <w:footnoteRef/>
      </w:r>
      <w:r w:rsidRPr="00D17398">
        <w:rPr>
          <w:rFonts w:ascii="Times New Roman" w:hAnsi="Times New Roman" w:cs="Times New Roman"/>
        </w:rPr>
        <w:t xml:space="preserve"> The AML Act was enacted as Division F, sections 6001-6511, of the William M. (Mac) Thornberry National Defense Authorization Act for Fiscal Year 2021, Pub. L. 116-283, 134 Stat. 3388 (NDAA).</w:t>
      </w:r>
    </w:p>
  </w:footnote>
  <w:footnote w:id="5">
    <w:p w:rsidR="00773B96" w:rsidRPr="002B2A0D" w:rsidP="00773B96" w14:paraId="2164E4ED" w14:textId="48F7C609">
      <w:pPr>
        <w:pStyle w:val="FootnoteText"/>
        <w:rPr>
          <w:rFonts w:ascii="Times New Roman" w:hAnsi="Times New Roman" w:cs="Times New Roman"/>
        </w:rPr>
      </w:pPr>
      <w:r w:rsidRPr="002B2A0D">
        <w:rPr>
          <w:rStyle w:val="FootnoteReference"/>
          <w:rFonts w:ascii="Times New Roman" w:hAnsi="Times New Roman" w:cs="Times New Roman"/>
        </w:rPr>
        <w:footnoteRef/>
      </w:r>
      <w:r w:rsidRPr="002B2A0D">
        <w:rPr>
          <w:rFonts w:ascii="Times New Roman" w:hAnsi="Times New Roman" w:cs="Times New Roman"/>
        </w:rPr>
        <w:t xml:space="preserve"> FinCEN, </w:t>
      </w:r>
      <w:r w:rsidRPr="002B2A0D">
        <w:rPr>
          <w:rFonts w:ascii="Times New Roman" w:hAnsi="Times New Roman" w:cs="Times New Roman"/>
          <w:i/>
          <w:iCs/>
        </w:rPr>
        <w:t>Anti-Money Laundering and Countering the Financing of Terrorism Program</w:t>
      </w:r>
      <w:r w:rsidRPr="002B2A0D">
        <w:rPr>
          <w:rFonts w:ascii="Times New Roman" w:hAnsi="Times New Roman" w:cs="Times New Roman"/>
        </w:rPr>
        <w:t xml:space="preserve">, </w:t>
      </w:r>
      <w:r w:rsidRPr="00251777" w:rsidR="00251777">
        <w:rPr>
          <w:rFonts w:ascii="Times New Roman" w:hAnsi="Times New Roman" w:cs="Times New Roman"/>
        </w:rPr>
        <w:t xml:space="preserve">91 FR 18704 </w:t>
      </w:r>
      <w:r w:rsidRPr="002B2A0D">
        <w:rPr>
          <w:rFonts w:ascii="Times New Roman" w:hAnsi="Times New Roman" w:cs="Times New Roman"/>
        </w:rPr>
        <w:t>(Apr</w:t>
      </w:r>
      <w:r w:rsidRPr="005C542D">
        <w:rPr>
          <w:rFonts w:ascii="Times New Roman" w:hAnsi="Times New Roman" w:cs="Times New Roman"/>
        </w:rPr>
        <w:t xml:space="preserve">. </w:t>
      </w:r>
      <w:r w:rsidRPr="005C542D" w:rsidR="00742E29">
        <w:rPr>
          <w:rFonts w:ascii="Times New Roman" w:hAnsi="Times New Roman" w:cs="Times New Roman"/>
        </w:rPr>
        <w:t>10</w:t>
      </w:r>
      <w:r w:rsidRPr="005C542D">
        <w:rPr>
          <w:rFonts w:ascii="Times New Roman" w:hAnsi="Times New Roman" w:cs="Times New Roman"/>
        </w:rPr>
        <w:t>,</w:t>
      </w:r>
      <w:r w:rsidRPr="002B2A0D">
        <w:rPr>
          <w:rFonts w:ascii="Times New Roman" w:hAnsi="Times New Roman" w:cs="Times New Roman"/>
        </w:rPr>
        <w:t xml:space="preserve"> 2026)</w:t>
      </w:r>
      <w:r w:rsidR="005C542D">
        <w:rPr>
          <w:rFonts w:ascii="Times New Roman" w:hAnsi="Times New Roman" w:cs="Times New Roman"/>
        </w:rPr>
        <w:t xml:space="preserve"> (</w:t>
      </w:r>
      <w:r w:rsidR="00ED0EE3">
        <w:rPr>
          <w:rFonts w:ascii="Times New Roman" w:hAnsi="Times New Roman" w:cs="Times New Roman"/>
        </w:rPr>
        <w:t xml:space="preserve">2026 </w:t>
      </w:r>
      <w:r w:rsidR="005C542D">
        <w:rPr>
          <w:rFonts w:ascii="Times New Roman" w:hAnsi="Times New Roman" w:cs="Times New Roman"/>
        </w:rPr>
        <w:t>AML/CFT Program NPRM)</w:t>
      </w:r>
      <w:r w:rsidRPr="002B2A0D">
        <w:rPr>
          <w:rFonts w:ascii="Times New Roman" w:hAnsi="Times New Roman" w:cs="Times New Roman"/>
        </w:rPr>
        <w:t xml:space="preserve">.  </w:t>
      </w:r>
    </w:p>
  </w:footnote>
  <w:footnote w:id="6">
    <w:p w:rsidR="0093511D" w:rsidRPr="00AD1D4F" w:rsidP="0093511D" w14:paraId="7575ACF9" w14:textId="77777777">
      <w:pPr>
        <w:pStyle w:val="FootnoteText"/>
        <w:rPr>
          <w:rFonts w:ascii="Times New Roman" w:hAnsi="Times New Roman"/>
          <w:color w:val="000000" w:themeColor="text1"/>
        </w:rPr>
      </w:pPr>
      <w:r w:rsidRPr="00EF35D7">
        <w:rPr>
          <w:rStyle w:val="FootnoteReference"/>
          <w:rFonts w:ascii="Times New Roman" w:hAnsi="Times New Roman"/>
          <w:color w:val="000000" w:themeColor="text1"/>
        </w:rPr>
        <w:footnoteRef/>
      </w:r>
      <w:r w:rsidRPr="00EF35D7">
        <w:rPr>
          <w:rFonts w:ascii="Times New Roman" w:hAnsi="Times New Roman"/>
          <w:color w:val="000000" w:themeColor="text1"/>
        </w:rPr>
        <w:t xml:space="preserve"> FinCEN, </w:t>
      </w:r>
      <w:r w:rsidRPr="002D3012">
        <w:rPr>
          <w:rFonts w:ascii="Times New Roman" w:hAnsi="Times New Roman"/>
          <w:i/>
          <w:color w:val="000000" w:themeColor="text1"/>
        </w:rPr>
        <w:t>Anti-Money Laundering Program Effectiveness</w:t>
      </w:r>
      <w:r w:rsidRPr="00EF35D7">
        <w:rPr>
          <w:rFonts w:ascii="Times New Roman" w:hAnsi="Times New Roman"/>
          <w:color w:val="000000" w:themeColor="text1"/>
        </w:rPr>
        <w:t>, 85 FR 58023 (Sept. 17, 2020</w:t>
      </w:r>
      <w:r w:rsidRPr="005F7B15">
        <w:rPr>
          <w:rFonts w:ascii="Times New Roman" w:hAnsi="Times New Roman" w:cs="Times New Roman"/>
          <w:color w:val="000000" w:themeColor="text1"/>
        </w:rPr>
        <w:t>).</w:t>
      </w:r>
    </w:p>
  </w:footnote>
  <w:footnote w:id="7">
    <w:p w:rsidR="0093511D" w:rsidRPr="00AD1D4F" w:rsidP="0093511D" w14:paraId="3E79C9F6" w14:textId="77777777">
      <w:pPr>
        <w:pStyle w:val="FootnoteText"/>
        <w:rPr>
          <w:rFonts w:ascii="Times New Roman" w:hAnsi="Times New Roman"/>
        </w:rPr>
      </w:pPr>
      <w:r w:rsidRPr="00EF35D7">
        <w:rPr>
          <w:rStyle w:val="FootnoteReference"/>
          <w:rFonts w:ascii="Times New Roman" w:hAnsi="Times New Roman"/>
        </w:rPr>
        <w:footnoteRef/>
      </w:r>
      <w:r w:rsidRPr="00EF35D7">
        <w:rPr>
          <w:rFonts w:ascii="Times New Roman" w:hAnsi="Times New Roman"/>
        </w:rPr>
        <w:t xml:space="preserve"> FinCEN, </w:t>
      </w:r>
      <w:r w:rsidRPr="002D3012">
        <w:rPr>
          <w:rFonts w:ascii="Times New Roman" w:hAnsi="Times New Roman"/>
          <w:i/>
        </w:rPr>
        <w:t xml:space="preserve">Anti-Money Laundering and Countering the Financing of Terrorism </w:t>
      </w:r>
      <w:r>
        <w:rPr>
          <w:rFonts w:ascii="Times New Roman" w:hAnsi="Times New Roman"/>
          <w:i/>
        </w:rPr>
        <w:t>Programs</w:t>
      </w:r>
      <w:r w:rsidRPr="00EF35D7">
        <w:rPr>
          <w:rFonts w:ascii="Times New Roman" w:hAnsi="Times New Roman"/>
        </w:rPr>
        <w:t xml:space="preserve">, 89 </w:t>
      </w:r>
      <w:r w:rsidRPr="005F7B15">
        <w:rPr>
          <w:rFonts w:ascii="Times New Roman" w:hAnsi="Times New Roman" w:cs="Times New Roman"/>
        </w:rPr>
        <w:t>FR</w:t>
      </w:r>
      <w:r w:rsidRPr="00EF35D7">
        <w:rPr>
          <w:rFonts w:ascii="Times New Roman" w:hAnsi="Times New Roman"/>
        </w:rPr>
        <w:t xml:space="preserve"> 55428 (Jul</w:t>
      </w:r>
      <w:r>
        <w:rPr>
          <w:rFonts w:ascii="Times New Roman" w:hAnsi="Times New Roman"/>
        </w:rPr>
        <w:t>y</w:t>
      </w:r>
      <w:r w:rsidRPr="00EF35D7">
        <w:rPr>
          <w:rFonts w:ascii="Times New Roman" w:hAnsi="Times New Roman"/>
        </w:rPr>
        <w:t xml:space="preserve"> </w:t>
      </w:r>
      <w:r w:rsidRPr="005F7B15">
        <w:rPr>
          <w:rFonts w:ascii="Times New Roman" w:hAnsi="Times New Roman" w:cs="Times New Roman"/>
        </w:rPr>
        <w:t>3, 2024).</w:t>
      </w:r>
      <w:r w:rsidRPr="00EF35D7">
        <w:rPr>
          <w:rFonts w:ascii="Times New Roman" w:hAnsi="Times New Roman"/>
        </w:rPr>
        <w:t xml:space="preserve"> </w:t>
      </w:r>
    </w:p>
  </w:footnote>
  <w:footnote w:id="8">
    <w:p w:rsidR="00DD7A79" w:rsidRPr="0077525A" w:rsidP="00DD7A79" w14:paraId="409C4263" w14:textId="2C422A4F">
      <w:pPr>
        <w:pStyle w:val="FootnoteText"/>
        <w:rPr>
          <w:rFonts w:ascii="Times New Roman" w:hAnsi="Times New Roman" w:cs="Times New Roman"/>
        </w:rPr>
      </w:pPr>
      <w:r w:rsidRPr="0077525A">
        <w:rPr>
          <w:rStyle w:val="FootnoteReference"/>
          <w:rFonts w:ascii="Times New Roman" w:hAnsi="Times New Roman" w:cs="Times New Roman"/>
        </w:rPr>
        <w:footnoteRef/>
      </w:r>
      <w:r>
        <w:t xml:space="preserve"> </w:t>
      </w:r>
      <w:r w:rsidRPr="005C542D" w:rsidR="005C542D">
        <w:rPr>
          <w:rFonts w:ascii="Times New Roman" w:hAnsi="Times New Roman" w:cs="Times New Roman"/>
          <w:i/>
          <w:iCs/>
        </w:rPr>
        <w:t xml:space="preserve">See </w:t>
      </w:r>
      <w:r w:rsidR="005C542D">
        <w:rPr>
          <w:rFonts w:ascii="Times New Roman" w:hAnsi="Times New Roman" w:cs="Times New Roman"/>
        </w:rPr>
        <w:t xml:space="preserve">the </w:t>
      </w:r>
      <w:r w:rsidR="00ED0EE3">
        <w:rPr>
          <w:rFonts w:ascii="Times New Roman" w:hAnsi="Times New Roman" w:cs="Times New Roman"/>
        </w:rPr>
        <w:t xml:space="preserve">2026 </w:t>
      </w:r>
      <w:r w:rsidR="005C542D">
        <w:rPr>
          <w:rFonts w:ascii="Times New Roman" w:hAnsi="Times New Roman" w:cs="Times New Roman"/>
        </w:rPr>
        <w:t>AML/CFT Program NPRM.</w:t>
      </w:r>
    </w:p>
  </w:footnote>
  <w:footnote w:id="9">
    <w:p w:rsidR="007E20E6" w:rsidRPr="00FE0FB5" w:rsidP="007E20E6" w14:paraId="0AF337A2" w14:textId="77777777">
      <w:pPr>
        <w:pStyle w:val="HTMLPreformatted"/>
        <w:shd w:val="clear" w:color="auto" w:fill="FFFFFF"/>
        <w:rPr>
          <w:rFonts w:ascii="Times New Roman" w:hAnsi="Times New Roman" w:cs="Times New Roman"/>
        </w:rPr>
      </w:pPr>
      <w:r w:rsidRPr="00FE0FB5">
        <w:rPr>
          <w:rStyle w:val="FootnoteReference"/>
          <w:rFonts w:ascii="Times New Roman" w:hAnsi="Times New Roman" w:eastAsiaTheme="majorEastAsia" w:cs="Times New Roman"/>
        </w:rPr>
        <w:footnoteRef/>
      </w:r>
      <w:r w:rsidRPr="00FE0FB5">
        <w:rPr>
          <w:rFonts w:ascii="Times New Roman" w:hAnsi="Times New Roman" w:cs="Times New Roman"/>
        </w:rPr>
        <w:t xml:space="preserve"> </w:t>
      </w:r>
      <w:r w:rsidRPr="006F052B">
        <w:rPr>
          <w:rFonts w:ascii="Times New Roman" w:eastAsia="Courier New" w:hAnsi="Times New Roman" w:cs="Times New Roman"/>
          <w:i/>
          <w:lang w:val="x-none"/>
        </w:rPr>
        <w:t>See</w:t>
      </w:r>
      <w:r w:rsidRPr="006F052B">
        <w:rPr>
          <w:rFonts w:ascii="Times New Roman" w:eastAsia="Courier New" w:hAnsi="Times New Roman" w:cs="Times New Roman"/>
          <w:lang w:eastAsia="x-none"/>
        </w:rPr>
        <w:t xml:space="preserve"> </w:t>
      </w:r>
      <w:r w:rsidRPr="006F052B">
        <w:rPr>
          <w:rFonts w:ascii="Times New Roman" w:eastAsia="Courier New" w:hAnsi="Times New Roman" w:cs="Times New Roman"/>
          <w:color w:val="000000"/>
          <w:lang w:val="x-none" w:eastAsia="x-none"/>
        </w:rPr>
        <w:t>FinCEN</w:t>
      </w:r>
      <w:r w:rsidRPr="006F052B">
        <w:rPr>
          <w:rFonts w:ascii="Times New Roman" w:eastAsia="Courier New" w:hAnsi="Times New Roman" w:cs="Times New Roman"/>
          <w:color w:val="000000"/>
          <w:lang w:eastAsia="x-none"/>
        </w:rPr>
        <w:t xml:space="preserve">, </w:t>
      </w:r>
      <w:r w:rsidRPr="006F052B">
        <w:rPr>
          <w:rFonts w:ascii="Times New Roman" w:eastAsia="Courier New" w:hAnsi="Times New Roman" w:cs="Times New Roman"/>
          <w:i/>
          <w:iCs/>
          <w:color w:val="000000"/>
          <w:lang w:eastAsia="x-none"/>
        </w:rPr>
        <w:t>Privacy Act of 1974, Systems</w:t>
      </w:r>
      <w:r w:rsidRPr="006F052B">
        <w:rPr>
          <w:rFonts w:ascii="Times New Roman" w:eastAsia="Courier New" w:hAnsi="Times New Roman" w:cs="Times New Roman"/>
          <w:i/>
          <w:color w:val="000000"/>
        </w:rPr>
        <w:t xml:space="preserve"> of Records Notice</w:t>
      </w:r>
      <w:r w:rsidRPr="006F052B">
        <w:rPr>
          <w:rFonts w:ascii="Times New Roman" w:eastAsia="Courier New" w:hAnsi="Times New Roman" w:cs="Times New Roman"/>
          <w:color w:val="000000"/>
          <w:lang w:eastAsia="x-none"/>
        </w:rPr>
        <w:t>,</w:t>
      </w:r>
      <w:r w:rsidRPr="006F052B">
        <w:rPr>
          <w:rFonts w:ascii="Times New Roman" w:eastAsia="Courier New" w:hAnsi="Times New Roman" w:cs="Times New Roman"/>
          <w:lang w:eastAsia="x-none"/>
        </w:rPr>
        <w:t xml:space="preserve"> </w:t>
      </w:r>
      <w:hyperlink r:id="rId1" w:history="1">
        <w:r w:rsidRPr="006F052B">
          <w:rPr>
            <w:rFonts w:ascii="Times New Roman" w:eastAsia="Courier New" w:hAnsi="Times New Roman" w:cs="Times New Roman"/>
            <w:color w:val="0000FF"/>
            <w:u w:val="single"/>
            <w:lang w:val="x-none" w:eastAsia="x-none"/>
          </w:rPr>
          <w:t>79 FR 20969</w:t>
        </w:r>
      </w:hyperlink>
      <w:r w:rsidRPr="006F052B">
        <w:rPr>
          <w:rFonts w:ascii="Times New Roman" w:eastAsia="Courier New" w:hAnsi="Times New Roman" w:cs="Times New Roman"/>
          <w:color w:val="0000FF"/>
          <w:lang w:eastAsia="x-none"/>
        </w:rPr>
        <w:t xml:space="preserve"> </w:t>
      </w:r>
      <w:r w:rsidRPr="006F052B">
        <w:rPr>
          <w:rFonts w:ascii="Times New Roman" w:eastAsia="Courier New" w:hAnsi="Times New Roman" w:cs="Times New Roman"/>
          <w:lang w:eastAsia="x-none"/>
        </w:rPr>
        <w:t>(Apr. 14, 2014).</w:t>
      </w:r>
    </w:p>
  </w:footnote>
  <w:footnote w:id="10">
    <w:p w:rsidR="008A0315" w:rsidP="008A0315" w14:paraId="69527721" w14:textId="6CA7F713">
      <w:pPr>
        <w:pStyle w:val="FootnoteText"/>
      </w:pPr>
      <w:r w:rsidRPr="0041466D">
        <w:rPr>
          <w:rStyle w:val="FootnoteReference"/>
          <w:rFonts w:ascii="Times New Roman" w:hAnsi="Times New Roman" w:cs="Times New Roman"/>
        </w:rPr>
        <w:footnoteRef/>
      </w:r>
      <w:r w:rsidRPr="0041466D">
        <w:rPr>
          <w:rFonts w:ascii="Times New Roman" w:hAnsi="Times New Roman" w:cs="Times New Roman"/>
        </w:rPr>
        <w:t xml:space="preserve"> </w:t>
      </w:r>
      <w:r w:rsidRPr="00944731">
        <w:rPr>
          <w:rFonts w:ascii="Times New Roman" w:hAnsi="Times New Roman" w:cs="Times New Roman"/>
          <w:i/>
        </w:rPr>
        <w:t>See</w:t>
      </w:r>
      <w:r w:rsidRPr="00944731">
        <w:rPr>
          <w:rFonts w:ascii="Times New Roman" w:hAnsi="Times New Roman" w:cs="Times New Roman"/>
        </w:rPr>
        <w:t xml:space="preserve"> </w:t>
      </w:r>
      <w:r w:rsidR="005C542D">
        <w:rPr>
          <w:rFonts w:ascii="Times New Roman" w:hAnsi="Times New Roman" w:cs="Times New Roman"/>
        </w:rPr>
        <w:t xml:space="preserve">the </w:t>
      </w:r>
      <w:r w:rsidR="00ED0EE3">
        <w:rPr>
          <w:rFonts w:ascii="Times New Roman" w:hAnsi="Times New Roman" w:cs="Times New Roman"/>
        </w:rPr>
        <w:t xml:space="preserve">2026 </w:t>
      </w:r>
      <w:r w:rsidR="005C542D">
        <w:rPr>
          <w:rFonts w:ascii="Times New Roman" w:hAnsi="Times New Roman" w:cs="Times New Roman"/>
        </w:rPr>
        <w:t>AML/CFT Program NPRM</w:t>
      </w:r>
      <w:r w:rsidRPr="00944731">
        <w:rPr>
          <w:rFonts w:ascii="Times New Roman" w:hAnsi="Times New Roman" w:cs="Times New Roman"/>
        </w:rPr>
        <w:t>, section X.E.1, table</w:t>
      </w:r>
      <w:r w:rsidR="00C91D18">
        <w:t> </w:t>
      </w:r>
      <w:r w:rsidRPr="00944731">
        <w:rPr>
          <w:rFonts w:ascii="Times New Roman" w:hAnsi="Times New Roman" w:cs="Times New Roman"/>
        </w:rPr>
        <w:t xml:space="preserve">9.  </w:t>
      </w:r>
    </w:p>
  </w:footnote>
  <w:footnote w:id="11">
    <w:p w:rsidR="004D664B" w:rsidRPr="002632CD" w:rsidP="004D664B" w14:paraId="01F917DB" w14:textId="21166D3D">
      <w:pPr>
        <w:pStyle w:val="FootnoteText"/>
        <w:rPr>
          <w:rFonts w:ascii="Times New Roman" w:hAnsi="Times New Roman" w:cs="Times New Roman"/>
        </w:rPr>
      </w:pPr>
      <w:r w:rsidRPr="002632CD">
        <w:rPr>
          <w:rStyle w:val="FootnoteReference"/>
          <w:rFonts w:ascii="Times New Roman" w:hAnsi="Times New Roman" w:cs="Times New Roman"/>
        </w:rPr>
        <w:footnoteRef/>
      </w:r>
      <w:r w:rsidRPr="002632CD">
        <w:rPr>
          <w:rFonts w:ascii="Times New Roman" w:hAnsi="Times New Roman" w:cs="Times New Roman"/>
        </w:rPr>
        <w:t xml:space="preserve"> For the newly added pro forma burden hours and costs per activity covered under this OMB control number (i.e., those associated with ongoing customer due diligence and program approval) and the change in burden associated with the removal of 31 CFR 1021.210(b)(2)(vi), s</w:t>
      </w:r>
      <w:r w:rsidRPr="002632CD">
        <w:rPr>
          <w:rFonts w:ascii="Times New Roman" w:hAnsi="Times New Roman" w:cs="Times New Roman"/>
          <w:i/>
          <w:iCs/>
        </w:rPr>
        <w:t>ee</w:t>
      </w:r>
      <w:r w:rsidRPr="002632CD">
        <w:rPr>
          <w:rFonts w:ascii="Times New Roman" w:hAnsi="Times New Roman" w:cs="Times New Roman"/>
        </w:rPr>
        <w:t xml:space="preserve"> </w:t>
      </w:r>
      <w:r w:rsidR="00ED0EE3">
        <w:rPr>
          <w:rFonts w:ascii="Times New Roman" w:hAnsi="Times New Roman" w:cs="Times New Roman"/>
        </w:rPr>
        <w:t>the 2026 AML/CFT Program NPRM</w:t>
      </w:r>
      <w:r w:rsidRPr="002632CD">
        <w:rPr>
          <w:rFonts w:ascii="Times New Roman" w:hAnsi="Times New Roman" w:cs="Times New Roman"/>
        </w:rPr>
        <w:t xml:space="preserve"> at sections X.E.2 and 3.  For the previous burden hours per activity, which remain unchanged (i.e., maintaining and updating the written AML/CFT program, storing the written AML/CFT program, producing the AML/CFT program upon request</w:t>
      </w:r>
      <w:r w:rsidRPr="002632CD" w:rsidR="00C220A9">
        <w:rPr>
          <w:rFonts w:ascii="Times New Roman" w:hAnsi="Times New Roman" w:cs="Times New Roman"/>
        </w:rPr>
        <w:t>, and program approval</w:t>
      </w:r>
      <w:r w:rsidRPr="002632CD">
        <w:rPr>
          <w:rFonts w:ascii="Times New Roman" w:hAnsi="Times New Roman" w:cs="Times New Roman"/>
        </w:rPr>
        <w:t>), s</w:t>
      </w:r>
      <w:r w:rsidRPr="002632CD">
        <w:rPr>
          <w:rFonts w:ascii="Times New Roman" w:hAnsi="Times New Roman" w:cs="Times New Roman"/>
          <w:i/>
          <w:iCs/>
        </w:rPr>
        <w:t xml:space="preserve">ee </w:t>
      </w:r>
      <w:r w:rsidRPr="002632CD">
        <w:rPr>
          <w:rFonts w:ascii="Times New Roman" w:hAnsi="Times New Roman" w:cs="Times New Roman"/>
        </w:rPr>
        <w:t>the previous supporting statement,</w:t>
      </w:r>
      <w:r w:rsidRPr="002632CD">
        <w:rPr>
          <w:rFonts w:ascii="Times New Roman" w:hAnsi="Times New Roman" w:cs="Times New Roman"/>
          <w:i/>
          <w:iCs/>
        </w:rPr>
        <w:t xml:space="preserve"> </w:t>
      </w:r>
      <w:r w:rsidRPr="002632CD">
        <w:rPr>
          <w:rFonts w:ascii="Times New Roman" w:hAnsi="Times New Roman" w:cs="Times New Roman"/>
        </w:rPr>
        <w:t xml:space="preserve">FinCEN, </w:t>
      </w:r>
      <w:r w:rsidRPr="002632CD">
        <w:rPr>
          <w:rFonts w:ascii="Times New Roman" w:hAnsi="Times New Roman" w:cs="Times New Roman"/>
          <w:i/>
          <w:iCs/>
        </w:rPr>
        <w:t>Anti-Money Laundering Programs for</w:t>
      </w:r>
      <w:r w:rsidRPr="002632CD" w:rsidR="00A5568F">
        <w:rPr>
          <w:rFonts w:ascii="Times New Roman" w:hAnsi="Times New Roman" w:cs="Times New Roman"/>
          <w:i/>
          <w:iCs/>
        </w:rPr>
        <w:t xml:space="preserve"> Insurance Companies, Loan or Finance Compani</w:t>
      </w:r>
      <w:r w:rsidRPr="002632CD" w:rsidR="008C01E6">
        <w:rPr>
          <w:rFonts w:ascii="Times New Roman" w:hAnsi="Times New Roman" w:cs="Times New Roman"/>
          <w:i/>
          <w:iCs/>
        </w:rPr>
        <w:t>es, and Banks Lacking a Federal Functional Regulator</w:t>
      </w:r>
      <w:r w:rsidRPr="002632CD">
        <w:rPr>
          <w:rFonts w:ascii="Times New Roman" w:hAnsi="Times New Roman" w:cs="Times New Roman"/>
          <w:i/>
          <w:iCs/>
        </w:rPr>
        <w:t xml:space="preserve"> </w:t>
      </w:r>
      <w:r w:rsidRPr="002632CD">
        <w:rPr>
          <w:rFonts w:ascii="Times New Roman" w:hAnsi="Times New Roman" w:cs="Times New Roman"/>
        </w:rPr>
        <w:t>(June 27, 2024),</w:t>
      </w:r>
      <w:r w:rsidRPr="002632CD" w:rsidR="005F1E41">
        <w:rPr>
          <w:rFonts w:ascii="Times New Roman" w:hAnsi="Times New Roman" w:cs="Times New Roman"/>
          <w:sz w:val="21"/>
          <w:szCs w:val="21"/>
        </w:rPr>
        <w:t xml:space="preserve"> </w:t>
      </w:r>
      <w:hyperlink r:id="rId2" w:history="1">
        <w:r w:rsidRPr="002632CD" w:rsidR="00A5568F">
          <w:rPr>
            <w:rStyle w:val="Hyperlink"/>
            <w:rFonts w:ascii="Times New Roman" w:hAnsi="Times New Roman" w:cs="Times New Roman"/>
          </w:rPr>
          <w:t>https://www.reginfo.gov/public/do/PRAViewDocument?ref_nbr=202406-1506-005</w:t>
        </w:r>
      </w:hyperlink>
      <w:r w:rsidRPr="002632CD">
        <w:rPr>
          <w:rFonts w:ascii="Times New Roman" w:hAnsi="Times New Roman" w:cs="Times New Roman"/>
        </w:rPr>
        <w:t>.</w:t>
      </w:r>
    </w:p>
  </w:footnote>
  <w:footnote w:id="12">
    <w:p w:rsidR="001D333F" w:rsidRPr="002632CD" w14:paraId="2A59CF2E" w14:textId="10D4C8AA">
      <w:pPr>
        <w:pStyle w:val="FootnoteText"/>
        <w:rPr>
          <w:rFonts w:ascii="Times New Roman" w:hAnsi="Times New Roman" w:cs="Times New Roman"/>
        </w:rPr>
      </w:pPr>
      <w:r w:rsidRPr="002632CD">
        <w:rPr>
          <w:rStyle w:val="FootnoteReference"/>
          <w:rFonts w:ascii="Times New Roman" w:hAnsi="Times New Roman" w:cs="Times New Roman"/>
        </w:rPr>
        <w:footnoteRef/>
      </w:r>
      <w:r w:rsidRPr="002632CD">
        <w:rPr>
          <w:rFonts w:ascii="Times New Roman" w:hAnsi="Times New Roman" w:cs="Times New Roman"/>
        </w:rPr>
        <w:t xml:space="preserve"> </w:t>
      </w:r>
      <w:r w:rsidRPr="002632CD" w:rsidR="00C96EE8">
        <w:rPr>
          <w:rFonts w:ascii="Times New Roman" w:hAnsi="Times New Roman" w:cs="Times New Roman"/>
        </w:rPr>
        <w:t xml:space="preserve">To arrive at this wage rate, FinCEN first derives a general composite hourly wage of $87.61 using Bureau of Labor Statistics (BLS) May 2024 mean wage data.  </w:t>
      </w:r>
      <w:r w:rsidRPr="002632CD" w:rsidR="00C96EE8">
        <w:rPr>
          <w:rFonts w:ascii="Times New Roman" w:hAnsi="Times New Roman" w:cs="Times New Roman"/>
          <w:i/>
          <w:iCs/>
        </w:rPr>
        <w:t>May 2024—National industry-specific and by ownership</w:t>
      </w:r>
      <w:r w:rsidRPr="002632CD" w:rsidR="00C96EE8">
        <w:rPr>
          <w:rFonts w:ascii="Times New Roman" w:hAnsi="Times New Roman" w:cs="Times New Roman"/>
        </w:rPr>
        <w:t xml:space="preserve">, </w:t>
      </w:r>
      <w:hyperlink r:id="rId3" w:history="1">
        <w:r w:rsidRPr="002632CD" w:rsidR="00C96EE8">
          <w:rPr>
            <w:rStyle w:val="Hyperlink"/>
            <w:rFonts w:ascii="Times New Roman" w:hAnsi="Times New Roman" w:cs="Times New Roman"/>
          </w:rPr>
          <w:t>https://www.bls.gov/oes/tables.htm</w:t>
        </w:r>
      </w:hyperlink>
      <w:r w:rsidRPr="002632CD" w:rsidR="00C96EE8">
        <w:rPr>
          <w:rFonts w:ascii="Times New Roman" w:hAnsi="Times New Roman" w:cs="Times New Roman"/>
        </w:rPr>
        <w:t xml:space="preserve">.  This composite is calculated by averaging wages across six occupations (11-1010, 11-3021, 11-3031, 13-1041, 23-1010, and 43-3099) and nine groupings of North American Industry Classification System codes that are most comparable to the 11 categories of affected financial institutions in 31 CFR parts 1020–1030.  FinCEN then adjusts this base wage to reflect total employer costs, including benefits.  To do so, it applies a private sector benefits factor of 1.42, calculated from BLS Employer Costs for Employee Compensation data for private industry workers as of June 2024 (total compensation of $43.94 divided by wages and salaries of $30.90).  </w:t>
      </w:r>
      <w:r w:rsidRPr="002632CD" w:rsidR="00C96EE8">
        <w:rPr>
          <w:rFonts w:ascii="Times New Roman" w:hAnsi="Times New Roman" w:cs="Times New Roman"/>
          <w:i/>
          <w:iCs/>
        </w:rPr>
        <w:t>Employer Costs for Employee Compensation</w:t>
      </w:r>
      <w:r w:rsidRPr="002632CD" w:rsidR="00C96EE8">
        <w:rPr>
          <w:rFonts w:ascii="Times New Roman" w:hAnsi="Times New Roman" w:cs="Times New Roman"/>
        </w:rPr>
        <w:t xml:space="preserve"> data, </w:t>
      </w:r>
      <w:hyperlink r:id="rId4" w:history="1">
        <w:r w:rsidRPr="002632CD" w:rsidR="00C96EE8">
          <w:rPr>
            <w:rStyle w:val="Hyperlink"/>
            <w:rFonts w:ascii="Times New Roman" w:hAnsi="Times New Roman" w:cs="Times New Roman"/>
          </w:rPr>
          <w:t>https://www.bls.gov/news.release/archives/ecec_09102024.pdf</w:t>
        </w:r>
      </w:hyperlink>
      <w:r w:rsidRPr="002632CD" w:rsidR="00C96EE8">
        <w:rPr>
          <w:rFonts w:ascii="Times New Roman" w:hAnsi="Times New Roman" w:cs="Times New Roman"/>
        </w:rPr>
        <w:t xml:space="preserve">.  Applying this factor to the composite wage results in a fully loaded hourly rate of $124.58 ($87.61 × 1.42), which reflects total compensation, including benefits such as insurance and paid leave.  </w:t>
      </w:r>
    </w:p>
  </w:footnote>
  <w:footnote w:id="13">
    <w:p w:rsidR="00896072" w:rsidRPr="003309D2" w14:paraId="430160D6" w14:textId="0263B424">
      <w:pPr>
        <w:pStyle w:val="FootnoteText"/>
        <w:rPr>
          <w:rFonts w:ascii="Times New Roman" w:hAnsi="Times New Roman" w:cs="Times New Roman"/>
        </w:rPr>
      </w:pPr>
      <w:r w:rsidRPr="003309D2">
        <w:rPr>
          <w:rStyle w:val="FootnoteReference"/>
          <w:rFonts w:ascii="Times New Roman" w:hAnsi="Times New Roman" w:cs="Times New Roman"/>
        </w:rPr>
        <w:footnoteRef/>
      </w:r>
      <w:r w:rsidRPr="003309D2">
        <w:rPr>
          <w:rFonts w:ascii="Times New Roman" w:hAnsi="Times New Roman" w:cs="Times New Roman"/>
        </w:rPr>
        <w:t xml:space="preserve"> These estimates reflect the projected proportion of costs to FinCEN as presented in section VII.A.4.b.ii of the 2026 AML/CFT Program NPRM that would be expended in connection with the proposed regulation of banks lacking an FFR, insurance companies, and loan or finance companies specifically.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60DF7"/>
    <w:multiLevelType w:val="hybridMultilevel"/>
    <w:tmpl w:val="D540A78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57D371C"/>
    <w:multiLevelType w:val="hybridMultilevel"/>
    <w:tmpl w:val="2E18CBC6"/>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7E7FD1"/>
    <w:multiLevelType w:val="hybridMultilevel"/>
    <w:tmpl w:val="CBB45CBE"/>
    <w:lvl w:ilvl="0">
      <w:start w:val="1"/>
      <w:numFmt w:val="lowerLetter"/>
      <w:lvlText w:val="(%1)"/>
      <w:lvlJc w:val="left"/>
      <w:pPr>
        <w:ind w:left="1080" w:hanging="360"/>
      </w:pPr>
      <w:rPr>
        <w:rFonts w:hint="default"/>
      </w:rPr>
    </w:lvl>
    <w:lvl w:ilvl="1">
      <w:start w:val="1"/>
      <w:numFmt w:val="decimal"/>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61735E9"/>
    <w:multiLevelType w:val="hybridMultilevel"/>
    <w:tmpl w:val="F9F8212A"/>
    <w:lvl w:ilvl="0">
      <w:start w:val="0"/>
      <w:numFmt w:val="bullet"/>
      <w:lvlText w:val=""/>
      <w:lvlJc w:val="left"/>
      <w:pPr>
        <w:ind w:left="720" w:hanging="360"/>
      </w:pPr>
      <w:rPr>
        <w:rFonts w:ascii="Symbol" w:hAnsi="Symbol" w:eastAsiaTheme="minorEastAsia"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8D5DDB"/>
    <w:multiLevelType w:val="hybridMultilevel"/>
    <w:tmpl w:val="A6C2F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6BD66CF"/>
    <w:multiLevelType w:val="hybridMultilevel"/>
    <w:tmpl w:val="5C800E0E"/>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rPr>
        <w:rFonts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287E29FF"/>
    <w:multiLevelType w:val="hybridMultilevel"/>
    <w:tmpl w:val="A212FAB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357A3BBF"/>
    <w:multiLevelType w:val="hybridMultilevel"/>
    <w:tmpl w:val="8E4A4F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FC22694"/>
    <w:multiLevelType w:val="hybridMultilevel"/>
    <w:tmpl w:val="673861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4831039"/>
    <w:multiLevelType w:val="hybridMultilevel"/>
    <w:tmpl w:val="E38290B0"/>
    <w:lvl w:ilvl="0">
      <w:start w:val="0"/>
      <w:numFmt w:val="bullet"/>
      <w:lvlText w:val=""/>
      <w:lvlJc w:val="left"/>
      <w:pPr>
        <w:ind w:left="720" w:hanging="360"/>
      </w:pPr>
      <w:rPr>
        <w:rFonts w:ascii="Symbol" w:eastAsia="MS Mincho"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6A4165F"/>
    <w:multiLevelType w:val="hybridMultilevel"/>
    <w:tmpl w:val="EADC963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7D834CC"/>
    <w:multiLevelType w:val="hybridMultilevel"/>
    <w:tmpl w:val="8FD41EC8"/>
    <w:lvl w:ilvl="0">
      <w:start w:val="0"/>
      <w:numFmt w:val="bullet"/>
      <w:lvlText w:val=""/>
      <w:lvlJc w:val="left"/>
      <w:pPr>
        <w:ind w:left="720" w:hanging="360"/>
      </w:pPr>
      <w:rPr>
        <w:rFonts w:ascii="Symbol" w:hAnsi="Symbol" w:eastAsiaTheme="minorEastAsi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9331270"/>
    <w:multiLevelType w:val="hybridMultilevel"/>
    <w:tmpl w:val="678E323C"/>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76D104AD"/>
    <w:multiLevelType w:val="hybridMultilevel"/>
    <w:tmpl w:val="460224C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593247634">
    <w:abstractNumId w:val="8"/>
  </w:num>
  <w:num w:numId="2" w16cid:durableId="1178079767">
    <w:abstractNumId w:val="6"/>
  </w:num>
  <w:num w:numId="3" w16cid:durableId="1734547058">
    <w:abstractNumId w:val="7"/>
  </w:num>
  <w:num w:numId="4" w16cid:durableId="508256726">
    <w:abstractNumId w:val="9"/>
  </w:num>
  <w:num w:numId="5" w16cid:durableId="1131820865">
    <w:abstractNumId w:val="0"/>
  </w:num>
  <w:num w:numId="6" w16cid:durableId="2075852913">
    <w:abstractNumId w:val="4"/>
  </w:num>
  <w:num w:numId="7" w16cid:durableId="1064526070">
    <w:abstractNumId w:val="11"/>
  </w:num>
  <w:num w:numId="8" w16cid:durableId="2080981165">
    <w:abstractNumId w:val="2"/>
  </w:num>
  <w:num w:numId="9" w16cid:durableId="2069375409">
    <w:abstractNumId w:val="3"/>
  </w:num>
  <w:num w:numId="10" w16cid:durableId="1344043699">
    <w:abstractNumId w:val="13"/>
  </w:num>
  <w:num w:numId="11" w16cid:durableId="1795437572">
    <w:abstractNumId w:val="5"/>
  </w:num>
  <w:num w:numId="12" w16cid:durableId="1698508133">
    <w:abstractNumId w:val="1"/>
  </w:num>
  <w:num w:numId="13" w16cid:durableId="1592813173">
    <w:abstractNumId w:val="10"/>
  </w:num>
  <w:num w:numId="14" w16cid:durableId="19744854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CCA"/>
    <w:rsid w:val="0000193E"/>
    <w:rsid w:val="00012FB2"/>
    <w:rsid w:val="00020FFF"/>
    <w:rsid w:val="00037741"/>
    <w:rsid w:val="00056F5F"/>
    <w:rsid w:val="0006575A"/>
    <w:rsid w:val="00073249"/>
    <w:rsid w:val="00083ED8"/>
    <w:rsid w:val="0009337F"/>
    <w:rsid w:val="000A49BA"/>
    <w:rsid w:val="000B4DC8"/>
    <w:rsid w:val="000C287F"/>
    <w:rsid w:val="000C5E5D"/>
    <w:rsid w:val="000D0D4D"/>
    <w:rsid w:val="000D4B77"/>
    <w:rsid w:val="000F0051"/>
    <w:rsid w:val="0011079F"/>
    <w:rsid w:val="001164AF"/>
    <w:rsid w:val="00125F83"/>
    <w:rsid w:val="0013171C"/>
    <w:rsid w:val="001371C0"/>
    <w:rsid w:val="00142F20"/>
    <w:rsid w:val="001454C1"/>
    <w:rsid w:val="00153839"/>
    <w:rsid w:val="00171AAC"/>
    <w:rsid w:val="001725F9"/>
    <w:rsid w:val="00173BAB"/>
    <w:rsid w:val="00185BD5"/>
    <w:rsid w:val="00186085"/>
    <w:rsid w:val="00192800"/>
    <w:rsid w:val="001A32B0"/>
    <w:rsid w:val="001A6160"/>
    <w:rsid w:val="001A6B4D"/>
    <w:rsid w:val="001B291D"/>
    <w:rsid w:val="001C3A24"/>
    <w:rsid w:val="001C4A0C"/>
    <w:rsid w:val="001C782D"/>
    <w:rsid w:val="001D2870"/>
    <w:rsid w:val="001D333F"/>
    <w:rsid w:val="001D39DA"/>
    <w:rsid w:val="001D4999"/>
    <w:rsid w:val="001E2153"/>
    <w:rsid w:val="001E24B9"/>
    <w:rsid w:val="00201625"/>
    <w:rsid w:val="00203EE1"/>
    <w:rsid w:val="0020522C"/>
    <w:rsid w:val="0021468C"/>
    <w:rsid w:val="0023295F"/>
    <w:rsid w:val="0023661B"/>
    <w:rsid w:val="00236B80"/>
    <w:rsid w:val="00240CCA"/>
    <w:rsid w:val="002464C0"/>
    <w:rsid w:val="00251777"/>
    <w:rsid w:val="00254B73"/>
    <w:rsid w:val="00256EC8"/>
    <w:rsid w:val="002632CD"/>
    <w:rsid w:val="00271ED0"/>
    <w:rsid w:val="002806E5"/>
    <w:rsid w:val="00283167"/>
    <w:rsid w:val="00284AB9"/>
    <w:rsid w:val="0028625F"/>
    <w:rsid w:val="00291E36"/>
    <w:rsid w:val="00295373"/>
    <w:rsid w:val="002963BD"/>
    <w:rsid w:val="002A38F9"/>
    <w:rsid w:val="002A4EB8"/>
    <w:rsid w:val="002B1E6A"/>
    <w:rsid w:val="002B2A0D"/>
    <w:rsid w:val="002B46A7"/>
    <w:rsid w:val="002B59CB"/>
    <w:rsid w:val="002C5A9E"/>
    <w:rsid w:val="002D3012"/>
    <w:rsid w:val="002D427A"/>
    <w:rsid w:val="002D6BEE"/>
    <w:rsid w:val="002E3B24"/>
    <w:rsid w:val="002E5FF9"/>
    <w:rsid w:val="00300EC2"/>
    <w:rsid w:val="00302099"/>
    <w:rsid w:val="00302428"/>
    <w:rsid w:val="003214A2"/>
    <w:rsid w:val="003219F9"/>
    <w:rsid w:val="00326BCF"/>
    <w:rsid w:val="003309D2"/>
    <w:rsid w:val="00330BDB"/>
    <w:rsid w:val="003428B7"/>
    <w:rsid w:val="0034469D"/>
    <w:rsid w:val="00361CD5"/>
    <w:rsid w:val="00362741"/>
    <w:rsid w:val="003655A6"/>
    <w:rsid w:val="00366D5E"/>
    <w:rsid w:val="00366FFE"/>
    <w:rsid w:val="003709EB"/>
    <w:rsid w:val="00374716"/>
    <w:rsid w:val="00395CCD"/>
    <w:rsid w:val="003A3147"/>
    <w:rsid w:val="003A7D40"/>
    <w:rsid w:val="003C023B"/>
    <w:rsid w:val="003C1385"/>
    <w:rsid w:val="003C3EA7"/>
    <w:rsid w:val="003D39AE"/>
    <w:rsid w:val="00401978"/>
    <w:rsid w:val="00405EDA"/>
    <w:rsid w:val="004069DB"/>
    <w:rsid w:val="0041466D"/>
    <w:rsid w:val="00421256"/>
    <w:rsid w:val="004310A8"/>
    <w:rsid w:val="004366CE"/>
    <w:rsid w:val="00437505"/>
    <w:rsid w:val="00441322"/>
    <w:rsid w:val="00442B6A"/>
    <w:rsid w:val="00444373"/>
    <w:rsid w:val="00444D88"/>
    <w:rsid w:val="004467DE"/>
    <w:rsid w:val="00451A80"/>
    <w:rsid w:val="004615C6"/>
    <w:rsid w:val="0048552A"/>
    <w:rsid w:val="004A0F11"/>
    <w:rsid w:val="004A5666"/>
    <w:rsid w:val="004B0DD4"/>
    <w:rsid w:val="004D046B"/>
    <w:rsid w:val="004D2B32"/>
    <w:rsid w:val="004D3783"/>
    <w:rsid w:val="004D664B"/>
    <w:rsid w:val="004E3FE0"/>
    <w:rsid w:val="004F3E3E"/>
    <w:rsid w:val="004F685C"/>
    <w:rsid w:val="004F6860"/>
    <w:rsid w:val="005037C3"/>
    <w:rsid w:val="0051145B"/>
    <w:rsid w:val="00513245"/>
    <w:rsid w:val="00513FC8"/>
    <w:rsid w:val="00526268"/>
    <w:rsid w:val="00526FDA"/>
    <w:rsid w:val="00531017"/>
    <w:rsid w:val="005337EE"/>
    <w:rsid w:val="00540722"/>
    <w:rsid w:val="005455E3"/>
    <w:rsid w:val="00546393"/>
    <w:rsid w:val="00547B53"/>
    <w:rsid w:val="005535B0"/>
    <w:rsid w:val="005549E8"/>
    <w:rsid w:val="00554E5D"/>
    <w:rsid w:val="005563E9"/>
    <w:rsid w:val="00562421"/>
    <w:rsid w:val="00564839"/>
    <w:rsid w:val="005719F6"/>
    <w:rsid w:val="00571C37"/>
    <w:rsid w:val="0057293D"/>
    <w:rsid w:val="005773E8"/>
    <w:rsid w:val="00583024"/>
    <w:rsid w:val="00596A3F"/>
    <w:rsid w:val="005A62D8"/>
    <w:rsid w:val="005C3A1C"/>
    <w:rsid w:val="005C3E76"/>
    <w:rsid w:val="005C542D"/>
    <w:rsid w:val="005E24AE"/>
    <w:rsid w:val="005E79B3"/>
    <w:rsid w:val="005F1E41"/>
    <w:rsid w:val="005F7B15"/>
    <w:rsid w:val="00607B1C"/>
    <w:rsid w:val="00621B5D"/>
    <w:rsid w:val="00654ABE"/>
    <w:rsid w:val="00664F33"/>
    <w:rsid w:val="00666690"/>
    <w:rsid w:val="006B488A"/>
    <w:rsid w:val="006C6A89"/>
    <w:rsid w:val="006D326A"/>
    <w:rsid w:val="006E0A5D"/>
    <w:rsid w:val="006E3153"/>
    <w:rsid w:val="006E58BC"/>
    <w:rsid w:val="006E7219"/>
    <w:rsid w:val="006F052B"/>
    <w:rsid w:val="006F5A3B"/>
    <w:rsid w:val="00715CD8"/>
    <w:rsid w:val="007249A7"/>
    <w:rsid w:val="007348B5"/>
    <w:rsid w:val="00742E29"/>
    <w:rsid w:val="00752587"/>
    <w:rsid w:val="007562D4"/>
    <w:rsid w:val="00762182"/>
    <w:rsid w:val="0076263A"/>
    <w:rsid w:val="007738F5"/>
    <w:rsid w:val="00773B96"/>
    <w:rsid w:val="0077525A"/>
    <w:rsid w:val="00776F9B"/>
    <w:rsid w:val="00777B80"/>
    <w:rsid w:val="0078510F"/>
    <w:rsid w:val="00787B64"/>
    <w:rsid w:val="0079119B"/>
    <w:rsid w:val="0079392A"/>
    <w:rsid w:val="007941B9"/>
    <w:rsid w:val="00796BA0"/>
    <w:rsid w:val="00796CE7"/>
    <w:rsid w:val="00797F24"/>
    <w:rsid w:val="007B0ACD"/>
    <w:rsid w:val="007B1ED6"/>
    <w:rsid w:val="007B3592"/>
    <w:rsid w:val="007B36A7"/>
    <w:rsid w:val="007C0C0F"/>
    <w:rsid w:val="007D116F"/>
    <w:rsid w:val="007D308C"/>
    <w:rsid w:val="007D7F21"/>
    <w:rsid w:val="007E20E6"/>
    <w:rsid w:val="007E26F7"/>
    <w:rsid w:val="007E6A3F"/>
    <w:rsid w:val="007E79CE"/>
    <w:rsid w:val="007F0010"/>
    <w:rsid w:val="00807262"/>
    <w:rsid w:val="00821E5D"/>
    <w:rsid w:val="00823915"/>
    <w:rsid w:val="00851C7F"/>
    <w:rsid w:val="0085310F"/>
    <w:rsid w:val="00853ECC"/>
    <w:rsid w:val="00863E6E"/>
    <w:rsid w:val="00885841"/>
    <w:rsid w:val="00896072"/>
    <w:rsid w:val="008A0315"/>
    <w:rsid w:val="008A4327"/>
    <w:rsid w:val="008A6720"/>
    <w:rsid w:val="008B2464"/>
    <w:rsid w:val="008B3AEC"/>
    <w:rsid w:val="008B49FB"/>
    <w:rsid w:val="008B6115"/>
    <w:rsid w:val="008B79FB"/>
    <w:rsid w:val="008C01E6"/>
    <w:rsid w:val="008C723B"/>
    <w:rsid w:val="008E7980"/>
    <w:rsid w:val="008F0726"/>
    <w:rsid w:val="009000BF"/>
    <w:rsid w:val="00900C63"/>
    <w:rsid w:val="00910269"/>
    <w:rsid w:val="00913200"/>
    <w:rsid w:val="00913483"/>
    <w:rsid w:val="009172AB"/>
    <w:rsid w:val="0093511D"/>
    <w:rsid w:val="009440EE"/>
    <w:rsid w:val="00944731"/>
    <w:rsid w:val="0096624F"/>
    <w:rsid w:val="00970C95"/>
    <w:rsid w:val="00980612"/>
    <w:rsid w:val="00987B3E"/>
    <w:rsid w:val="00995C18"/>
    <w:rsid w:val="009A4B48"/>
    <w:rsid w:val="009B3D3D"/>
    <w:rsid w:val="009C60CC"/>
    <w:rsid w:val="009C7262"/>
    <w:rsid w:val="009D17B8"/>
    <w:rsid w:val="009E4ABC"/>
    <w:rsid w:val="009E7A72"/>
    <w:rsid w:val="009F473A"/>
    <w:rsid w:val="009F60C6"/>
    <w:rsid w:val="00A00B0F"/>
    <w:rsid w:val="00A06179"/>
    <w:rsid w:val="00A11549"/>
    <w:rsid w:val="00A1402E"/>
    <w:rsid w:val="00A232EB"/>
    <w:rsid w:val="00A26EF8"/>
    <w:rsid w:val="00A32719"/>
    <w:rsid w:val="00A4441A"/>
    <w:rsid w:val="00A54807"/>
    <w:rsid w:val="00A5568F"/>
    <w:rsid w:val="00A645B9"/>
    <w:rsid w:val="00A67041"/>
    <w:rsid w:val="00A701D6"/>
    <w:rsid w:val="00A87F0F"/>
    <w:rsid w:val="00A9066E"/>
    <w:rsid w:val="00A968DA"/>
    <w:rsid w:val="00AB5B89"/>
    <w:rsid w:val="00AC185E"/>
    <w:rsid w:val="00AD1D4F"/>
    <w:rsid w:val="00AF0FE6"/>
    <w:rsid w:val="00B2526B"/>
    <w:rsid w:val="00B32D02"/>
    <w:rsid w:val="00B35B9E"/>
    <w:rsid w:val="00B52209"/>
    <w:rsid w:val="00B55AFD"/>
    <w:rsid w:val="00B57673"/>
    <w:rsid w:val="00B6264B"/>
    <w:rsid w:val="00B63B8D"/>
    <w:rsid w:val="00B64F0A"/>
    <w:rsid w:val="00B70708"/>
    <w:rsid w:val="00B712EE"/>
    <w:rsid w:val="00B7410B"/>
    <w:rsid w:val="00B836D5"/>
    <w:rsid w:val="00B851E7"/>
    <w:rsid w:val="00B86FA8"/>
    <w:rsid w:val="00B9237E"/>
    <w:rsid w:val="00B95252"/>
    <w:rsid w:val="00BB780C"/>
    <w:rsid w:val="00BC0CCE"/>
    <w:rsid w:val="00BE7878"/>
    <w:rsid w:val="00BF740A"/>
    <w:rsid w:val="00C0079C"/>
    <w:rsid w:val="00C16C68"/>
    <w:rsid w:val="00C220A9"/>
    <w:rsid w:val="00C26617"/>
    <w:rsid w:val="00C443D7"/>
    <w:rsid w:val="00C463AC"/>
    <w:rsid w:val="00C517A8"/>
    <w:rsid w:val="00C70DC1"/>
    <w:rsid w:val="00C80B87"/>
    <w:rsid w:val="00C82441"/>
    <w:rsid w:val="00C908AD"/>
    <w:rsid w:val="00C91D18"/>
    <w:rsid w:val="00C96EE8"/>
    <w:rsid w:val="00CC2A46"/>
    <w:rsid w:val="00CC726F"/>
    <w:rsid w:val="00CF0537"/>
    <w:rsid w:val="00D06DD2"/>
    <w:rsid w:val="00D17398"/>
    <w:rsid w:val="00D17463"/>
    <w:rsid w:val="00D17F20"/>
    <w:rsid w:val="00D2326C"/>
    <w:rsid w:val="00D236A0"/>
    <w:rsid w:val="00D5024C"/>
    <w:rsid w:val="00D54697"/>
    <w:rsid w:val="00D62927"/>
    <w:rsid w:val="00D81174"/>
    <w:rsid w:val="00D97B05"/>
    <w:rsid w:val="00D97BF3"/>
    <w:rsid w:val="00DA1CFA"/>
    <w:rsid w:val="00DB09EF"/>
    <w:rsid w:val="00DB2B27"/>
    <w:rsid w:val="00DC2AC3"/>
    <w:rsid w:val="00DC2E07"/>
    <w:rsid w:val="00DD1892"/>
    <w:rsid w:val="00DD5DD8"/>
    <w:rsid w:val="00DD7A79"/>
    <w:rsid w:val="00E07C83"/>
    <w:rsid w:val="00E2753A"/>
    <w:rsid w:val="00E31D5E"/>
    <w:rsid w:val="00E36874"/>
    <w:rsid w:val="00E400C5"/>
    <w:rsid w:val="00E42EAD"/>
    <w:rsid w:val="00E60C55"/>
    <w:rsid w:val="00E665F0"/>
    <w:rsid w:val="00E7018B"/>
    <w:rsid w:val="00E76478"/>
    <w:rsid w:val="00E76EC7"/>
    <w:rsid w:val="00E848D0"/>
    <w:rsid w:val="00E92FE9"/>
    <w:rsid w:val="00E94881"/>
    <w:rsid w:val="00EB0449"/>
    <w:rsid w:val="00EC08A0"/>
    <w:rsid w:val="00EC0A36"/>
    <w:rsid w:val="00EC7C0B"/>
    <w:rsid w:val="00ED0EE3"/>
    <w:rsid w:val="00EE1CF0"/>
    <w:rsid w:val="00EF35D7"/>
    <w:rsid w:val="00F00BF0"/>
    <w:rsid w:val="00F06EF0"/>
    <w:rsid w:val="00F1294F"/>
    <w:rsid w:val="00F20D8A"/>
    <w:rsid w:val="00F2338B"/>
    <w:rsid w:val="00F237AA"/>
    <w:rsid w:val="00F276EE"/>
    <w:rsid w:val="00F4189F"/>
    <w:rsid w:val="00F46014"/>
    <w:rsid w:val="00F525C6"/>
    <w:rsid w:val="00F54F72"/>
    <w:rsid w:val="00F57BC6"/>
    <w:rsid w:val="00F60CF4"/>
    <w:rsid w:val="00F6510E"/>
    <w:rsid w:val="00F6777F"/>
    <w:rsid w:val="00F67C72"/>
    <w:rsid w:val="00F93C9B"/>
    <w:rsid w:val="00FA12D5"/>
    <w:rsid w:val="00FB21E8"/>
    <w:rsid w:val="00FC4A57"/>
    <w:rsid w:val="00FD7737"/>
    <w:rsid w:val="00FE0FB5"/>
    <w:rsid w:val="00FF4229"/>
    <w:rsid w:val="365DBCC6"/>
    <w:rsid w:val="3EF6E6B0"/>
    <w:rsid w:val="4CC2ED7F"/>
    <w:rsid w:val="5C06610E"/>
    <w:rsid w:val="679A95D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3E42A00"/>
  <w15:chartTrackingRefBased/>
  <w15:docId w15:val="{38F079ED-A011-4674-AEF5-A1278E54E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0CCA"/>
    <w:pPr>
      <w:spacing w:after="200" w:line="288" w:lineRule="auto"/>
    </w:pPr>
    <w:rPr>
      <w:rFonts w:eastAsiaTheme="minorEastAsia"/>
      <w:kern w:val="0"/>
      <w:sz w:val="21"/>
      <w:szCs w:val="21"/>
    </w:rPr>
  </w:style>
  <w:style w:type="paragraph" w:styleId="Heading1">
    <w:name w:val="heading 1"/>
    <w:basedOn w:val="Normal"/>
    <w:next w:val="Normal"/>
    <w:link w:val="Heading1Char"/>
    <w:uiPriority w:val="9"/>
    <w:qFormat/>
    <w:rsid w:val="00240C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0C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0C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0C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0C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0C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0C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0C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0C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0C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0C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0C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0C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0C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0C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0C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0C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0CCA"/>
    <w:rPr>
      <w:rFonts w:eastAsiaTheme="majorEastAsia" w:cstheme="majorBidi"/>
      <w:color w:val="272727" w:themeColor="text1" w:themeTint="D8"/>
    </w:rPr>
  </w:style>
  <w:style w:type="paragraph" w:styleId="Title">
    <w:name w:val="Title"/>
    <w:basedOn w:val="Normal"/>
    <w:next w:val="Normal"/>
    <w:link w:val="TitleChar"/>
    <w:uiPriority w:val="10"/>
    <w:qFormat/>
    <w:rsid w:val="00240C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C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0C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0C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0CCA"/>
    <w:pPr>
      <w:spacing w:before="160"/>
      <w:jc w:val="center"/>
    </w:pPr>
    <w:rPr>
      <w:i/>
      <w:iCs/>
      <w:color w:val="404040" w:themeColor="text1" w:themeTint="BF"/>
    </w:rPr>
  </w:style>
  <w:style w:type="character" w:customStyle="1" w:styleId="QuoteChar">
    <w:name w:val="Quote Char"/>
    <w:basedOn w:val="DefaultParagraphFont"/>
    <w:link w:val="Quote"/>
    <w:uiPriority w:val="29"/>
    <w:rsid w:val="00240CCA"/>
    <w:rPr>
      <w:i/>
      <w:iCs/>
      <w:color w:val="404040" w:themeColor="text1" w:themeTint="BF"/>
    </w:rPr>
  </w:style>
  <w:style w:type="paragraph" w:styleId="ListParagraph">
    <w:name w:val="List Paragraph"/>
    <w:basedOn w:val="Normal"/>
    <w:uiPriority w:val="34"/>
    <w:qFormat/>
    <w:rsid w:val="00240CCA"/>
    <w:pPr>
      <w:ind w:left="720"/>
      <w:contextualSpacing/>
    </w:pPr>
  </w:style>
  <w:style w:type="character" w:styleId="IntenseEmphasis">
    <w:name w:val="Intense Emphasis"/>
    <w:basedOn w:val="DefaultParagraphFont"/>
    <w:uiPriority w:val="21"/>
    <w:qFormat/>
    <w:rsid w:val="00240CCA"/>
    <w:rPr>
      <w:i/>
      <w:iCs/>
      <w:color w:val="0F4761" w:themeColor="accent1" w:themeShade="BF"/>
    </w:rPr>
  </w:style>
  <w:style w:type="paragraph" w:styleId="IntenseQuote">
    <w:name w:val="Intense Quote"/>
    <w:basedOn w:val="Normal"/>
    <w:next w:val="Normal"/>
    <w:link w:val="IntenseQuoteChar"/>
    <w:uiPriority w:val="30"/>
    <w:qFormat/>
    <w:rsid w:val="00240C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0CCA"/>
    <w:rPr>
      <w:i/>
      <w:iCs/>
      <w:color w:val="0F4761" w:themeColor="accent1" w:themeShade="BF"/>
    </w:rPr>
  </w:style>
  <w:style w:type="character" w:styleId="IntenseReference">
    <w:name w:val="Intense Reference"/>
    <w:basedOn w:val="DefaultParagraphFont"/>
    <w:uiPriority w:val="32"/>
    <w:qFormat/>
    <w:rsid w:val="00240CCA"/>
    <w:rPr>
      <w:b/>
      <w:bCs/>
      <w:smallCaps/>
      <w:color w:val="0F4761" w:themeColor="accent1" w:themeShade="BF"/>
      <w:spacing w:val="5"/>
    </w:rPr>
  </w:style>
  <w:style w:type="paragraph" w:styleId="BodyText">
    <w:name w:val="Body Text"/>
    <w:basedOn w:val="Normal"/>
    <w:link w:val="BodyTextChar"/>
    <w:rsid w:val="00240CCA"/>
    <w:pPr>
      <w:autoSpaceDE w:val="0"/>
      <w:autoSpaceDN w:val="0"/>
      <w:adjustRightInd w:val="0"/>
      <w:spacing w:before="283"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rsid w:val="00240CCA"/>
    <w:rPr>
      <w:rFonts w:ascii="Times New Roman" w:eastAsia="Times New Roman" w:hAnsi="Times New Roman" w:cs="Times New Roman"/>
      <w:kern w:val="0"/>
      <w:sz w:val="21"/>
      <w:szCs w:val="21"/>
    </w:rPr>
  </w:style>
  <w:style w:type="paragraph" w:styleId="PlainText">
    <w:name w:val="Plain Text"/>
    <w:basedOn w:val="Normal"/>
    <w:link w:val="PlainTextChar"/>
    <w:rsid w:val="00240CCA"/>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240CCA"/>
    <w:rPr>
      <w:rFonts w:ascii="Courier New" w:eastAsia="Times New Roman" w:hAnsi="Courier New" w:cs="Courier New"/>
      <w:kern w:val="0"/>
      <w:sz w:val="20"/>
      <w:szCs w:val="20"/>
    </w:rPr>
  </w:style>
  <w:style w:type="paragraph" w:styleId="BodyTextIndent">
    <w:name w:val="Body Text Indent"/>
    <w:basedOn w:val="Normal"/>
    <w:link w:val="BodyTextIndentChar"/>
    <w:unhideWhenUsed/>
    <w:rsid w:val="00240CCA"/>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240CCA"/>
    <w:rPr>
      <w:rFonts w:ascii="Times New Roman" w:eastAsia="Times New Roman" w:hAnsi="Times New Roman" w:cs="Times New Roman"/>
      <w:kern w:val="0"/>
      <w:sz w:val="24"/>
      <w:szCs w:val="24"/>
    </w:rPr>
  </w:style>
  <w:style w:type="paragraph" w:styleId="Revision">
    <w:name w:val="Revision"/>
    <w:hidden/>
    <w:uiPriority w:val="99"/>
    <w:semiHidden/>
    <w:rsid w:val="00203EE1"/>
    <w:pPr>
      <w:spacing w:after="0" w:line="240" w:lineRule="auto"/>
    </w:pPr>
    <w:rPr>
      <w:rFonts w:eastAsiaTheme="minorEastAsia"/>
      <w:kern w:val="0"/>
      <w:sz w:val="21"/>
      <w:szCs w:val="21"/>
    </w:rPr>
  </w:style>
  <w:style w:type="table" w:styleId="TableGrid">
    <w:name w:val="Table Grid"/>
    <w:basedOn w:val="TableNormal"/>
    <w:uiPriority w:val="39"/>
    <w:rsid w:val="00776F9B"/>
    <w:pPr>
      <w:spacing w:after="0" w:line="240" w:lineRule="auto"/>
    </w:pPr>
    <w:rPr>
      <w:kern w:val="0"/>
      <w:lang w:val="es-A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59CB"/>
    <w:rPr>
      <w:sz w:val="16"/>
      <w:szCs w:val="16"/>
    </w:rPr>
  </w:style>
  <w:style w:type="paragraph" w:styleId="CommentText">
    <w:name w:val="annotation text"/>
    <w:basedOn w:val="Normal"/>
    <w:link w:val="CommentTextChar"/>
    <w:uiPriority w:val="99"/>
    <w:unhideWhenUsed/>
    <w:rsid w:val="002B59CB"/>
    <w:pPr>
      <w:spacing w:line="240" w:lineRule="auto"/>
    </w:pPr>
    <w:rPr>
      <w:sz w:val="20"/>
      <w:szCs w:val="20"/>
    </w:rPr>
  </w:style>
  <w:style w:type="character" w:customStyle="1" w:styleId="CommentTextChar">
    <w:name w:val="Comment Text Char"/>
    <w:basedOn w:val="DefaultParagraphFont"/>
    <w:link w:val="CommentText"/>
    <w:uiPriority w:val="99"/>
    <w:rsid w:val="002B59CB"/>
    <w:rPr>
      <w:rFonts w:eastAsiaTheme="minorEastAsia"/>
      <w:kern w:val="0"/>
      <w:sz w:val="20"/>
      <w:szCs w:val="20"/>
    </w:rPr>
  </w:style>
  <w:style w:type="paragraph" w:styleId="CommentSubject">
    <w:name w:val="annotation subject"/>
    <w:basedOn w:val="CommentText"/>
    <w:next w:val="CommentText"/>
    <w:link w:val="CommentSubjectChar"/>
    <w:uiPriority w:val="99"/>
    <w:semiHidden/>
    <w:unhideWhenUsed/>
    <w:rsid w:val="002B59CB"/>
    <w:rPr>
      <w:b/>
      <w:bCs/>
    </w:rPr>
  </w:style>
  <w:style w:type="character" w:customStyle="1" w:styleId="CommentSubjectChar">
    <w:name w:val="Comment Subject Char"/>
    <w:basedOn w:val="CommentTextChar"/>
    <w:link w:val="CommentSubject"/>
    <w:uiPriority w:val="99"/>
    <w:semiHidden/>
    <w:rsid w:val="002B59CB"/>
    <w:rPr>
      <w:rFonts w:eastAsiaTheme="minorEastAsia"/>
      <w:b/>
      <w:bCs/>
      <w:kern w:val="0"/>
      <w:sz w:val="20"/>
      <w:szCs w:val="20"/>
    </w:rPr>
  </w:style>
  <w:style w:type="character" w:styleId="Hyperlink">
    <w:name w:val="Hyperlink"/>
    <w:basedOn w:val="DefaultParagraphFont"/>
    <w:uiPriority w:val="99"/>
    <w:unhideWhenUsed/>
    <w:rsid w:val="00E400C5"/>
    <w:rPr>
      <w:color w:val="0A2F41" w:themeColor="accent1" w:themeShade="80"/>
      <w:u w:val="single"/>
    </w:rPr>
  </w:style>
  <w:style w:type="character" w:styleId="UnresolvedMention">
    <w:name w:val="Unresolved Mention"/>
    <w:basedOn w:val="DefaultParagraphFont"/>
    <w:uiPriority w:val="99"/>
    <w:semiHidden/>
    <w:unhideWhenUsed/>
    <w:rsid w:val="0000193E"/>
    <w:rPr>
      <w:color w:val="605E5C"/>
      <w:shd w:val="clear" w:color="auto" w:fill="E1DFDD"/>
    </w:rPr>
  </w:style>
  <w:style w:type="paragraph" w:styleId="FootnoteText">
    <w:name w:val="footnote text"/>
    <w:aliases w:val=" Char,ALTS FOOTNOTE,Car,Char,Footnote Text Char Char,Footnote Text Char Char Char Char,Footnote Text Char Char Char Char Char Char Char Char Char Char Char Char Char Char Char Char Char,Footnote Text Char1 Char Char,Fußnote,Style 15,fn,ft"/>
    <w:basedOn w:val="Normal"/>
    <w:link w:val="FootnoteTextChar"/>
    <w:uiPriority w:val="99"/>
    <w:unhideWhenUsed/>
    <w:qFormat/>
    <w:rsid w:val="001D333F"/>
    <w:pPr>
      <w:spacing w:after="0" w:line="240" w:lineRule="auto"/>
    </w:pPr>
    <w:rPr>
      <w:sz w:val="20"/>
      <w:szCs w:val="20"/>
    </w:rPr>
  </w:style>
  <w:style w:type="character" w:customStyle="1" w:styleId="FootnoteTextChar">
    <w:name w:val="Footnote Text Char"/>
    <w:aliases w:val=" Char Char,ALTS FOOTNOTE Char,Car Char,Char Char,Footnote Text Char Char Char,Footnote Text Char Char Char Char Char,Footnote Text Char Char Char Char Char Char Char Char Char Char Char Char Char Char Char Char Char Char,Fußnote Char"/>
    <w:basedOn w:val="DefaultParagraphFont"/>
    <w:link w:val="FootnoteText"/>
    <w:uiPriority w:val="99"/>
    <w:rsid w:val="001D333F"/>
    <w:rPr>
      <w:rFonts w:eastAsiaTheme="minorEastAsia"/>
      <w:kern w:val="0"/>
      <w:sz w:val="20"/>
      <w:szCs w:val="20"/>
    </w:rPr>
  </w:style>
  <w:style w:type="character" w:styleId="FootnoteReference">
    <w:name w:val="footnote reference"/>
    <w:aliases w:val="(Footnote Reference),12,BVI fnr,EN Footnote Reference,Exposant 3 Point,Footnote,Footnote Reference Superscript,Footnote reference number,Footnote symbol,SUPERS,Style 16,Style 19,Style 35,Times 10 Point,Voetnootverwijzing,fr,note TESI"/>
    <w:basedOn w:val="DefaultParagraphFont"/>
    <w:uiPriority w:val="99"/>
    <w:unhideWhenUsed/>
    <w:qFormat/>
    <w:rsid w:val="001D333F"/>
    <w:rPr>
      <w:vertAlign w:val="superscript"/>
    </w:rPr>
  </w:style>
  <w:style w:type="paragraph" w:customStyle="1" w:styleId="NPRMBody">
    <w:name w:val="NPRM Body"/>
    <w:basedOn w:val="Normal"/>
    <w:qFormat/>
    <w:rsid w:val="00C517A8"/>
    <w:pPr>
      <w:spacing w:after="0" w:line="240" w:lineRule="auto"/>
      <w:ind w:firstLine="720"/>
    </w:pPr>
    <w:rPr>
      <w:rFonts w:ascii="Times New Roman" w:hAnsi="Times New Roman" w:eastAsiaTheme="majorEastAsia" w:cs="Times New Roman"/>
      <w:sz w:val="24"/>
      <w:szCs w:val="24"/>
      <w14:ligatures w14:val="none"/>
    </w:rPr>
  </w:style>
  <w:style w:type="paragraph" w:styleId="HTMLPreformatted">
    <w:name w:val="HTML Preformatted"/>
    <w:basedOn w:val="Normal"/>
    <w:link w:val="HTMLPreformattedChar"/>
    <w:unhideWhenUsed/>
    <w:rsid w:val="007E20E6"/>
    <w:pPr>
      <w:widowControl w:val="0"/>
      <w:autoSpaceDE w:val="0"/>
      <w:autoSpaceDN w:val="0"/>
      <w:adjustRightInd w:val="0"/>
      <w:spacing w:after="0" w:line="240" w:lineRule="auto"/>
    </w:pPr>
    <w:rPr>
      <w:rFonts w:ascii="Consolas" w:eastAsia="Times New Roman" w:hAnsi="Consolas" w:cs="Consolas"/>
      <w:sz w:val="20"/>
      <w:szCs w:val="20"/>
      <w14:ligatures w14:val="none"/>
    </w:rPr>
  </w:style>
  <w:style w:type="character" w:customStyle="1" w:styleId="HTMLPreformattedChar">
    <w:name w:val="HTML Preformatted Char"/>
    <w:basedOn w:val="DefaultParagraphFont"/>
    <w:link w:val="HTMLPreformatted"/>
    <w:rsid w:val="007E20E6"/>
    <w:rPr>
      <w:rFonts w:ascii="Consolas" w:eastAsia="Times New Roman" w:hAnsi="Consolas" w:cs="Consolas"/>
      <w:kern w:val="0"/>
      <w:sz w:val="20"/>
      <w:szCs w:val="20"/>
      <w14:ligatures w14:val="none"/>
    </w:rPr>
  </w:style>
  <w:style w:type="paragraph" w:styleId="Header">
    <w:name w:val="header"/>
    <w:basedOn w:val="Normal"/>
    <w:link w:val="HeaderChar"/>
    <w:uiPriority w:val="99"/>
    <w:unhideWhenUsed/>
    <w:rsid w:val="00B252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26B"/>
    <w:rPr>
      <w:rFonts w:eastAsiaTheme="minorEastAsia"/>
      <w:kern w:val="0"/>
      <w:sz w:val="21"/>
      <w:szCs w:val="21"/>
    </w:rPr>
  </w:style>
  <w:style w:type="paragraph" w:styleId="Footer">
    <w:name w:val="footer"/>
    <w:basedOn w:val="Normal"/>
    <w:link w:val="FooterChar"/>
    <w:uiPriority w:val="99"/>
    <w:unhideWhenUsed/>
    <w:rsid w:val="00B252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26B"/>
    <w:rPr>
      <w:rFonts w:eastAsiaTheme="minorEastAsia"/>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federalregister.gov/documents/2014/04/14/2014-08254/privacy-act-of-1974-as-amended-system-of-records-notice" TargetMode="External" /><Relationship Id="rId2" Type="http://schemas.openxmlformats.org/officeDocument/2006/relationships/hyperlink" Target="https://www.reginfo.gov/public/do/PRAViewDocument?ref_nbr=202406-1506-005" TargetMode="External" /><Relationship Id="rId3" Type="http://schemas.openxmlformats.org/officeDocument/2006/relationships/hyperlink" Target="https://www.bls.gov/oes/tables.htm" TargetMode="External" /><Relationship Id="rId4" Type="http://schemas.openxmlformats.org/officeDocument/2006/relationships/hyperlink" Target="https://www.bls.gov/news.release/archives/ecec_09102024.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5e070b10-8376-4a51-b35c-0da1b222944d">Final</Category>
    <CaseID xmlns="5e070b10-8376-4a51-b35c-0da1b222944d">20264-TFI-4184</CaseID>
    <DocID xmlns="5e070b10-8376-4a51-b35c-0da1b222944d">d5c4d4a8-aa2c-448d-a4d2-0d48ed8d12e6</DocI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09DE90990FDB5489F7FB77B43675A7B" ma:contentTypeVersion="5" ma:contentTypeDescription="Create a new document." ma:contentTypeScope="" ma:versionID="de09a8605c0ab60c7830ca62d6e25ced">
  <xsd:schema xmlns:xsd="http://www.w3.org/2001/XMLSchema" xmlns:xs="http://www.w3.org/2001/XMLSchema" xmlns:p="http://schemas.microsoft.com/office/2006/metadata/properties" xmlns:ns2="5e070b10-8376-4a51-b35c-0da1b222944d" xmlns:ns3="91882c98-ad7c-457b-bb99-16138be0c2aa" targetNamespace="http://schemas.microsoft.com/office/2006/metadata/properties" ma:root="true" ma:fieldsID="fef9b2f528630329159488af671bc94a" ns2:_="" ns3:_="">
    <xsd:import namespace="5e070b10-8376-4a51-b35c-0da1b222944d"/>
    <xsd:import namespace="91882c98-ad7c-457b-bb99-16138be0c2aa"/>
    <xsd:element name="properties">
      <xsd:complexType>
        <xsd:sequence>
          <xsd:element name="documentManagement">
            <xsd:complexType>
              <xsd:all>
                <xsd:element ref="ns2:Category" minOccurs="0"/>
                <xsd:element ref="ns2:DocID" minOccurs="0"/>
                <xsd:element ref="ns2:Case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70b10-8376-4a51-b35c-0da1b222944d"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Choice">
          <xsd:enumeration value="Final"/>
          <xsd:enumeration value="Draft"/>
          <xsd:enumeration value="IC"/>
        </xsd:restriction>
      </xsd:simpleType>
    </xsd:element>
    <xsd:element name="DocID" ma:index="9" nillable="true" ma:displayName="DocID" ma:internalName="DocID">
      <xsd:simpleType>
        <xsd:restriction base="dms:Text"/>
      </xsd:simpleType>
    </xsd:element>
    <xsd:element name="CaseID" ma:index="10" nillable="true" ma:displayName="CaseID" ma:internalName="Case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82c98-ad7c-457b-bb99-16138be0c2a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2306BA-E015-4A94-967B-8DC1E8461FCC}">
  <ds:schemaRefs>
    <ds:schemaRef ds:uri="http://purl.org/dc/elements/1.1/"/>
    <ds:schemaRef ds:uri="http://schemas.microsoft.com/office/2006/documentManagement/types"/>
    <ds:schemaRef ds:uri="http://purl.org/dc/terms/"/>
    <ds:schemaRef ds:uri="http://schemas.microsoft.com/office/2006/metadata/properties"/>
    <ds:schemaRef ds:uri="5e070b10-8376-4a51-b35c-0da1b222944d"/>
    <ds:schemaRef ds:uri="http://schemas.openxmlformats.org/package/2006/metadata/core-properties"/>
    <ds:schemaRef ds:uri="http://purl.org/dc/dcmitype/"/>
    <ds:schemaRef ds:uri="http://schemas.microsoft.com/office/infopath/2007/PartnerControls"/>
    <ds:schemaRef ds:uri="91882c98-ad7c-457b-bb99-16138be0c2aa"/>
    <ds:schemaRef ds:uri="http://www.w3.org/XML/1998/namespace"/>
  </ds:schemaRefs>
</ds:datastoreItem>
</file>

<file path=customXml/itemProps2.xml><?xml version="1.0" encoding="utf-8"?>
<ds:datastoreItem xmlns:ds="http://schemas.openxmlformats.org/officeDocument/2006/customXml" ds:itemID="{52A216BC-401F-4510-B574-2AA9654DE3A6}">
  <ds:schemaRefs>
    <ds:schemaRef ds:uri="http://schemas.openxmlformats.org/officeDocument/2006/bibliography"/>
  </ds:schemaRefs>
</ds:datastoreItem>
</file>

<file path=customXml/itemProps3.xml><?xml version="1.0" encoding="utf-8"?>
<ds:datastoreItem xmlns:ds="http://schemas.openxmlformats.org/officeDocument/2006/customXml" ds:itemID="{75EE999B-EF60-4A33-9A6A-19E0F32DF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70b10-8376-4a51-b35c-0da1b222944d"/>
    <ds:schemaRef ds:uri="91882c98-ad7c-457b-bb99-16138be0c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3370B9-881A-475C-82F4-70BCD25FBB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1470</Words>
  <Characters>8381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FinCEN</Company>
  <LinksUpToDate>false</LinksUpToDate>
  <CharactersWithSpaces>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 Mariesa</dc:creator>
  <cp:lastModifiedBy>Stewart, Jaclyn</cp:lastModifiedBy>
  <cp:revision>2</cp:revision>
  <dcterms:created xsi:type="dcterms:W3CDTF">2026-04-22T16:09:00Z</dcterms:created>
  <dcterms:modified xsi:type="dcterms:W3CDTF">2026-04-22T16:09:00Z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0x010100509DE90990FDB5489F7FB77B43675A7B</vt:lpwstr>
  </property>
</Properties>
</file>