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066D" w:rsidP="00466B49" w14:paraId="314A30E4" w14:textId="77777777">
      <w:pPr>
        <w:jc w:val="center"/>
        <w:rPr>
          <w:rFonts w:ascii="Tahoma" w:hAnsi="Tahoma" w:cs="Tahoma"/>
          <w:b/>
          <w:bCs/>
          <w:iCs/>
          <w:color w:val="3366FF"/>
          <w:sz w:val="22"/>
          <w:szCs w:val="22"/>
        </w:rPr>
      </w:pPr>
    </w:p>
    <w:p w:rsidR="00C37CD8" w:rsidRPr="00504B59" w:rsidP="00466B49" w14:paraId="0642702D" w14:textId="77777777">
      <w:pPr>
        <w:jc w:val="center"/>
        <w:rPr>
          <w:rFonts w:ascii="Tahoma" w:hAnsi="Tahoma" w:cs="Tahoma"/>
          <w:b/>
          <w:bCs/>
          <w:i/>
          <w:iCs/>
          <w:color w:val="33CCCC"/>
          <w:sz w:val="22"/>
          <w:szCs w:val="22"/>
          <w:u w:val="single"/>
        </w:rPr>
      </w:pPr>
    </w:p>
    <w:p w:rsidR="003A5DE5" w:rsidP="00466B49" w14:paraId="3DD61D8E" w14:textId="77777777">
      <w:pPr>
        <w:ind w:left="-360" w:right="-360"/>
        <w:jc w:val="center"/>
        <w:rPr>
          <w:rFonts w:ascii="Arial" w:hAnsi="Arial" w:cs="Arial"/>
          <w:b/>
          <w:bCs/>
          <w:u w:val="single"/>
        </w:rPr>
      </w:pPr>
      <w:r>
        <w:rPr>
          <w:rFonts w:ascii="Arial" w:hAnsi="Arial" w:cs="Arial"/>
          <w:b/>
          <w:bCs/>
          <w:u w:val="single"/>
        </w:rPr>
        <w:t xml:space="preserve">Supporting Statement </w:t>
      </w:r>
    </w:p>
    <w:p w:rsidR="004F2042" w:rsidP="00466B49" w14:paraId="5A3894B2" w14:textId="77777777">
      <w:pPr>
        <w:ind w:left="-360" w:right="-360"/>
        <w:jc w:val="center"/>
        <w:rPr>
          <w:rFonts w:ascii="Arial" w:hAnsi="Arial" w:cs="Arial"/>
          <w:b/>
          <w:bCs/>
          <w:u w:val="single"/>
        </w:rPr>
      </w:pPr>
      <w:r w:rsidRPr="008112BA">
        <w:rPr>
          <w:rFonts w:ascii="Arial" w:hAnsi="Arial" w:cs="Arial"/>
          <w:b/>
          <w:bCs/>
          <w:u w:val="single"/>
        </w:rPr>
        <w:t xml:space="preserve">OMB </w:t>
      </w:r>
      <w:r w:rsidR="00BC5EF3">
        <w:rPr>
          <w:rFonts w:ascii="Arial" w:hAnsi="Arial" w:cs="Arial"/>
          <w:b/>
          <w:bCs/>
          <w:u w:val="single"/>
        </w:rPr>
        <w:t>15</w:t>
      </w:r>
      <w:r w:rsidR="006D2C04">
        <w:rPr>
          <w:rFonts w:ascii="Arial" w:hAnsi="Arial" w:cs="Arial"/>
          <w:b/>
          <w:bCs/>
          <w:u w:val="single"/>
        </w:rPr>
        <w:t>30</w:t>
      </w:r>
      <w:r w:rsidRPr="008112BA">
        <w:rPr>
          <w:rFonts w:ascii="Arial" w:hAnsi="Arial" w:cs="Arial"/>
          <w:b/>
          <w:bCs/>
          <w:u w:val="single"/>
        </w:rPr>
        <w:t>-</w:t>
      </w:r>
      <w:r>
        <w:rPr>
          <w:rFonts w:ascii="Arial" w:hAnsi="Arial" w:cs="Arial"/>
          <w:b/>
          <w:bCs/>
          <w:u w:val="single"/>
        </w:rPr>
        <w:t>0066</w:t>
      </w:r>
    </w:p>
    <w:p w:rsidR="004F2042" w:rsidP="00466B49" w14:paraId="47AD4EC6" w14:textId="77777777">
      <w:pPr>
        <w:ind w:left="-360" w:right="-360"/>
        <w:jc w:val="center"/>
        <w:rPr>
          <w:rFonts w:ascii="Arial" w:hAnsi="Arial" w:cs="Arial"/>
          <w:b/>
          <w:bCs/>
          <w:u w:val="single"/>
        </w:rPr>
      </w:pPr>
      <w:r>
        <w:rPr>
          <w:rFonts w:ascii="Arial" w:hAnsi="Arial" w:cs="Arial"/>
          <w:b/>
          <w:bCs/>
          <w:u w:val="single"/>
        </w:rPr>
        <w:t>CMIA Annual Report and Interest Calculation Cost Claims</w:t>
      </w:r>
    </w:p>
    <w:p w:rsidR="00EC10FF" w:rsidP="00BC5EF3" w14:paraId="5EB3E12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14:paraId="35D1DCED" w14:textId="77777777">
      <w:pPr>
        <w:numPr>
          <w:ilvl w:val="0"/>
          <w:numId w:val="20"/>
        </w:numPr>
        <w:tabs>
          <w:tab w:val="left" w:pos="540"/>
          <w:tab w:val="clear" w:pos="720"/>
        </w:tabs>
        <w:ind w:left="0" w:firstLine="0"/>
        <w:rPr>
          <w:rFonts w:ascii="Arial" w:hAnsi="Arial" w:cs="Arial"/>
          <w:b/>
          <w:bCs/>
          <w:sz w:val="22"/>
          <w:szCs w:val="22"/>
        </w:rPr>
      </w:pPr>
      <w:r w:rsidRPr="008112BA">
        <w:rPr>
          <w:rFonts w:ascii="Arial" w:hAnsi="Arial" w:cs="Arial"/>
          <w:b/>
          <w:bCs/>
          <w:sz w:val="22"/>
          <w:szCs w:val="22"/>
        </w:rPr>
        <w:t>Justification</w:t>
      </w:r>
    </w:p>
    <w:p w:rsidR="008112BA" w:rsidRPr="008112BA" w:rsidP="00BC5EF3" w14:paraId="4F1553AD" w14:textId="77777777">
      <w:pPr>
        <w:tabs>
          <w:tab w:val="left" w:pos="540"/>
        </w:tabs>
        <w:rPr>
          <w:rFonts w:ascii="Arial" w:hAnsi="Arial" w:cs="Arial"/>
          <w:b/>
          <w:bCs/>
          <w:sz w:val="22"/>
          <w:szCs w:val="22"/>
        </w:rPr>
      </w:pPr>
    </w:p>
    <w:p w:rsidR="00432C2B" w:rsidP="00BC5EF3" w14:paraId="0037FD0D"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00601E8D" w:rsidRPr="00601E8D" w:rsidP="00601E8D" w14:paraId="42D5CEF9" w14:textId="77777777">
      <w:pPr>
        <w:pStyle w:val="BodyTextIndent2"/>
        <w:tabs>
          <w:tab w:val="left" w:pos="540"/>
        </w:tabs>
        <w:spacing w:before="120" w:after="120"/>
        <w:ind w:left="540"/>
        <w:rPr>
          <w:rFonts w:ascii="Arial" w:hAnsi="Arial" w:cs="Arial"/>
          <w:b w:val="0"/>
          <w:bCs w:val="0"/>
          <w:sz w:val="22"/>
          <w:szCs w:val="22"/>
        </w:rPr>
      </w:pPr>
      <w:r w:rsidRPr="00601E8D">
        <w:rPr>
          <w:rFonts w:ascii="Arial" w:hAnsi="Arial" w:cs="Arial"/>
          <w:b w:val="0"/>
          <w:bCs w:val="0"/>
          <w:sz w:val="22"/>
          <w:szCs w:val="22"/>
        </w:rPr>
        <w:t>The information collection (CMIA Annual Report) is required by the Cash Management Improvement Act of 1990 (Public Law 101-453), as amended by the Cash Management Improvement Act of 1992 (Public Law 102-589) and codified at 31 U.S.C. 6501 and 31 U.S.C. 6503.</w:t>
      </w:r>
    </w:p>
    <w:p w:rsidR="00601E8D" w:rsidP="00601E8D" w14:paraId="61D273BD"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rFonts w:ascii="Arial" w:hAnsi="Arial" w:cs="Arial"/>
          <w:b w:val="0"/>
          <w:bCs w:val="0"/>
          <w:sz w:val="22"/>
          <w:szCs w:val="22"/>
        </w:rPr>
      </w:pPr>
      <w:r w:rsidRPr="00601E8D">
        <w:rPr>
          <w:rFonts w:ascii="Arial" w:hAnsi="Arial" w:cs="Arial"/>
          <w:b w:val="0"/>
          <w:bCs w:val="0"/>
          <w:sz w:val="22"/>
          <w:szCs w:val="22"/>
        </w:rPr>
        <w:t>The information is necessary to determine interest liabilities related to the timely drawdown of Federal financial assistance to the States</w:t>
      </w:r>
    </w:p>
    <w:p w:rsidR="00432C2B" w:rsidP="000356B0" w14:paraId="60EBE7A6"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008112BA" w:rsidRPr="004F2042" w:rsidP="00432C2B" w14:paraId="5522A7FD" w14:textId="261A0F0D">
      <w:pPr>
        <w:pStyle w:val="smindent"/>
        <w:tabs>
          <w:tab w:val="left" w:pos="540"/>
        </w:tabs>
        <w:spacing w:before="120" w:beforeAutospacing="0" w:after="120" w:afterAutospacing="0"/>
        <w:ind w:left="540" w:hanging="540"/>
        <w:rPr>
          <w:rFonts w:ascii="Arial" w:hAnsi="Arial" w:cs="Arial"/>
          <w:color w:val="auto"/>
          <w:sz w:val="22"/>
          <w:szCs w:val="22"/>
        </w:rPr>
      </w:pPr>
      <w:r>
        <w:rPr>
          <w:rFonts w:ascii="Arial" w:hAnsi="Arial" w:cs="Arial"/>
          <w:color w:val="3366FF"/>
          <w:sz w:val="22"/>
          <w:szCs w:val="22"/>
        </w:rPr>
        <w:tab/>
      </w:r>
      <w:r w:rsidRPr="00601E8D" w:rsidR="00601E8D">
        <w:rPr>
          <w:rFonts w:ascii="Arial" w:hAnsi="Arial" w:cs="Arial"/>
          <w:bCs/>
          <w:color w:val="auto"/>
          <w:sz w:val="22"/>
          <w:szCs w:val="22"/>
        </w:rPr>
        <w:t>The information is used by Treasury’s Bureau of the Fiscal Service to determine interest liabilities related to the timely drawdown of Federal financial assistance to the States.</w:t>
      </w:r>
    </w:p>
    <w:p w:rsidR="00601E8D" w:rsidRPr="00601E8D" w:rsidP="00601E8D" w14:paraId="10033FC6" w14:textId="1CCFE05A">
      <w:pPr>
        <w:numPr>
          <w:ilvl w:val="0"/>
          <w:numId w:val="10"/>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t>Consideration Given to Information Technology.</w:t>
      </w:r>
    </w:p>
    <w:p w:rsidR="00726633" w:rsidRPr="00601E8D" w:rsidP="00726633" w14:paraId="7624865A" w14:textId="259EE8F2">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rFonts w:ascii="Arial" w:hAnsi="Arial" w:cs="Arial"/>
          <w:b w:val="0"/>
          <w:bCs w:val="0"/>
          <w:sz w:val="22"/>
          <w:szCs w:val="22"/>
        </w:rPr>
      </w:pPr>
      <w:r w:rsidRPr="00601E8D">
        <w:rPr>
          <w:rFonts w:ascii="Arial" w:hAnsi="Arial" w:cs="Arial"/>
          <w:b w:val="0"/>
          <w:bCs w:val="0"/>
          <w:sz w:val="22"/>
          <w:szCs w:val="22"/>
        </w:rPr>
        <w:t>A web-based information collection system was implemented in 1998 to replace a paper-based system and reduce the administrative/paperwork burden for States, Federal agencies</w:t>
      </w:r>
      <w:r w:rsidR="005C29BE">
        <w:rPr>
          <w:rFonts w:ascii="Arial" w:hAnsi="Arial" w:cs="Arial"/>
          <w:b w:val="0"/>
          <w:bCs w:val="0"/>
          <w:sz w:val="22"/>
          <w:szCs w:val="22"/>
        </w:rPr>
        <w:t>,</w:t>
      </w:r>
      <w:r w:rsidRPr="00601E8D">
        <w:rPr>
          <w:rFonts w:ascii="Arial" w:hAnsi="Arial" w:cs="Arial"/>
          <w:b w:val="0"/>
          <w:bCs w:val="0"/>
          <w:sz w:val="22"/>
          <w:szCs w:val="22"/>
        </w:rPr>
        <w:t xml:space="preserve"> and Treasury/Fiscal Service. The system was enhanced in 2020 using a cloud platform to make improvements to data integrity, customer support, and the overall user experience.</w:t>
      </w:r>
    </w:p>
    <w:p w:rsidR="00432C2B" w:rsidP="00432C2B" w14:paraId="67B24507" w14:textId="77777777">
      <w:pPr>
        <w:numPr>
          <w:ilvl w:val="0"/>
          <w:numId w:val="10"/>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00890057" w:rsidRPr="00660A11" w:rsidP="00660A11" w14:paraId="3D0EFCED" w14:textId="77777777">
      <w:pPr>
        <w:spacing w:before="120" w:after="120"/>
        <w:ind w:left="540"/>
        <w:jc w:val="both"/>
        <w:rPr>
          <w:rFonts w:ascii="Arial" w:hAnsi="Arial" w:cs="Arial"/>
          <w:sz w:val="22"/>
          <w:szCs w:val="22"/>
        </w:rPr>
      </w:pPr>
      <w:r w:rsidRPr="00660A11">
        <w:rPr>
          <w:rFonts w:ascii="Arial" w:hAnsi="Arial" w:cs="Arial"/>
          <w:sz w:val="22"/>
          <w:szCs w:val="22"/>
        </w:rPr>
        <w:t>There is no duplication – this is unique information that is specifically required by statute P.L. 101-453.  The annual requirement for the collection of this information is prescribed in the statute.  See response Item #2.</w:t>
      </w:r>
    </w:p>
    <w:p w:rsidR="00660A11" w:rsidRPr="00660A11" w:rsidP="00660A11" w14:paraId="0309F2B5" w14:textId="7777777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90057" w:rsidRPr="00660A11" w:rsidP="00660A11" w14:paraId="2FB0BEBB" w14:textId="77777777">
      <w:pPr>
        <w:tabs>
          <w:tab w:val="left" w:pos="540"/>
        </w:tabs>
        <w:spacing w:before="120" w:after="120"/>
        <w:ind w:left="540"/>
        <w:jc w:val="both"/>
        <w:rPr>
          <w:rFonts w:ascii="Arial" w:hAnsi="Arial" w:cs="Arial"/>
          <w:sz w:val="22"/>
          <w:szCs w:val="22"/>
        </w:rPr>
      </w:pPr>
      <w:r w:rsidRPr="00660A11">
        <w:rPr>
          <w:rFonts w:ascii="Arial" w:hAnsi="Arial" w:cs="Arial"/>
          <w:sz w:val="22"/>
          <w:szCs w:val="22"/>
        </w:rPr>
        <w:t>The information collection requirement pertains exclusively to State governments.  No information is directly or indirectly requested of small businesses.  The report was designed cooperatively by Treasury/Fiscal Service and the States including small State governments and territories.</w:t>
      </w:r>
    </w:p>
    <w:p w:rsidR="00432C2B" w:rsidP="00432C2B" w14:paraId="2A91CF86"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890057" w:rsidRPr="00660A11" w:rsidP="00BC5EF3" w14:paraId="36D30C04" w14:textId="77777777">
      <w:pPr>
        <w:tabs>
          <w:tab w:val="left" w:pos="540"/>
        </w:tabs>
        <w:spacing w:before="120" w:after="120"/>
        <w:ind w:left="540"/>
        <w:rPr>
          <w:rFonts w:ascii="Arial" w:hAnsi="Arial" w:cs="Arial"/>
          <w:sz w:val="22"/>
          <w:szCs w:val="22"/>
        </w:rPr>
      </w:pPr>
      <w:r w:rsidRPr="00660A11">
        <w:rPr>
          <w:rFonts w:ascii="Arial" w:hAnsi="Arial" w:cs="Arial"/>
          <w:sz w:val="22"/>
          <w:szCs w:val="22"/>
        </w:rPr>
        <w:t>If the information is not collected, the Department of the Treasury is in noncompliance with provisions of the Cash Management Improvement Act (P.L. 101-453).  Unless there is a statutory change to the annual reporting requirement, there is no option to collect the information less frequently.</w:t>
      </w:r>
    </w:p>
    <w:p w:rsidR="00432C2B" w:rsidP="00432C2B" w14:paraId="5980C21B" w14:textId="77777777">
      <w:pPr>
        <w:numPr>
          <w:ilvl w:val="0"/>
          <w:numId w:val="10"/>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003D1ABD" w:rsidRPr="00BC550A" w:rsidP="00660A11" w14:paraId="3BA358AE" w14:textId="77777777">
      <w:pPr>
        <w:tabs>
          <w:tab w:val="num" w:pos="540"/>
        </w:tabs>
        <w:spacing w:before="120" w:after="120"/>
        <w:ind w:left="540" w:hanging="540"/>
        <w:rPr>
          <w:rFonts w:ascii="Arial" w:hAnsi="Arial" w:cs="Arial"/>
          <w:sz w:val="22"/>
          <w:szCs w:val="22"/>
        </w:rPr>
      </w:pPr>
      <w:r>
        <w:rPr>
          <w:rFonts w:ascii="Arial" w:hAnsi="Arial" w:cs="Arial"/>
          <w:bCs/>
          <w:color w:val="3366CC"/>
          <w:sz w:val="22"/>
          <w:szCs w:val="22"/>
        </w:rPr>
        <w:tab/>
      </w:r>
      <w:r w:rsidRPr="00BC550A">
        <w:rPr>
          <w:rFonts w:ascii="Arial" w:hAnsi="Arial" w:cs="Arial"/>
          <w:sz w:val="22"/>
          <w:szCs w:val="22"/>
        </w:rPr>
        <w:t>There are no special circumstances.  The collection of information is conducted in a manner consistent with the guidelines in 5 CFR 1320.6.</w:t>
      </w:r>
    </w:p>
    <w:p w:rsidR="00432C2B" w:rsidP="00F8418A" w14:paraId="048DE102"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002D277C" w:rsidRPr="00781C57" w:rsidP="00BC5EF3" w14:paraId="51FDBC61" w14:textId="2F5454FD">
      <w:pPr>
        <w:tabs>
          <w:tab w:val="left" w:pos="540"/>
        </w:tabs>
        <w:spacing w:before="120" w:after="120"/>
        <w:ind w:left="547"/>
        <w:rPr>
          <w:rFonts w:ascii="Arial" w:hAnsi="Arial" w:cs="Arial"/>
          <w:sz w:val="22"/>
          <w:szCs w:val="22"/>
        </w:rPr>
      </w:pPr>
      <w:r w:rsidRPr="00781C57">
        <w:rPr>
          <w:rFonts w:ascii="Arial" w:hAnsi="Arial" w:cs="Arial"/>
          <w:sz w:val="22"/>
          <w:szCs w:val="22"/>
        </w:rPr>
        <w:t xml:space="preserve">The Bureau published a notice for public </w:t>
      </w:r>
      <w:r w:rsidRPr="00781C57">
        <w:rPr>
          <w:rFonts w:ascii="Arial" w:hAnsi="Arial" w:cs="Arial"/>
          <w:sz w:val="22"/>
          <w:szCs w:val="22"/>
        </w:rPr>
        <w:t>comment</w:t>
      </w:r>
      <w:r w:rsidRPr="00781C57">
        <w:rPr>
          <w:rFonts w:ascii="Arial" w:hAnsi="Arial" w:cs="Arial"/>
          <w:sz w:val="22"/>
          <w:szCs w:val="22"/>
        </w:rPr>
        <w:t xml:space="preserve"> in the Federal Register on </w:t>
      </w:r>
      <w:r w:rsidR="00F7726F">
        <w:rPr>
          <w:rFonts w:ascii="Arial" w:hAnsi="Arial" w:cs="Arial"/>
          <w:sz w:val="22"/>
          <w:szCs w:val="22"/>
        </w:rPr>
        <w:t>January 29, 2026</w:t>
      </w:r>
      <w:r w:rsidRPr="00781C57">
        <w:rPr>
          <w:rFonts w:ascii="Arial" w:hAnsi="Arial" w:cs="Arial"/>
          <w:sz w:val="22"/>
          <w:szCs w:val="22"/>
        </w:rPr>
        <w:t xml:space="preserve">, Volume </w:t>
      </w:r>
      <w:r w:rsidR="00F7726F">
        <w:rPr>
          <w:rFonts w:ascii="Arial" w:hAnsi="Arial" w:cs="Arial"/>
          <w:sz w:val="22"/>
          <w:szCs w:val="22"/>
        </w:rPr>
        <w:t>91</w:t>
      </w:r>
      <w:r w:rsidRPr="00781C57">
        <w:rPr>
          <w:rFonts w:ascii="Arial" w:hAnsi="Arial" w:cs="Arial"/>
          <w:sz w:val="22"/>
          <w:szCs w:val="22"/>
        </w:rPr>
        <w:t xml:space="preserve">, Number </w:t>
      </w:r>
      <w:r w:rsidR="00023C9B">
        <w:rPr>
          <w:rFonts w:ascii="Arial" w:hAnsi="Arial" w:cs="Arial"/>
          <w:sz w:val="22"/>
          <w:szCs w:val="22"/>
        </w:rPr>
        <w:t>1</w:t>
      </w:r>
      <w:r w:rsidR="00F7726F">
        <w:rPr>
          <w:rFonts w:ascii="Arial" w:hAnsi="Arial" w:cs="Arial"/>
          <w:sz w:val="22"/>
          <w:szCs w:val="22"/>
        </w:rPr>
        <w:t>9</w:t>
      </w:r>
      <w:r w:rsidRPr="00781C57">
        <w:rPr>
          <w:rFonts w:ascii="Arial" w:hAnsi="Arial" w:cs="Arial"/>
          <w:sz w:val="22"/>
          <w:szCs w:val="22"/>
        </w:rPr>
        <w:t xml:space="preserve">, page </w:t>
      </w:r>
      <w:r w:rsidR="00F7726F">
        <w:rPr>
          <w:rFonts w:ascii="Arial" w:hAnsi="Arial" w:cs="Arial"/>
          <w:sz w:val="22"/>
          <w:szCs w:val="22"/>
        </w:rPr>
        <w:t>3983</w:t>
      </w:r>
      <w:r w:rsidRPr="00781C57">
        <w:rPr>
          <w:rFonts w:ascii="Arial" w:hAnsi="Arial" w:cs="Arial"/>
          <w:sz w:val="22"/>
          <w:szCs w:val="22"/>
        </w:rPr>
        <w:t>. No public comments were received.</w:t>
      </w:r>
    </w:p>
    <w:p w:rsidR="00432C2B" w:rsidP="00432C2B" w14:paraId="0E30A6FD"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Payment or Gift.</w:t>
      </w:r>
    </w:p>
    <w:p w:rsidR="00890057" w:rsidRPr="00781C57" w:rsidP="00781C57" w14:paraId="7B82F1E7" w14:textId="77777777">
      <w:pPr>
        <w:tabs>
          <w:tab w:val="left" w:pos="540"/>
        </w:tabs>
        <w:spacing w:before="120" w:after="120"/>
        <w:ind w:left="540"/>
        <w:rPr>
          <w:rFonts w:ascii="Arial" w:hAnsi="Arial" w:cs="Arial"/>
          <w:sz w:val="22"/>
          <w:szCs w:val="22"/>
        </w:rPr>
      </w:pPr>
      <w:r w:rsidRPr="00781C57">
        <w:rPr>
          <w:rFonts w:ascii="Arial" w:hAnsi="Arial" w:cs="Arial"/>
          <w:sz w:val="22"/>
          <w:szCs w:val="22"/>
        </w:rPr>
        <w:t>There are no payments or gifts made to respondents.</w:t>
      </w:r>
    </w:p>
    <w:p w:rsidR="00432C2B" w:rsidP="00432C2B" w14:paraId="69871B62"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00890057" w:rsidRPr="0016596C" w:rsidP="0016596C" w14:paraId="7F32712A" w14:textId="77777777">
      <w:pPr>
        <w:tabs>
          <w:tab w:val="left" w:pos="540"/>
        </w:tabs>
        <w:spacing w:before="120" w:after="120"/>
        <w:ind w:left="540"/>
        <w:rPr>
          <w:rFonts w:ascii="Arial" w:hAnsi="Arial" w:cs="Arial"/>
          <w:sz w:val="22"/>
          <w:szCs w:val="22"/>
        </w:rPr>
      </w:pPr>
      <w:r w:rsidRPr="0016596C">
        <w:rPr>
          <w:rFonts w:ascii="Arial" w:hAnsi="Arial" w:cs="Arial"/>
          <w:sz w:val="22"/>
          <w:szCs w:val="22"/>
        </w:rPr>
        <w:t>Aside from protections contained in the Privacy Act, there is no guarantee of confidentiality.</w:t>
      </w:r>
    </w:p>
    <w:p w:rsidR="00432C2B" w:rsidP="00432C2B" w14:paraId="4D2C4E0B"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 xml:space="preserve">Questions of </w:t>
      </w:r>
      <w:r>
        <w:rPr>
          <w:rFonts w:ascii="Arial" w:hAnsi="Arial" w:cs="Arial"/>
          <w:b/>
          <w:bCs/>
          <w:sz w:val="22"/>
          <w:szCs w:val="22"/>
        </w:rPr>
        <w:t>a Sensitive</w:t>
      </w:r>
      <w:r>
        <w:rPr>
          <w:rFonts w:ascii="Arial" w:hAnsi="Arial" w:cs="Arial"/>
          <w:b/>
          <w:bCs/>
          <w:sz w:val="22"/>
          <w:szCs w:val="22"/>
        </w:rPr>
        <w:t xml:space="preserve"> Nature.</w:t>
      </w:r>
    </w:p>
    <w:p w:rsidR="001E2556" w:rsidRPr="00E126C8" w:rsidP="00E126C8" w14:paraId="37BAEA84" w14:textId="77777777">
      <w:pPr>
        <w:tabs>
          <w:tab w:val="left" w:pos="540"/>
        </w:tabs>
        <w:spacing w:before="120" w:after="120"/>
        <w:ind w:left="547" w:hanging="7"/>
        <w:jc w:val="both"/>
        <w:rPr>
          <w:rFonts w:ascii="Arial" w:hAnsi="Arial" w:cs="Arial"/>
          <w:sz w:val="22"/>
          <w:szCs w:val="22"/>
        </w:rPr>
      </w:pPr>
      <w:r w:rsidRPr="00E126C8">
        <w:rPr>
          <w:rFonts w:ascii="Arial" w:hAnsi="Arial" w:cs="Arial"/>
          <w:sz w:val="22"/>
          <w:szCs w:val="22"/>
        </w:rPr>
        <w:t>There are no questions of a sensitive nature. No personally identifiable information (PII) is requested.</w:t>
      </w:r>
    </w:p>
    <w:p w:rsidR="00432C2B" w:rsidRPr="00432C2B" w:rsidP="00432C2B" w14:paraId="18C3A0B9" w14:textId="77777777">
      <w:pPr>
        <w:numPr>
          <w:ilvl w:val="0"/>
          <w:numId w:val="10"/>
        </w:numPr>
        <w:tabs>
          <w:tab w:val="clear" w:pos="360"/>
          <w:tab w:val="left" w:pos="540"/>
        </w:tabs>
        <w:spacing w:before="120" w:after="120"/>
        <w:ind w:left="540" w:hanging="540"/>
        <w:jc w:val="both"/>
        <w:rPr>
          <w:rFonts w:ascii="Arial" w:hAnsi="Arial" w:cs="Arial"/>
          <w:b/>
          <w:color w:val="000000"/>
          <w:sz w:val="22"/>
          <w:szCs w:val="22"/>
        </w:rPr>
      </w:pPr>
      <w:r w:rsidRPr="00432C2B">
        <w:rPr>
          <w:rFonts w:ascii="Arial" w:hAnsi="Arial" w:cs="Arial"/>
          <w:b/>
          <w:color w:val="000000"/>
          <w:sz w:val="22"/>
          <w:szCs w:val="22"/>
        </w:rPr>
        <w:t>Burden of Information Collection.</w:t>
      </w:r>
    </w:p>
    <w:p w:rsidR="00DC33EB" w:rsidRPr="00C958EA" w:rsidP="00C958EA" w14:paraId="23F999B9" w14:textId="77777777">
      <w:pPr>
        <w:pStyle w:val="ListParagraph"/>
        <w:numPr>
          <w:ilvl w:val="0"/>
          <w:numId w:val="34"/>
        </w:numPr>
        <w:tabs>
          <w:tab w:val="left" w:pos="900"/>
        </w:tabs>
        <w:jc w:val="both"/>
        <w:rPr>
          <w:rFonts w:ascii="Arial" w:hAnsi="Arial" w:cs="Arial"/>
          <w:bCs/>
          <w:sz w:val="22"/>
          <w:szCs w:val="22"/>
        </w:rPr>
      </w:pPr>
      <w:r w:rsidRPr="00C958EA">
        <w:rPr>
          <w:rFonts w:ascii="Arial" w:hAnsi="Arial" w:cs="Arial"/>
          <w:bCs/>
          <w:sz w:val="22"/>
          <w:szCs w:val="22"/>
        </w:rPr>
        <w:t>Estimated Hours of Burden for Collection of Data Per Respondent</w:t>
      </w:r>
      <w:r w:rsidRPr="00C958EA">
        <w:rPr>
          <w:rFonts w:ascii="Arial" w:hAnsi="Arial" w:cs="Arial"/>
          <w:bCs/>
          <w:sz w:val="22"/>
          <w:szCs w:val="22"/>
        </w:rPr>
        <w:t>:  393.5</w:t>
      </w:r>
      <w:r w:rsidRPr="00C958EA">
        <w:rPr>
          <w:rFonts w:ascii="Arial" w:hAnsi="Arial" w:cs="Arial"/>
          <w:bCs/>
          <w:sz w:val="22"/>
          <w:szCs w:val="22"/>
        </w:rPr>
        <w:t xml:space="preserve"> hours</w:t>
      </w:r>
    </w:p>
    <w:p w:rsidR="001518AE" w:rsidP="001518AE" w14:paraId="398B10BE" w14:textId="77777777">
      <w:pPr>
        <w:tabs>
          <w:tab w:val="left" w:pos="900"/>
        </w:tabs>
        <w:ind w:left="540"/>
        <w:jc w:val="both"/>
        <w:rPr>
          <w:rFonts w:ascii="Arial" w:hAnsi="Arial" w:cs="Arial"/>
          <w:bCs/>
          <w:sz w:val="22"/>
          <w:szCs w:val="22"/>
        </w:rPr>
      </w:pPr>
    </w:p>
    <w:p w:rsidR="00DC33EB" w:rsidRPr="00C958EA" w:rsidP="00C958EA" w14:paraId="270E2E41" w14:textId="77777777">
      <w:pPr>
        <w:pStyle w:val="ListParagraph"/>
        <w:tabs>
          <w:tab w:val="left" w:pos="900"/>
        </w:tabs>
        <w:ind w:left="1260"/>
        <w:jc w:val="both"/>
        <w:rPr>
          <w:rFonts w:ascii="Arial" w:hAnsi="Arial" w:cs="Arial"/>
          <w:bCs/>
          <w:sz w:val="22"/>
          <w:szCs w:val="22"/>
        </w:rPr>
      </w:pPr>
      <w:r w:rsidRPr="00C958EA">
        <w:rPr>
          <w:rFonts w:ascii="Arial" w:hAnsi="Arial" w:cs="Arial"/>
          <w:bCs/>
          <w:sz w:val="22"/>
          <w:szCs w:val="22"/>
        </w:rPr>
        <w:t>Range:  2 – 3,546 hours (variation related to number of grants received by the State; funding techniques; State information management systems)</w:t>
      </w:r>
    </w:p>
    <w:p w:rsidR="001518AE" w:rsidP="001518AE" w14:paraId="6611364C" w14:textId="77777777">
      <w:pPr>
        <w:tabs>
          <w:tab w:val="left" w:pos="900"/>
        </w:tabs>
        <w:ind w:left="540"/>
        <w:jc w:val="both"/>
        <w:rPr>
          <w:rFonts w:ascii="Arial" w:hAnsi="Arial" w:cs="Arial"/>
          <w:bCs/>
          <w:sz w:val="22"/>
          <w:szCs w:val="22"/>
        </w:rPr>
      </w:pPr>
    </w:p>
    <w:p w:rsidR="00DC33EB" w:rsidRPr="00C958EA" w:rsidP="00C958EA" w14:paraId="3D5CF4C6" w14:textId="4E3A58E8">
      <w:pPr>
        <w:pStyle w:val="ListParagraph"/>
        <w:tabs>
          <w:tab w:val="left" w:pos="900"/>
        </w:tabs>
        <w:ind w:left="1260"/>
        <w:jc w:val="both"/>
        <w:rPr>
          <w:rFonts w:ascii="Arial" w:hAnsi="Arial" w:cs="Arial"/>
          <w:bCs/>
          <w:sz w:val="22"/>
          <w:szCs w:val="22"/>
        </w:rPr>
      </w:pPr>
      <w:r w:rsidRPr="00C958EA">
        <w:rPr>
          <w:rFonts w:ascii="Arial" w:hAnsi="Arial" w:cs="Arial"/>
          <w:bCs/>
          <w:sz w:val="22"/>
          <w:szCs w:val="22"/>
        </w:rPr>
        <w:t>Number of Respondents</w:t>
      </w:r>
      <w:r w:rsidRPr="00C958EA">
        <w:rPr>
          <w:rFonts w:ascii="Arial" w:hAnsi="Arial" w:cs="Arial"/>
          <w:bCs/>
          <w:sz w:val="22"/>
          <w:szCs w:val="22"/>
        </w:rPr>
        <w:t>:  56</w:t>
      </w:r>
      <w:r w:rsidRPr="00C958EA">
        <w:rPr>
          <w:rFonts w:ascii="Arial" w:hAnsi="Arial" w:cs="Arial"/>
          <w:bCs/>
          <w:sz w:val="22"/>
          <w:szCs w:val="22"/>
        </w:rPr>
        <w:t xml:space="preserve"> States &amp; Territories</w:t>
      </w:r>
    </w:p>
    <w:p w:rsidR="00C958EA" w:rsidP="001518AE" w14:paraId="5C172AA5" w14:textId="77777777">
      <w:pPr>
        <w:tabs>
          <w:tab w:val="left" w:pos="900"/>
        </w:tabs>
        <w:ind w:left="540"/>
        <w:jc w:val="both"/>
        <w:rPr>
          <w:rFonts w:ascii="Arial" w:hAnsi="Arial" w:cs="Arial"/>
          <w:bCs/>
          <w:sz w:val="22"/>
          <w:szCs w:val="22"/>
        </w:rPr>
      </w:pPr>
    </w:p>
    <w:p w:rsidR="00C958EA" w:rsidRPr="00C958EA" w:rsidP="00C958EA" w14:paraId="2F71A029" w14:textId="0210DDBC">
      <w:pPr>
        <w:pStyle w:val="ListParagraph"/>
        <w:tabs>
          <w:tab w:val="left" w:pos="900"/>
        </w:tabs>
        <w:ind w:left="1260"/>
        <w:jc w:val="both"/>
        <w:rPr>
          <w:rFonts w:ascii="Arial" w:hAnsi="Arial" w:cs="Arial"/>
          <w:bCs/>
          <w:sz w:val="22"/>
          <w:szCs w:val="22"/>
        </w:rPr>
      </w:pPr>
      <w:r w:rsidRPr="00C958EA">
        <w:rPr>
          <w:rFonts w:ascii="Arial" w:hAnsi="Arial" w:cs="Arial"/>
          <w:bCs/>
          <w:sz w:val="22"/>
          <w:szCs w:val="22"/>
        </w:rPr>
        <w:t>Estimated Total Annual Burden Hours: 22,036</w:t>
      </w:r>
    </w:p>
    <w:p w:rsidR="007C1A94" w:rsidP="001518AE" w14:paraId="70606852" w14:textId="3D8EF807">
      <w:pPr>
        <w:tabs>
          <w:tab w:val="left" w:pos="900"/>
        </w:tabs>
        <w:ind w:left="540"/>
        <w:jc w:val="both"/>
        <w:rPr>
          <w:rFonts w:ascii="Arial" w:hAnsi="Arial" w:cs="Arial"/>
          <w:bCs/>
          <w:sz w:val="22"/>
          <w:szCs w:val="22"/>
        </w:rPr>
      </w:pPr>
    </w:p>
    <w:p w:rsidR="00124A0C" w:rsidRPr="00EB16B5" w:rsidP="00EB16B5" w14:paraId="1F3CAF46" w14:textId="3DE55B0B">
      <w:pPr>
        <w:pStyle w:val="ListParagraph"/>
        <w:numPr>
          <w:ilvl w:val="0"/>
          <w:numId w:val="34"/>
        </w:numPr>
        <w:rPr>
          <w:rFonts w:ascii="Arial" w:hAnsi="Arial" w:cs="Arial"/>
          <w:sz w:val="22"/>
          <w:szCs w:val="22"/>
        </w:rPr>
      </w:pPr>
      <w:r>
        <w:rPr>
          <w:rFonts w:ascii="Arial" w:hAnsi="Arial" w:cs="Arial"/>
          <w:sz w:val="22"/>
          <w:szCs w:val="22"/>
        </w:rPr>
        <w:t xml:space="preserve">The estimate of the annualized hour burden cost to responding </w:t>
      </w:r>
      <w:r w:rsidR="002F1E2E">
        <w:rPr>
          <w:rFonts w:ascii="Arial" w:hAnsi="Arial" w:cs="Arial"/>
          <w:sz w:val="22"/>
          <w:szCs w:val="22"/>
        </w:rPr>
        <w:t>S</w:t>
      </w:r>
      <w:r>
        <w:rPr>
          <w:rFonts w:ascii="Arial" w:hAnsi="Arial" w:cs="Arial"/>
          <w:sz w:val="22"/>
          <w:szCs w:val="22"/>
        </w:rPr>
        <w:t xml:space="preserve">tate governments </w:t>
      </w:r>
      <w:r w:rsidR="00C958EA">
        <w:rPr>
          <w:rFonts w:ascii="Arial" w:hAnsi="Arial" w:cs="Arial"/>
          <w:sz w:val="22"/>
          <w:szCs w:val="22"/>
        </w:rPr>
        <w:t>report</w:t>
      </w:r>
      <w:r>
        <w:rPr>
          <w:rFonts w:ascii="Arial" w:hAnsi="Arial" w:cs="Arial"/>
          <w:sz w:val="22"/>
          <w:szCs w:val="22"/>
        </w:rPr>
        <w:t>ing the information should be about $</w:t>
      </w:r>
      <w:r w:rsidR="00165D78">
        <w:rPr>
          <w:rFonts w:ascii="Arial" w:hAnsi="Arial" w:cs="Arial"/>
          <w:sz w:val="22"/>
          <w:szCs w:val="22"/>
        </w:rPr>
        <w:t>65.68</w:t>
      </w:r>
      <w:r>
        <w:rPr>
          <w:rFonts w:ascii="Arial" w:hAnsi="Arial" w:cs="Arial"/>
          <w:sz w:val="22"/>
          <w:szCs w:val="22"/>
        </w:rPr>
        <w:t xml:space="preserve"> per hour based </w:t>
      </w:r>
      <w:r w:rsidR="00C958EA">
        <w:rPr>
          <w:rFonts w:ascii="Arial" w:hAnsi="Arial" w:cs="Arial"/>
          <w:sz w:val="22"/>
          <w:szCs w:val="22"/>
        </w:rPr>
        <w:t xml:space="preserve">on the </w:t>
      </w:r>
      <w:r w:rsidRPr="00C958EA" w:rsidR="00C958EA">
        <w:rPr>
          <w:rFonts w:ascii="Arial" w:hAnsi="Arial" w:cs="Arial"/>
          <w:sz w:val="22"/>
          <w:szCs w:val="22"/>
        </w:rPr>
        <w:t xml:space="preserve">Employment Cost Index for </w:t>
      </w:r>
      <w:r w:rsidR="00165D78">
        <w:rPr>
          <w:rFonts w:ascii="Arial" w:hAnsi="Arial" w:cs="Arial"/>
          <w:sz w:val="22"/>
          <w:szCs w:val="22"/>
        </w:rPr>
        <w:t xml:space="preserve">December </w:t>
      </w:r>
      <w:r w:rsidRPr="00C958EA" w:rsidR="00C958EA">
        <w:rPr>
          <w:rFonts w:ascii="Arial" w:hAnsi="Arial" w:cs="Arial"/>
          <w:sz w:val="22"/>
          <w:szCs w:val="22"/>
        </w:rPr>
        <w:t>202</w:t>
      </w:r>
      <w:r w:rsidR="00165D78">
        <w:rPr>
          <w:rFonts w:ascii="Arial" w:hAnsi="Arial" w:cs="Arial"/>
          <w:sz w:val="22"/>
          <w:szCs w:val="22"/>
        </w:rPr>
        <w:t>5</w:t>
      </w:r>
      <w:r>
        <w:rPr>
          <w:rStyle w:val="FootnoteReference"/>
          <w:bCs/>
          <w:vertAlign w:val="superscript"/>
        </w:rPr>
        <w:footnoteReference w:id="2"/>
      </w:r>
      <w:r w:rsidR="00C958EA">
        <w:rPr>
          <w:rFonts w:ascii="Arial" w:hAnsi="Arial" w:cs="Arial"/>
          <w:sz w:val="22"/>
          <w:szCs w:val="22"/>
        </w:rPr>
        <w:t xml:space="preserve">. </w:t>
      </w:r>
      <w:r>
        <w:rPr>
          <w:rFonts w:ascii="Arial" w:hAnsi="Arial" w:cs="Arial"/>
          <w:sz w:val="22"/>
          <w:szCs w:val="22"/>
        </w:rPr>
        <w:t xml:space="preserve">Therefore, a reasonable estimate for all </w:t>
      </w:r>
      <w:r w:rsidR="00C958EA">
        <w:rPr>
          <w:rFonts w:ascii="Arial" w:hAnsi="Arial" w:cs="Arial"/>
          <w:sz w:val="22"/>
          <w:szCs w:val="22"/>
        </w:rPr>
        <w:t>56 States and Territories wo</w:t>
      </w:r>
      <w:r>
        <w:rPr>
          <w:rFonts w:ascii="Arial" w:hAnsi="Arial" w:cs="Arial"/>
          <w:sz w:val="22"/>
          <w:szCs w:val="22"/>
        </w:rPr>
        <w:t>uld be $</w:t>
      </w:r>
      <w:r w:rsidRPr="00165D78" w:rsidR="00165D78">
        <w:t xml:space="preserve"> </w:t>
      </w:r>
      <w:r w:rsidRPr="00165D78" w:rsidR="00165D78">
        <w:rPr>
          <w:rFonts w:ascii="Arial" w:hAnsi="Arial" w:cs="Arial"/>
          <w:sz w:val="22"/>
          <w:szCs w:val="22"/>
        </w:rPr>
        <w:t>1,447,324.48</w:t>
      </w:r>
      <w:r w:rsidR="00165D78">
        <w:rPr>
          <w:rFonts w:ascii="Arial" w:hAnsi="Arial" w:cs="Arial"/>
          <w:sz w:val="22"/>
          <w:szCs w:val="22"/>
        </w:rPr>
        <w:t xml:space="preserve"> </w:t>
      </w:r>
      <w:r>
        <w:rPr>
          <w:rFonts w:ascii="Arial" w:hAnsi="Arial" w:cs="Arial"/>
          <w:sz w:val="22"/>
          <w:szCs w:val="22"/>
        </w:rPr>
        <w:t>(</w:t>
      </w:r>
      <w:r w:rsidR="00C958EA">
        <w:rPr>
          <w:rFonts w:ascii="Arial" w:hAnsi="Arial" w:cs="Arial"/>
          <w:sz w:val="22"/>
          <w:szCs w:val="22"/>
        </w:rPr>
        <w:t xml:space="preserve">22,036 </w:t>
      </w:r>
      <w:r>
        <w:rPr>
          <w:rFonts w:ascii="Arial" w:hAnsi="Arial" w:cs="Arial"/>
          <w:sz w:val="22"/>
          <w:szCs w:val="22"/>
        </w:rPr>
        <w:t>hours X $</w:t>
      </w:r>
      <w:r w:rsidR="00C958EA">
        <w:rPr>
          <w:rFonts w:ascii="Arial" w:hAnsi="Arial" w:cs="Arial"/>
          <w:sz w:val="22"/>
          <w:szCs w:val="22"/>
        </w:rPr>
        <w:t>57.02</w:t>
      </w:r>
      <w:r>
        <w:rPr>
          <w:rFonts w:ascii="Arial" w:hAnsi="Arial" w:cs="Arial"/>
          <w:sz w:val="22"/>
          <w:szCs w:val="22"/>
        </w:rPr>
        <w:t>/hour).</w:t>
      </w:r>
    </w:p>
    <w:p w:rsidR="00F064FD" w:rsidP="00432C2B" w14:paraId="322730BD" w14:textId="77777777">
      <w:pPr>
        <w:pStyle w:val="BodyTextIndent"/>
        <w:tabs>
          <w:tab w:val="clear" w:pos="0"/>
          <w:tab w:val="left" w:pos="540"/>
          <w:tab w:val="left" w:pos="810"/>
        </w:tabs>
        <w:ind w:left="540" w:hanging="540"/>
        <w:rPr>
          <w:rFonts w:ascii="Arial" w:hAnsi="Arial" w:cs="Arial"/>
          <w:sz w:val="22"/>
          <w:szCs w:val="22"/>
        </w:rPr>
      </w:pPr>
    </w:p>
    <w:p w:rsidR="00F8418A" w:rsidP="00F8418A" w14:paraId="24859037" w14:textId="77777777">
      <w:pPr>
        <w:pStyle w:val="BodyTextIndent"/>
        <w:numPr>
          <w:ilvl w:val="0"/>
          <w:numId w:val="10"/>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Arial" w:hAnsi="Arial" w:cs="Arial"/>
          <w:b/>
          <w:bCs/>
          <w:sz w:val="22"/>
          <w:szCs w:val="22"/>
        </w:rPr>
      </w:pPr>
      <w:r>
        <w:rPr>
          <w:rFonts w:ascii="Arial" w:hAnsi="Arial" w:cs="Arial"/>
          <w:b/>
          <w:bCs/>
          <w:sz w:val="22"/>
          <w:szCs w:val="22"/>
        </w:rPr>
        <w:t xml:space="preserve">Annual Cost </w:t>
      </w:r>
      <w:r>
        <w:rPr>
          <w:rFonts w:ascii="Arial" w:hAnsi="Arial" w:cs="Arial"/>
          <w:b/>
          <w:bCs/>
          <w:sz w:val="22"/>
          <w:szCs w:val="22"/>
        </w:rPr>
        <w:t>to</w:t>
      </w:r>
      <w:r>
        <w:rPr>
          <w:rFonts w:ascii="Arial" w:hAnsi="Arial" w:cs="Arial"/>
          <w:b/>
          <w:bCs/>
          <w:sz w:val="22"/>
          <w:szCs w:val="22"/>
        </w:rPr>
        <w:t xml:space="preserve"> Respondents.</w:t>
      </w:r>
    </w:p>
    <w:p w:rsidR="00F064FD" w:rsidRPr="00F8418A" w:rsidP="001E2556" w14:paraId="32FA4162" w14:textId="77777777">
      <w:pPr>
        <w:spacing w:before="120" w:after="120"/>
        <w:ind w:left="540" w:right="720"/>
        <w:rPr>
          <w:rFonts w:ascii="Arial" w:hAnsi="Arial" w:cs="Arial"/>
          <w:color w:val="000000"/>
          <w:sz w:val="22"/>
          <w:szCs w:val="22"/>
        </w:rPr>
      </w:pPr>
      <w:r w:rsidRPr="00F8418A">
        <w:rPr>
          <w:rFonts w:ascii="Arial" w:hAnsi="Arial" w:cs="Arial"/>
          <w:color w:val="000000"/>
          <w:sz w:val="22"/>
          <w:szCs w:val="22"/>
        </w:rPr>
        <w:t>There are no capital/start-up or ongoing operation/maintenance costs associated with this information collection.</w:t>
      </w:r>
    </w:p>
    <w:p w:rsidR="00F8418A" w:rsidP="00F8418A" w14:paraId="45AB174E" w14:textId="77777777">
      <w:pPr>
        <w:numPr>
          <w:ilvl w:val="0"/>
          <w:numId w:val="31"/>
        </w:numPr>
        <w:tabs>
          <w:tab w:val="left" w:pos="540"/>
          <w:tab w:val="clear" w:pos="720"/>
        </w:tabs>
        <w:spacing w:before="120" w:after="120"/>
        <w:ind w:left="540" w:hanging="540"/>
        <w:rPr>
          <w:rFonts w:ascii="Arial" w:hAnsi="Arial" w:cs="Arial"/>
          <w:b/>
          <w:bCs/>
          <w:sz w:val="22"/>
          <w:szCs w:val="22"/>
        </w:rPr>
      </w:pPr>
      <w:r>
        <w:rPr>
          <w:rFonts w:ascii="Arial" w:hAnsi="Arial" w:cs="Arial"/>
          <w:b/>
          <w:bCs/>
          <w:sz w:val="22"/>
          <w:szCs w:val="22"/>
        </w:rPr>
        <w:t>Cost to the Federal Government.</w:t>
      </w:r>
    </w:p>
    <w:p w:rsidR="00F04B9A" w:rsidRPr="00B37941" w:rsidP="00F04B9A" w14:paraId="4FA9E8D9" w14:textId="77777777">
      <w:pPr>
        <w:spacing w:before="120" w:after="120"/>
        <w:ind w:left="540"/>
        <w:jc w:val="both"/>
        <w:rPr>
          <w:rFonts w:ascii="Arial" w:hAnsi="Arial" w:cs="Arial"/>
          <w:sz w:val="22"/>
          <w:szCs w:val="22"/>
        </w:rPr>
      </w:pPr>
      <w:r w:rsidRPr="00B37941">
        <w:rPr>
          <w:rFonts w:ascii="Arial" w:hAnsi="Arial" w:cs="Arial"/>
          <w:sz w:val="22"/>
          <w:szCs w:val="22"/>
        </w:rPr>
        <w:t>Estimated Annualized Costs to the Federal Government for Collection &amp; Review</w:t>
      </w:r>
      <w:r w:rsidRPr="00B37941">
        <w:rPr>
          <w:rFonts w:ascii="Arial" w:hAnsi="Arial" w:cs="Arial"/>
          <w:sz w:val="22"/>
          <w:szCs w:val="22"/>
        </w:rPr>
        <w:t>:  $</w:t>
      </w:r>
      <w:r w:rsidRPr="00B37941">
        <w:rPr>
          <w:rFonts w:ascii="Arial" w:hAnsi="Arial" w:cs="Arial"/>
          <w:sz w:val="22"/>
          <w:szCs w:val="22"/>
        </w:rPr>
        <w:t>420,000</w:t>
      </w:r>
    </w:p>
    <w:p w:rsidR="00F04B9A" w:rsidRPr="00B37941" w:rsidP="00F04B9A" w14:paraId="44569AAF" w14:textId="77777777">
      <w:pPr>
        <w:spacing w:before="120" w:after="120"/>
        <w:ind w:left="540"/>
        <w:jc w:val="both"/>
        <w:rPr>
          <w:rFonts w:ascii="Arial" w:hAnsi="Arial" w:cs="Arial"/>
          <w:sz w:val="22"/>
          <w:szCs w:val="22"/>
        </w:rPr>
      </w:pPr>
      <w:r w:rsidRPr="00B37941">
        <w:rPr>
          <w:rFonts w:ascii="Arial" w:hAnsi="Arial" w:cs="Arial"/>
          <w:sz w:val="22"/>
          <w:szCs w:val="22"/>
        </w:rPr>
        <w:t>Estimated Hours of Burden for Collection &amp; Review of Data</w:t>
      </w:r>
      <w:r w:rsidRPr="00B37941">
        <w:rPr>
          <w:rFonts w:ascii="Arial" w:hAnsi="Arial" w:cs="Arial"/>
          <w:sz w:val="22"/>
          <w:szCs w:val="22"/>
        </w:rPr>
        <w:t>:  11,750</w:t>
      </w:r>
      <w:r w:rsidRPr="00B37941">
        <w:rPr>
          <w:rFonts w:ascii="Arial" w:hAnsi="Arial" w:cs="Arial"/>
          <w:sz w:val="22"/>
          <w:szCs w:val="22"/>
        </w:rPr>
        <w:t xml:space="preserve"> hours</w:t>
      </w:r>
    </w:p>
    <w:p w:rsidR="00EC10FF" w:rsidRPr="00B37941" w:rsidP="00F04B9A" w14:paraId="4978FAD9" w14:textId="77777777">
      <w:pPr>
        <w:spacing w:before="120" w:after="120"/>
        <w:ind w:left="540"/>
        <w:jc w:val="both"/>
        <w:rPr>
          <w:rFonts w:ascii="Arial" w:hAnsi="Arial" w:cs="Arial"/>
          <w:sz w:val="22"/>
          <w:szCs w:val="22"/>
        </w:rPr>
      </w:pPr>
      <w:r w:rsidRPr="00B37941">
        <w:rPr>
          <w:rFonts w:ascii="Arial" w:hAnsi="Arial" w:cs="Arial"/>
          <w:sz w:val="22"/>
          <w:szCs w:val="22"/>
        </w:rPr>
        <w:t>Methodology</w:t>
      </w:r>
      <w:r w:rsidRPr="00B37941">
        <w:rPr>
          <w:rFonts w:ascii="Arial" w:hAnsi="Arial" w:cs="Arial"/>
          <w:sz w:val="22"/>
          <w:szCs w:val="22"/>
        </w:rPr>
        <w:t>:  Estimated</w:t>
      </w:r>
      <w:r w:rsidRPr="00B37941">
        <w:rPr>
          <w:rFonts w:ascii="Arial" w:hAnsi="Arial" w:cs="Arial"/>
          <w:sz w:val="22"/>
          <w:szCs w:val="22"/>
        </w:rPr>
        <w:t xml:space="preserve"> Annualized Costs and Estimated Hours of Burden are projected based on the percentage of monthly work hours generally dedicated by Treasury/Fiscal Service and other Federal program agency employees to the preparation and review of the collection information. Other operating expenses such as equipment and overhead were estimated at $25,000.</w:t>
      </w:r>
    </w:p>
    <w:p w:rsidR="00F8418A" w:rsidP="00F8418A" w14:paraId="413C376A" w14:textId="77777777">
      <w:pPr>
        <w:numPr>
          <w:ilvl w:val="0"/>
          <w:numId w:val="31"/>
        </w:numPr>
        <w:tabs>
          <w:tab w:val="left" w:pos="540"/>
          <w:tab w:val="clear" w:pos="720"/>
        </w:tabs>
        <w:spacing w:before="120" w:after="120"/>
        <w:ind w:left="540" w:hanging="540"/>
        <w:rPr>
          <w:rFonts w:ascii="Arial" w:hAnsi="Arial" w:cs="Arial"/>
          <w:b/>
          <w:bCs/>
          <w:sz w:val="22"/>
          <w:szCs w:val="22"/>
        </w:rPr>
      </w:pPr>
      <w:r>
        <w:rPr>
          <w:rFonts w:ascii="Arial" w:hAnsi="Arial" w:cs="Arial"/>
          <w:b/>
          <w:bCs/>
          <w:sz w:val="22"/>
          <w:szCs w:val="22"/>
        </w:rPr>
        <w:t>Reason for Change.</w:t>
      </w:r>
    </w:p>
    <w:p w:rsidR="00EC10FF" w:rsidRPr="00B37941" w:rsidP="00466B49" w14:paraId="3E26BC84" w14:textId="77777777">
      <w:pPr>
        <w:spacing w:before="120" w:after="120"/>
        <w:ind w:left="540"/>
        <w:jc w:val="both"/>
        <w:rPr>
          <w:rFonts w:ascii="Arial" w:hAnsi="Arial" w:cs="Arial"/>
          <w:sz w:val="22"/>
          <w:szCs w:val="22"/>
        </w:rPr>
      </w:pPr>
      <w:r w:rsidRPr="00B37941">
        <w:rPr>
          <w:rFonts w:ascii="Arial" w:hAnsi="Arial" w:cs="Arial"/>
          <w:sz w:val="22"/>
          <w:szCs w:val="22"/>
        </w:rPr>
        <w:t>No program changes or adjustments were made.</w:t>
      </w:r>
    </w:p>
    <w:p w:rsidR="00F8418A" w:rsidP="00F8418A" w14:paraId="6F1AFA14"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 xml:space="preserve">Tabulation of Results, Schedule, Analysis Plans.  </w:t>
      </w:r>
    </w:p>
    <w:p w:rsidR="00EC10FF" w:rsidRPr="00B37941" w:rsidP="006E1A4A" w14:paraId="78F8C135" w14:textId="77777777">
      <w:pPr>
        <w:spacing w:before="120" w:after="120"/>
        <w:ind w:left="540"/>
        <w:jc w:val="both"/>
        <w:rPr>
          <w:rFonts w:ascii="Arial" w:hAnsi="Arial" w:cs="Arial"/>
          <w:sz w:val="22"/>
          <w:szCs w:val="22"/>
        </w:rPr>
      </w:pPr>
      <w:r w:rsidRPr="00B37941">
        <w:rPr>
          <w:rFonts w:ascii="Arial" w:hAnsi="Arial" w:cs="Arial"/>
          <w:sz w:val="22"/>
          <w:szCs w:val="22"/>
        </w:rPr>
        <w:t>The results of the collection of this information will not be published for statistical use.</w:t>
      </w:r>
    </w:p>
    <w:p w:rsidR="00F8418A" w:rsidP="006E1A4A" w14:paraId="7A18F67A" w14:textId="77777777">
      <w:pPr>
        <w:numPr>
          <w:ilvl w:val="0"/>
          <w:numId w:val="31"/>
        </w:numPr>
        <w:tabs>
          <w:tab w:val="left" w:pos="540"/>
        </w:tabs>
        <w:spacing w:before="120" w:after="120"/>
        <w:ind w:left="540" w:hanging="450"/>
        <w:jc w:val="both"/>
        <w:rPr>
          <w:rFonts w:ascii="Arial" w:hAnsi="Arial" w:cs="Arial"/>
          <w:b/>
          <w:bCs/>
          <w:sz w:val="22"/>
          <w:szCs w:val="22"/>
        </w:rPr>
      </w:pPr>
      <w:r>
        <w:rPr>
          <w:rFonts w:ascii="Arial" w:hAnsi="Arial" w:cs="Arial"/>
          <w:b/>
          <w:bCs/>
          <w:sz w:val="22"/>
          <w:szCs w:val="22"/>
        </w:rPr>
        <w:t>Display of OMB Approval Date.</w:t>
      </w:r>
    </w:p>
    <w:p w:rsidR="00EC10FF" w:rsidRPr="00B37941" w:rsidP="004C68D1" w14:paraId="2AB499A3" w14:textId="77777777">
      <w:pPr>
        <w:spacing w:before="120" w:after="120"/>
        <w:ind w:left="540"/>
        <w:rPr>
          <w:rFonts w:ascii="Arial" w:hAnsi="Arial" w:cs="Arial"/>
          <w:sz w:val="22"/>
          <w:szCs w:val="22"/>
        </w:rPr>
      </w:pPr>
      <w:r w:rsidRPr="00B37941">
        <w:rPr>
          <w:rFonts w:ascii="Arial" w:hAnsi="Arial" w:cs="Arial"/>
          <w:sz w:val="22"/>
          <w:szCs w:val="22"/>
        </w:rPr>
        <w:t xml:space="preserve">The public interest will be better served by not displaying an expiration date on the online system. The </w:t>
      </w:r>
      <w:r w:rsidRPr="00B37941">
        <w:rPr>
          <w:rFonts w:ascii="Arial" w:hAnsi="Arial" w:cs="Arial"/>
          <w:sz w:val="22"/>
          <w:szCs w:val="22"/>
        </w:rPr>
        <w:t>time period</w:t>
      </w:r>
      <w:r w:rsidRPr="00B37941">
        <w:rPr>
          <w:rFonts w:ascii="Arial" w:hAnsi="Arial" w:cs="Arial"/>
          <w:sz w:val="22"/>
          <w:szCs w:val="22"/>
        </w:rPr>
        <w:t xml:space="preserve"> during which the current editions will continue to be usable cannot be predicted.  It could easily span several cycles of review and OMB clearance renewal.  Displaying the expiration date would make it necessary to update the URL where it is accessed after each renewal.</w:t>
      </w:r>
    </w:p>
    <w:p w:rsidR="00F8418A" w:rsidP="00F8418A" w14:paraId="6D76CAAB"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Exceptions to Certification for Paperwork Reduction Act Submission.</w:t>
      </w:r>
    </w:p>
    <w:p w:rsidR="00EC10FF" w:rsidRPr="00B37941" w:rsidP="006E1A4A" w14:paraId="0149F4C4" w14:textId="77777777">
      <w:pPr>
        <w:ind w:firstLine="540"/>
        <w:rPr>
          <w:rFonts w:ascii="Arial" w:hAnsi="Arial" w:cs="Arial"/>
          <w:sz w:val="22"/>
          <w:szCs w:val="22"/>
        </w:rPr>
      </w:pPr>
      <w:r w:rsidRPr="00B37941">
        <w:rPr>
          <w:rFonts w:ascii="Arial" w:hAnsi="Arial" w:cs="Arial"/>
          <w:sz w:val="22"/>
          <w:szCs w:val="22"/>
        </w:rPr>
        <w:t>There are no exceptions to the certification statement.</w:t>
      </w:r>
    </w:p>
    <w:p w:rsidR="008604D2" w:rsidRPr="00850CCA" w:rsidP="00B37941" w14:paraId="0D3FB363" w14:textId="77777777">
      <w:pPr>
        <w:rPr>
          <w:rFonts w:ascii="Arial" w:hAnsi="Arial" w:cs="Arial"/>
          <w:sz w:val="22"/>
          <w:szCs w:val="22"/>
        </w:rPr>
      </w:pPr>
      <w:r w:rsidRPr="00850CCA">
        <w:rPr>
          <w:rFonts w:ascii="Arial" w:hAnsi="Arial" w:cs="Arial"/>
          <w:sz w:val="22"/>
          <w:szCs w:val="22"/>
        </w:rPr>
        <w:t xml:space="preserve"> </w:t>
      </w:r>
    </w:p>
    <w:p w:rsidR="00850CCA" w:rsidP="006E1A4A" w14:paraId="5FD18893" w14:textId="77777777">
      <w:pPr>
        <w:tabs>
          <w:tab w:val="left" w:pos="540"/>
        </w:tabs>
        <w:spacing w:before="120" w:after="120"/>
        <w:ind w:left="540" w:hanging="540"/>
        <w:jc w:val="center"/>
        <w:rPr>
          <w:rFonts w:ascii="Arial" w:hAnsi="Arial" w:cs="Arial"/>
          <w:b/>
          <w:bCs/>
          <w:color w:val="3366FF"/>
          <w:sz w:val="22"/>
          <w:szCs w:val="22"/>
        </w:rPr>
      </w:pPr>
    </w:p>
    <w:sectPr w:rsidSect="00F8418A">
      <w:footerReference w:type="default" r:id="rId10"/>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427A81" w14:paraId="63E4B65C" w14:textId="77777777">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8604D2">
      <w:rPr>
        <w:rFonts w:ascii="Arial Narrow" w:hAnsi="Arial Narrow" w:cs="Arial"/>
        <w:noProof/>
        <w:sz w:val="20"/>
        <w:szCs w:val="20"/>
      </w:rPr>
      <w:t>10</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786E" w14:paraId="77CC96DC" w14:textId="77777777">
      <w:r>
        <w:separator/>
      </w:r>
    </w:p>
  </w:footnote>
  <w:footnote w:type="continuationSeparator" w:id="1">
    <w:p w:rsidR="00BF786E" w14:paraId="536FEA4D" w14:textId="77777777">
      <w:r>
        <w:continuationSeparator/>
      </w:r>
    </w:p>
  </w:footnote>
  <w:footnote w:id="2">
    <w:p w:rsidR="00EB16B5" w:rsidRPr="00A05174" w:rsidP="00EB16B5" w14:paraId="15013260" w14:textId="3E9D7030">
      <w:pPr>
        <w:pStyle w:val="FootnoteText"/>
      </w:pPr>
      <w:r w:rsidRPr="00EB16B5">
        <w:rPr>
          <w:rStyle w:val="FootnoteReference"/>
          <w:vertAlign w:val="superscript"/>
        </w:rPr>
        <w:footnoteRef/>
      </w:r>
      <w:r w:rsidRPr="00EB16B5">
        <w:rPr>
          <w:vertAlign w:val="superscript"/>
        </w:rPr>
        <w:t xml:space="preserve"> </w:t>
      </w:r>
      <w:r w:rsidRPr="00A05174">
        <w:t>It is expected that respondents to this collection</w:t>
      </w:r>
      <w:r>
        <w:t xml:space="preserve"> would be employees of state and local</w:t>
      </w:r>
      <w:r w:rsidRPr="00A05174">
        <w:t xml:space="preserve"> </w:t>
      </w:r>
      <w:r>
        <w:t xml:space="preserve">government having an </w:t>
      </w:r>
      <w:r w:rsidRPr="00A05174">
        <w:t xml:space="preserve">average wage rate </w:t>
      </w:r>
      <w:r>
        <w:t xml:space="preserve">of </w:t>
      </w:r>
      <w:r w:rsidRPr="00A05174">
        <w:t>$</w:t>
      </w:r>
      <w:r w:rsidR="00165D78">
        <w:t xml:space="preserve">65.68 </w:t>
      </w:r>
      <w:r w:rsidRPr="00A05174">
        <w:t>according to the</w:t>
      </w:r>
      <w:r>
        <w:t xml:space="preserve"> Employment Cost Index for</w:t>
      </w:r>
      <w:r w:rsidRPr="00A05174">
        <w:t xml:space="preserve"> </w:t>
      </w:r>
      <w:r w:rsidR="00165D78">
        <w:t>December 2025</w:t>
      </w:r>
      <w:r>
        <w:t xml:space="preserve">. </w:t>
      </w:r>
      <w:hyperlink r:id="rId1" w:history="1">
        <w:r w:rsidRPr="00165D78">
          <w:rPr>
            <w:rStyle w:val="Hyperlink"/>
          </w:rPr>
          <w:t>Bureau of Labor Statistics Data (bls.gov)</w:t>
        </w:r>
      </w:hyperlink>
      <w:r>
        <w:t xml:space="preserve"> </w:t>
      </w:r>
    </w:p>
    <w:p w:rsidR="00EB16B5" w:rsidP="00EB16B5" w14:paraId="69F6368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4">
    <w:nsid w:val="1B8B621D"/>
    <w:multiLevelType w:val="hybridMultilevel"/>
    <w:tmpl w:val="80C6931E"/>
    <w:lvl w:ilvl="0">
      <w:start w:val="1"/>
      <w:numFmt w:val="upp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1C0D43D0"/>
    <w:multiLevelType w:val="multilevel"/>
    <w:tmpl w:val="F2625436"/>
    <w:lvl w:ilvl="0">
      <w:start w:val="2"/>
      <w:numFmt w:val="decimal"/>
      <w:lvlText w:val="%1"/>
      <w:lvlJc w:val="left"/>
      <w:pPr>
        <w:ind w:left="453" w:hanging="334"/>
      </w:pPr>
    </w:lvl>
    <w:lvl w:ilvl="1">
      <w:start w:val="1"/>
      <w:numFmt w:val="decimal"/>
      <w:lvlText w:val="%1.%2"/>
      <w:lvlJc w:val="left"/>
      <w:pPr>
        <w:ind w:left="453" w:hanging="334"/>
      </w:pPr>
      <w:rPr>
        <w:rFonts w:ascii="Times New Roman" w:eastAsia="Arial" w:hAnsi="Times New Roman" w:cs="Times New Roman" w:hint="default"/>
        <w:sz w:val="20"/>
        <w:szCs w:val="20"/>
      </w:rPr>
    </w:lvl>
    <w:lvl w:ilvl="2">
      <w:start w:val="1"/>
      <w:numFmt w:val="bullet"/>
      <w:lvlText w:val="•"/>
      <w:lvlJc w:val="left"/>
      <w:pPr>
        <w:ind w:left="2576" w:hanging="334"/>
      </w:pPr>
    </w:lvl>
    <w:lvl w:ilvl="3">
      <w:start w:val="1"/>
      <w:numFmt w:val="bullet"/>
      <w:lvlText w:val="•"/>
      <w:lvlJc w:val="left"/>
      <w:pPr>
        <w:ind w:left="3634" w:hanging="334"/>
      </w:pPr>
    </w:lvl>
    <w:lvl w:ilvl="4">
      <w:start w:val="1"/>
      <w:numFmt w:val="bullet"/>
      <w:lvlText w:val="•"/>
      <w:lvlJc w:val="left"/>
      <w:pPr>
        <w:ind w:left="4692" w:hanging="334"/>
      </w:pPr>
    </w:lvl>
    <w:lvl w:ilvl="5">
      <w:start w:val="1"/>
      <w:numFmt w:val="bullet"/>
      <w:lvlText w:val="•"/>
      <w:lvlJc w:val="left"/>
      <w:pPr>
        <w:ind w:left="5750" w:hanging="334"/>
      </w:pPr>
    </w:lvl>
    <w:lvl w:ilvl="6">
      <w:start w:val="1"/>
      <w:numFmt w:val="bullet"/>
      <w:lvlText w:val="•"/>
      <w:lvlJc w:val="left"/>
      <w:pPr>
        <w:ind w:left="6808" w:hanging="334"/>
      </w:pPr>
    </w:lvl>
    <w:lvl w:ilvl="7">
      <w:start w:val="1"/>
      <w:numFmt w:val="bullet"/>
      <w:lvlText w:val="•"/>
      <w:lvlJc w:val="left"/>
      <w:pPr>
        <w:ind w:left="7866" w:hanging="334"/>
      </w:pPr>
    </w:lvl>
    <w:lvl w:ilvl="8">
      <w:start w:val="1"/>
      <w:numFmt w:val="bullet"/>
      <w:lvlText w:val="•"/>
      <w:lvlJc w:val="left"/>
      <w:pPr>
        <w:ind w:left="8924" w:hanging="334"/>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4957D7F"/>
    <w:multiLevelType w:val="hybridMultilevel"/>
    <w:tmpl w:val="33443E14"/>
    <w:lvl w:ilvl="0">
      <w:start w:val="1"/>
      <w:numFmt w:val="upp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1">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7">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37052724">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5244313">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61790789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670281493">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570993370">
    <w:abstractNumId w:val="34"/>
  </w:num>
  <w:num w:numId="6" w16cid:durableId="475489647">
    <w:abstractNumId w:val="23"/>
  </w:num>
  <w:num w:numId="7" w16cid:durableId="437720457">
    <w:abstractNumId w:val="38"/>
  </w:num>
  <w:num w:numId="8" w16cid:durableId="1864125542">
    <w:abstractNumId w:val="37"/>
  </w:num>
  <w:num w:numId="9" w16cid:durableId="658309154">
    <w:abstractNumId w:val="27"/>
  </w:num>
  <w:num w:numId="10" w16cid:durableId="930241583">
    <w:abstractNumId w:val="17"/>
  </w:num>
  <w:num w:numId="11" w16cid:durableId="1118641796">
    <w:abstractNumId w:val="21"/>
  </w:num>
  <w:num w:numId="12" w16cid:durableId="1822960163">
    <w:abstractNumId w:val="46"/>
  </w:num>
  <w:num w:numId="13" w16cid:durableId="782111071">
    <w:abstractNumId w:val="45"/>
  </w:num>
  <w:num w:numId="14" w16cid:durableId="467866525">
    <w:abstractNumId w:val="36"/>
  </w:num>
  <w:num w:numId="15" w16cid:durableId="329909453">
    <w:abstractNumId w:val="22"/>
  </w:num>
  <w:num w:numId="16" w16cid:durableId="1337027707">
    <w:abstractNumId w:val="41"/>
  </w:num>
  <w:num w:numId="17" w16cid:durableId="1955671993">
    <w:abstractNumId w:val="26"/>
  </w:num>
  <w:num w:numId="18" w16cid:durableId="52050703">
    <w:abstractNumId w:val="44"/>
  </w:num>
  <w:num w:numId="19" w16cid:durableId="1630936593">
    <w:abstractNumId w:val="40"/>
  </w:num>
  <w:num w:numId="20" w16cid:durableId="912814305">
    <w:abstractNumId w:val="28"/>
  </w:num>
  <w:num w:numId="21" w16cid:durableId="1181550264">
    <w:abstractNumId w:val="47"/>
  </w:num>
  <w:num w:numId="22" w16cid:durableId="1590696824">
    <w:abstractNumId w:val="32"/>
  </w:num>
  <w:num w:numId="23" w16cid:durableId="79913160">
    <w:abstractNumId w:val="18"/>
  </w:num>
  <w:num w:numId="24" w16cid:durableId="816461760">
    <w:abstractNumId w:val="43"/>
  </w:num>
  <w:num w:numId="25" w16cid:durableId="222184033">
    <w:abstractNumId w:val="33"/>
  </w:num>
  <w:num w:numId="26" w16cid:durableId="1122194122">
    <w:abstractNumId w:val="29"/>
  </w:num>
  <w:num w:numId="27" w16cid:durableId="1233739339">
    <w:abstractNumId w:val="42"/>
  </w:num>
  <w:num w:numId="28" w16cid:durableId="719404818">
    <w:abstractNumId w:val="39"/>
  </w:num>
  <w:num w:numId="29" w16cid:durableId="1491554960">
    <w:abstractNumId w:val="31"/>
  </w:num>
  <w:num w:numId="30" w16cid:durableId="342172120">
    <w:abstractNumId w:val="20"/>
  </w:num>
  <w:num w:numId="31" w16cid:durableId="423959802">
    <w:abstractNumId w:val="19"/>
  </w:num>
  <w:num w:numId="32" w16cid:durableId="1391927830">
    <w:abstractNumId w:val="35"/>
  </w:num>
  <w:num w:numId="33" w16cid:durableId="15612142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2491609">
    <w:abstractNumId w:val="24"/>
  </w:num>
  <w:num w:numId="35" w16cid:durableId="305206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23C9B"/>
    <w:rsid w:val="000356B0"/>
    <w:rsid w:val="00052C24"/>
    <w:rsid w:val="00063823"/>
    <w:rsid w:val="00064E0F"/>
    <w:rsid w:val="00076BA1"/>
    <w:rsid w:val="000F4DC6"/>
    <w:rsid w:val="000F7D65"/>
    <w:rsid w:val="00124A0C"/>
    <w:rsid w:val="00145E6F"/>
    <w:rsid w:val="001518AE"/>
    <w:rsid w:val="0016596C"/>
    <w:rsid w:val="00165D78"/>
    <w:rsid w:val="001933D4"/>
    <w:rsid w:val="00197F9A"/>
    <w:rsid w:val="001C0C09"/>
    <w:rsid w:val="001E2556"/>
    <w:rsid w:val="001F3AB3"/>
    <w:rsid w:val="00200A74"/>
    <w:rsid w:val="00202977"/>
    <w:rsid w:val="0025066D"/>
    <w:rsid w:val="00250FFD"/>
    <w:rsid w:val="00273174"/>
    <w:rsid w:val="002776CD"/>
    <w:rsid w:val="002D277C"/>
    <w:rsid w:val="002D6743"/>
    <w:rsid w:val="002F1E2E"/>
    <w:rsid w:val="003000C9"/>
    <w:rsid w:val="003A5DE5"/>
    <w:rsid w:val="003A716F"/>
    <w:rsid w:val="003D1284"/>
    <w:rsid w:val="003D1ABD"/>
    <w:rsid w:val="003E743E"/>
    <w:rsid w:val="00404DD9"/>
    <w:rsid w:val="00427A81"/>
    <w:rsid w:val="00432550"/>
    <w:rsid w:val="00432C2B"/>
    <w:rsid w:val="00466B49"/>
    <w:rsid w:val="004A213E"/>
    <w:rsid w:val="004C68D1"/>
    <w:rsid w:val="004D39A0"/>
    <w:rsid w:val="004D5A38"/>
    <w:rsid w:val="004F2042"/>
    <w:rsid w:val="00504B59"/>
    <w:rsid w:val="00561B09"/>
    <w:rsid w:val="00565B3C"/>
    <w:rsid w:val="005829ED"/>
    <w:rsid w:val="00585CCA"/>
    <w:rsid w:val="00590C59"/>
    <w:rsid w:val="005979B4"/>
    <w:rsid w:val="005A227A"/>
    <w:rsid w:val="005C0852"/>
    <w:rsid w:val="005C29BE"/>
    <w:rsid w:val="00601E8D"/>
    <w:rsid w:val="006445A9"/>
    <w:rsid w:val="00660A11"/>
    <w:rsid w:val="00684AEF"/>
    <w:rsid w:val="006B455B"/>
    <w:rsid w:val="006D2C04"/>
    <w:rsid w:val="006E1A4A"/>
    <w:rsid w:val="00723757"/>
    <w:rsid w:val="00726633"/>
    <w:rsid w:val="00772076"/>
    <w:rsid w:val="00781C57"/>
    <w:rsid w:val="00785708"/>
    <w:rsid w:val="007C1A94"/>
    <w:rsid w:val="007E6084"/>
    <w:rsid w:val="00805184"/>
    <w:rsid w:val="008112BA"/>
    <w:rsid w:val="008245F7"/>
    <w:rsid w:val="00840F39"/>
    <w:rsid w:val="00850CCA"/>
    <w:rsid w:val="008604D2"/>
    <w:rsid w:val="00862A24"/>
    <w:rsid w:val="00890057"/>
    <w:rsid w:val="008A2CE2"/>
    <w:rsid w:val="008C325F"/>
    <w:rsid w:val="008C65F9"/>
    <w:rsid w:val="008F27F5"/>
    <w:rsid w:val="009103C2"/>
    <w:rsid w:val="00917427"/>
    <w:rsid w:val="00942676"/>
    <w:rsid w:val="00991A15"/>
    <w:rsid w:val="009A769F"/>
    <w:rsid w:val="009F41DB"/>
    <w:rsid w:val="00A05174"/>
    <w:rsid w:val="00A325A6"/>
    <w:rsid w:val="00A555A9"/>
    <w:rsid w:val="00A55BB2"/>
    <w:rsid w:val="00A56734"/>
    <w:rsid w:val="00A56739"/>
    <w:rsid w:val="00A5675F"/>
    <w:rsid w:val="00A57A6F"/>
    <w:rsid w:val="00A9180D"/>
    <w:rsid w:val="00AA65AC"/>
    <w:rsid w:val="00AD3CB7"/>
    <w:rsid w:val="00B00668"/>
    <w:rsid w:val="00B12439"/>
    <w:rsid w:val="00B22415"/>
    <w:rsid w:val="00B25C35"/>
    <w:rsid w:val="00B37941"/>
    <w:rsid w:val="00B408C7"/>
    <w:rsid w:val="00B60FF9"/>
    <w:rsid w:val="00BC550A"/>
    <w:rsid w:val="00BC5EF3"/>
    <w:rsid w:val="00BE0092"/>
    <w:rsid w:val="00BF116B"/>
    <w:rsid w:val="00BF370D"/>
    <w:rsid w:val="00BF786E"/>
    <w:rsid w:val="00C115F5"/>
    <w:rsid w:val="00C16988"/>
    <w:rsid w:val="00C230FB"/>
    <w:rsid w:val="00C319AB"/>
    <w:rsid w:val="00C332AB"/>
    <w:rsid w:val="00C37CD8"/>
    <w:rsid w:val="00C43EA7"/>
    <w:rsid w:val="00C7479E"/>
    <w:rsid w:val="00C80AA3"/>
    <w:rsid w:val="00C958EA"/>
    <w:rsid w:val="00CB0A80"/>
    <w:rsid w:val="00CC47FD"/>
    <w:rsid w:val="00CC579B"/>
    <w:rsid w:val="00CE3842"/>
    <w:rsid w:val="00D25FB6"/>
    <w:rsid w:val="00D718D4"/>
    <w:rsid w:val="00DB2651"/>
    <w:rsid w:val="00DB5864"/>
    <w:rsid w:val="00DC33EB"/>
    <w:rsid w:val="00E126C8"/>
    <w:rsid w:val="00E42A28"/>
    <w:rsid w:val="00E50F76"/>
    <w:rsid w:val="00EA4C2A"/>
    <w:rsid w:val="00EB16B5"/>
    <w:rsid w:val="00EC10FF"/>
    <w:rsid w:val="00F04B9A"/>
    <w:rsid w:val="00F058BC"/>
    <w:rsid w:val="00F064FD"/>
    <w:rsid w:val="00F736E2"/>
    <w:rsid w:val="00F76B83"/>
    <w:rsid w:val="00F7726F"/>
    <w:rsid w:val="00F8418A"/>
    <w:rsid w:val="00F91E42"/>
    <w:rsid w:val="00FB252E"/>
    <w:rsid w:val="00FF3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8728B7"/>
  <w15:chartTrackingRefBased/>
  <w15:docId w15:val="{99FC3103-13DA-4E43-BDF0-70721F98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NoSpacing">
    <w:name w:val="No Spacing"/>
    <w:uiPriority w:val="99"/>
    <w:qFormat/>
    <w:rsid w:val="00124A0C"/>
    <w:rPr>
      <w:rFonts w:ascii="Calibri" w:eastAsia="Calibri" w:hAnsi="Calibri"/>
      <w:sz w:val="22"/>
      <w:szCs w:val="22"/>
    </w:rPr>
  </w:style>
  <w:style w:type="character" w:customStyle="1" w:styleId="FootnoteTextChar">
    <w:name w:val="Footnote Text Char"/>
    <w:basedOn w:val="DefaultParagraphFont"/>
    <w:link w:val="FootnoteText"/>
    <w:rsid w:val="00124A0C"/>
  </w:style>
  <w:style w:type="character" w:styleId="FollowedHyperlink">
    <w:name w:val="FollowedHyperlink"/>
    <w:basedOn w:val="DefaultParagraphFont"/>
    <w:rsid w:val="00124A0C"/>
    <w:rPr>
      <w:color w:val="954F72" w:themeColor="followedHyperlink"/>
      <w:u w:val="single"/>
    </w:rPr>
  </w:style>
  <w:style w:type="paragraph" w:styleId="ListParagraph">
    <w:name w:val="List Paragraph"/>
    <w:basedOn w:val="Normal"/>
    <w:uiPriority w:val="34"/>
    <w:qFormat/>
    <w:rsid w:val="007C1A94"/>
    <w:pPr>
      <w:ind w:left="720"/>
      <w:contextualSpacing/>
    </w:pPr>
  </w:style>
  <w:style w:type="character" w:styleId="UnresolvedMention">
    <w:name w:val="Unresolved Mention"/>
    <w:basedOn w:val="DefaultParagraphFont"/>
    <w:uiPriority w:val="99"/>
    <w:semiHidden/>
    <w:unhideWhenUsed/>
    <w:rsid w:val="0016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3F26D2CDE024397572385AEE95D13" ma:contentTypeVersion="0" ma:contentTypeDescription="Create a new document." ma:contentTypeScope="" ma:versionID="c3089e2e373f072136ca404861b5279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2.xml><?xml version="1.0" encoding="utf-8"?>
<ds:datastoreItem xmlns:ds="http://schemas.openxmlformats.org/officeDocument/2006/customXml" ds:itemID="{DE871C9F-4FB7-4276-BFC4-22AC938D2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4.xml><?xml version="1.0" encoding="utf-8"?>
<ds:datastoreItem xmlns:ds="http://schemas.openxmlformats.org/officeDocument/2006/customXml" ds:itemID="{B8B5EFF0-AC2D-42D3-BCAB-923DB2AE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98D95C0-29F5-4BF9-8729-ADECC223F521}">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141</TotalTime>
  <Pages>3</Pages>
  <Words>735</Words>
  <Characters>4227</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Bruce A. Sharp</cp:lastModifiedBy>
  <cp:revision>5</cp:revision>
  <cp:lastPrinted>2011-09-13T11:00:00Z</cp:lastPrinted>
  <dcterms:created xsi:type="dcterms:W3CDTF">2023-03-22T14:43:00Z</dcterms:created>
  <dcterms:modified xsi:type="dcterms:W3CDTF">2026-04-29T18:08:00Z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Vetrano, Caroline (Contractor)</vt:lpwstr>
  </property>
  <property fmtid="{D5CDD505-2E9C-101B-9397-08002B2CF9AE}" pid="3" name="display_urn:schemas-microsoft-com:office:office#Editor">
    <vt:lpwstr>Vetrano, Caroline (Contractor)</vt:lpwstr>
  </property>
  <property fmtid="{D5CDD505-2E9C-101B-9397-08002B2CF9AE}" pid="4" name="Order">
    <vt:lpwstr>200.000000000000</vt:lpwstr>
  </property>
  <property fmtid="{D5CDD505-2E9C-101B-9397-08002B2CF9AE}" pid="5" name="TemplateUrl">
    <vt:lpwstr/>
  </property>
  <property fmtid="{D5CDD505-2E9C-101B-9397-08002B2CF9AE}" pid="6" name="xd_ProgID">
    <vt:lpwstr/>
  </property>
  <property fmtid="{D5CDD505-2E9C-101B-9397-08002B2CF9AE}" pid="7" name="_dlc_DocId">
    <vt:lpwstr>DOPTR-1309503630-31</vt:lpwstr>
  </property>
  <property fmtid="{D5CDD505-2E9C-101B-9397-08002B2CF9AE}" pid="8" name="_dlc_DocIdItemGuid">
    <vt:lpwstr>5cfab967-e34d-4cb8-b7d6-d7381a5af6f8</vt:lpwstr>
  </property>
  <property fmtid="{D5CDD505-2E9C-101B-9397-08002B2CF9AE}" pid="9" name="_dlc_DocIdUrl">
    <vt:lpwstr>https://thegreen.treas.gov/do/ptr/optr/treasuryrecords/PRA-NEW/_layouts/15/DocIdRedir.aspx?ID=DOPTR-1309503630-31, DOPTR-1309503630-31</vt:lpwstr>
  </property>
  <property fmtid="{D5CDD505-2E9C-101B-9397-08002B2CF9AE}" pid="10" name="_SharedFileIndex">
    <vt:lpwstr/>
  </property>
  <property fmtid="{D5CDD505-2E9C-101B-9397-08002B2CF9AE}" pid="11" name="_SourceUrl">
    <vt:lpwstr/>
  </property>
</Properties>
</file>