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77E8" w:rsidRPr="004E5F84" w:rsidP="00AE2785" w14:paraId="21D25D23" w14:textId="77777777">
      <w:pPr>
        <w:jc w:val="center"/>
        <w:rPr>
          <w:rFonts w:ascii="Times New Roman" w:hAnsi="Times New Roman"/>
          <w:b/>
          <w:bCs/>
        </w:rPr>
      </w:pPr>
      <w:r w:rsidRPr="004E5F84">
        <w:rPr>
          <w:rFonts w:ascii="Times New Roman" w:hAnsi="Times New Roman"/>
          <w:b/>
          <w:bCs/>
        </w:rPr>
        <w:t>SUPPORTING STATEMENT</w:t>
      </w:r>
    </w:p>
    <w:p w:rsidR="007F40CA" w:rsidP="004E5F84" w14:paraId="1E4BBDBE" w14:textId="77777777">
      <w:pPr>
        <w:tabs>
          <w:tab w:val="center" w:pos="4680"/>
        </w:tabs>
        <w:jc w:val="center"/>
        <w:rPr>
          <w:rFonts w:ascii="Times New Roman" w:hAnsi="Times New Roman"/>
          <w:bCs/>
        </w:rPr>
      </w:pPr>
      <w:r w:rsidRPr="007F40CA">
        <w:rPr>
          <w:rFonts w:ascii="Times New Roman" w:hAnsi="Times New Roman"/>
          <w:bCs/>
        </w:rPr>
        <w:t xml:space="preserve">Buildings qualifying for carryover allocations </w:t>
      </w:r>
    </w:p>
    <w:p w:rsidR="00A577E8" w:rsidRPr="00D05DB9" w:rsidP="004E5F84" w14:paraId="5ABAD413" w14:textId="77777777">
      <w:pPr>
        <w:tabs>
          <w:tab w:val="center" w:pos="4680"/>
        </w:tabs>
        <w:jc w:val="center"/>
        <w:rPr>
          <w:rFonts w:ascii="Times New Roman" w:hAnsi="Times New Roman"/>
          <w:bCs/>
        </w:rPr>
      </w:pPr>
      <w:r w:rsidRPr="00D05DB9">
        <w:rPr>
          <w:rFonts w:ascii="Times New Roman" w:hAnsi="Times New Roman"/>
          <w:bCs/>
        </w:rPr>
        <w:t>OMB No. 1545-0990</w:t>
      </w:r>
    </w:p>
    <w:p w:rsidR="00A577E8" w:rsidRPr="00D05DB9" w14:paraId="4C66C3A1" w14:textId="77777777">
      <w:pPr>
        <w:rPr>
          <w:rFonts w:ascii="Times New Roman" w:hAnsi="Times New Roman"/>
          <w:bCs/>
        </w:rPr>
      </w:pPr>
    </w:p>
    <w:p w:rsidR="00A577E8" w:rsidRPr="00D05DB9" w14:paraId="1D6BD274" w14:textId="77777777">
      <w:pPr>
        <w:pStyle w:val="Level1"/>
        <w:numPr>
          <w:ilvl w:val="0"/>
          <w:numId w:val="1"/>
        </w:numPr>
        <w:tabs>
          <w:tab w:val="left" w:pos="-1440"/>
          <w:tab w:val="num" w:pos="720"/>
        </w:tabs>
        <w:rPr>
          <w:rFonts w:ascii="Times New Roman" w:hAnsi="Times New Roman"/>
        </w:rPr>
      </w:pPr>
      <w:r w:rsidRPr="00D05DB9">
        <w:rPr>
          <w:rFonts w:ascii="Times New Roman" w:hAnsi="Times New Roman"/>
          <w:u w:val="single"/>
        </w:rPr>
        <w:t>CIRCUMSTANCES NECESSITATING COLLECTION OF INFORMATION</w:t>
      </w:r>
    </w:p>
    <w:p w:rsidR="00A577E8" w:rsidRPr="00D05DB9" w14:paraId="4C75733F" w14:textId="77777777">
      <w:pPr>
        <w:rPr>
          <w:rFonts w:ascii="Times New Roman" w:hAnsi="Times New Roman"/>
        </w:rPr>
      </w:pPr>
    </w:p>
    <w:p w:rsidR="00A577E8" w:rsidRPr="00D05DB9" w14:paraId="50D32030" w14:textId="639313D9">
      <w:pPr>
        <w:ind w:left="720"/>
        <w:rPr>
          <w:rFonts w:ascii="Times New Roman" w:hAnsi="Times New Roman"/>
        </w:rPr>
      </w:pPr>
      <w:r w:rsidRPr="00D05DB9">
        <w:rPr>
          <w:rFonts w:ascii="Times New Roman" w:hAnsi="Times New Roman"/>
        </w:rPr>
        <w:t xml:space="preserve">State housing credit agencies (Agencies) are required by </w:t>
      </w:r>
      <w:r w:rsidR="0057322E">
        <w:rPr>
          <w:rFonts w:ascii="Times New Roman" w:hAnsi="Times New Roman"/>
        </w:rPr>
        <w:t xml:space="preserve">Internal Revenue </w:t>
      </w:r>
      <w:r w:rsidRPr="00D05DB9">
        <w:rPr>
          <w:rFonts w:ascii="Times New Roman" w:hAnsi="Times New Roman"/>
        </w:rPr>
        <w:t>Code section 42 (l)</w:t>
      </w:r>
      <w:r w:rsidRPr="00D05DB9" w:rsidR="00627242">
        <w:rPr>
          <w:rFonts w:ascii="Times New Roman" w:hAnsi="Times New Roman"/>
        </w:rPr>
        <w:t>(</w:t>
      </w:r>
      <w:r w:rsidRPr="00D05DB9">
        <w:rPr>
          <w:rFonts w:ascii="Times New Roman" w:hAnsi="Times New Roman"/>
        </w:rPr>
        <w:t xml:space="preserve">3) to report annually the amount of low-income housing credits that they allocated to qualified buildings during the year. Agencies report the amount allocated to the building owners and to the </w:t>
      </w:r>
      <w:r w:rsidR="0057322E">
        <w:rPr>
          <w:rFonts w:ascii="Times New Roman" w:hAnsi="Times New Roman"/>
        </w:rPr>
        <w:t>Internal Revenue Service (</w:t>
      </w:r>
      <w:r w:rsidRPr="00D05DB9">
        <w:rPr>
          <w:rFonts w:ascii="Times New Roman" w:hAnsi="Times New Roman"/>
        </w:rPr>
        <w:t>IRS</w:t>
      </w:r>
      <w:r w:rsidR="0057322E">
        <w:rPr>
          <w:rFonts w:ascii="Times New Roman" w:hAnsi="Times New Roman"/>
        </w:rPr>
        <w:t>)</w:t>
      </w:r>
      <w:r w:rsidRPr="00D05DB9">
        <w:rPr>
          <w:rFonts w:ascii="Times New Roman" w:hAnsi="Times New Roman"/>
        </w:rPr>
        <w:t xml:space="preserve"> in Part I of Form 8609.  Carryover allocations are reported to the Agencies in carryover allocation documents.  The Agencies report the carryover allocations to the IRS on Schedule A (Form 8610).  Form 8610 is a transmittal and reconciliation document for Forms 8609, Schedule A (Form 8610), binding agreements, and election statements.</w:t>
      </w:r>
      <w:r w:rsidR="001D1BE2">
        <w:rPr>
          <w:rFonts w:ascii="Times New Roman" w:hAnsi="Times New Roman"/>
        </w:rPr>
        <w:t xml:space="preserve"> </w:t>
      </w:r>
    </w:p>
    <w:p w:rsidR="00A577E8" w:rsidRPr="00D05DB9" w14:paraId="4E86A548" w14:textId="77777777">
      <w:pPr>
        <w:rPr>
          <w:rFonts w:ascii="Times New Roman" w:hAnsi="Times New Roman"/>
        </w:rPr>
      </w:pPr>
    </w:p>
    <w:p w:rsidR="00A577E8" w:rsidRPr="00D05DB9" w14:paraId="1E7F9ED0" w14:textId="77777777">
      <w:pPr>
        <w:pStyle w:val="Level1"/>
        <w:numPr>
          <w:ilvl w:val="0"/>
          <w:numId w:val="1"/>
        </w:numPr>
        <w:tabs>
          <w:tab w:val="left" w:pos="-1440"/>
          <w:tab w:val="num" w:pos="720"/>
        </w:tabs>
        <w:rPr>
          <w:rFonts w:ascii="Times New Roman" w:hAnsi="Times New Roman"/>
        </w:rPr>
      </w:pPr>
      <w:r w:rsidRPr="00D05DB9">
        <w:rPr>
          <w:rFonts w:ascii="Times New Roman" w:hAnsi="Times New Roman"/>
          <w:u w:val="single"/>
        </w:rPr>
        <w:t>USE OF DATA</w:t>
      </w:r>
      <w:r w:rsidRPr="00D05DB9">
        <w:rPr>
          <w:rFonts w:ascii="Times New Roman" w:hAnsi="Times New Roman"/>
        </w:rPr>
        <w:t xml:space="preserve"> </w:t>
      </w:r>
    </w:p>
    <w:p w:rsidR="00A577E8" w:rsidRPr="00D05DB9" w14:paraId="20FC5B5E" w14:textId="77777777">
      <w:pPr>
        <w:rPr>
          <w:rFonts w:ascii="Times New Roman" w:hAnsi="Times New Roman"/>
        </w:rPr>
      </w:pPr>
    </w:p>
    <w:p w:rsidR="00A577E8" w:rsidRPr="00D05DB9" w14:paraId="0C49FBC5" w14:textId="77777777">
      <w:pPr>
        <w:ind w:left="720"/>
        <w:rPr>
          <w:rFonts w:ascii="Times New Roman" w:hAnsi="Times New Roman"/>
        </w:rPr>
      </w:pPr>
      <w:r w:rsidRPr="00D05DB9">
        <w:rPr>
          <w:rFonts w:ascii="Times New Roman" w:hAnsi="Times New Roman"/>
        </w:rPr>
        <w:t xml:space="preserve">The IRS uses the amounts reported on Form 8610 to </w:t>
      </w:r>
      <w:r w:rsidRPr="00D05DB9" w:rsidR="00627242">
        <w:rPr>
          <w:rFonts w:ascii="Times New Roman" w:hAnsi="Times New Roman"/>
        </w:rPr>
        <w:t>e</w:t>
      </w:r>
      <w:r w:rsidRPr="00D05DB9">
        <w:rPr>
          <w:rFonts w:ascii="Times New Roman" w:hAnsi="Times New Roman"/>
        </w:rPr>
        <w:t>nsure that the state housing credit agency does not exceed their low-income housing credit allocation ceiling.</w:t>
      </w:r>
    </w:p>
    <w:p w:rsidR="00A577E8" w:rsidRPr="00D05DB9" w14:paraId="0D4C6725" w14:textId="77777777">
      <w:pPr>
        <w:rPr>
          <w:rFonts w:ascii="Times New Roman" w:hAnsi="Times New Roman"/>
        </w:rPr>
      </w:pPr>
    </w:p>
    <w:p w:rsidR="00A577E8" w:rsidRPr="00D05DB9" w14:paraId="471DC138" w14:textId="77777777">
      <w:pPr>
        <w:pStyle w:val="Level1"/>
        <w:numPr>
          <w:ilvl w:val="0"/>
          <w:numId w:val="1"/>
        </w:numPr>
        <w:tabs>
          <w:tab w:val="left" w:pos="-1440"/>
          <w:tab w:val="num" w:pos="720"/>
        </w:tabs>
        <w:rPr>
          <w:rFonts w:ascii="Times New Roman" w:hAnsi="Times New Roman"/>
        </w:rPr>
      </w:pPr>
      <w:r w:rsidRPr="00D05DB9">
        <w:rPr>
          <w:rFonts w:ascii="Times New Roman" w:hAnsi="Times New Roman"/>
          <w:u w:val="single"/>
        </w:rPr>
        <w:t>USE OF IMPROVED INFORMATION TECHNOLOGY TO REDUCE BURDEN</w:t>
      </w:r>
    </w:p>
    <w:p w:rsidR="00A577E8" w:rsidRPr="00D05DB9" w14:paraId="5B8A65D2" w14:textId="77777777">
      <w:pPr>
        <w:rPr>
          <w:rFonts w:ascii="Times New Roman" w:hAnsi="Times New Roman"/>
        </w:rPr>
      </w:pPr>
    </w:p>
    <w:p w:rsidR="00A577E8" w:rsidP="00147CD6" w14:paraId="78E7943F" w14:textId="7BDA69C8">
      <w:pPr>
        <w:ind w:left="660"/>
        <w:rPr>
          <w:rFonts w:ascii="Times New Roman" w:hAnsi="Times New Roman"/>
        </w:rPr>
      </w:pPr>
      <w:r w:rsidRPr="00495CA8">
        <w:rPr>
          <w:rFonts w:ascii="Times New Roman" w:hAnsi="Times New Roman"/>
        </w:rPr>
        <w:t>The Form 8610 is currently not filed electronically and must be mailed into the Philadelphia Campus address found in the instructions</w:t>
      </w:r>
      <w:r>
        <w:rPr>
          <w:rFonts w:ascii="Times New Roman" w:hAnsi="Times New Roman"/>
        </w:rPr>
        <w:t>.</w:t>
      </w:r>
      <w:r w:rsidRPr="00495CA8">
        <w:rPr>
          <w:rFonts w:ascii="Times New Roman" w:hAnsi="Times New Roman"/>
        </w:rPr>
        <w:t xml:space="preserve"> Schedule A (Form 8610) and Form 8609 Part I are sent in as a package with Form 8610 summarizing the data.  The Form 8610 package is sent to the Philadelphia Campus Unit</w:t>
      </w:r>
    </w:p>
    <w:p w:rsidR="00147CD6" w:rsidRPr="00D05DB9" w:rsidP="00147CD6" w14:paraId="04756768" w14:textId="77777777">
      <w:pPr>
        <w:ind w:left="660"/>
        <w:rPr>
          <w:rFonts w:ascii="Times New Roman" w:hAnsi="Times New Roman"/>
        </w:rPr>
      </w:pPr>
    </w:p>
    <w:p w:rsidR="00A577E8" w:rsidRPr="00D05DB9" w14:paraId="672F384F" w14:textId="77777777">
      <w:pPr>
        <w:pStyle w:val="Level1"/>
        <w:numPr>
          <w:ilvl w:val="0"/>
          <w:numId w:val="1"/>
        </w:numPr>
        <w:tabs>
          <w:tab w:val="left" w:pos="-1440"/>
          <w:tab w:val="num" w:pos="720"/>
        </w:tabs>
        <w:rPr>
          <w:rFonts w:ascii="Times New Roman" w:hAnsi="Times New Roman"/>
        </w:rPr>
      </w:pPr>
      <w:r w:rsidRPr="00D05DB9">
        <w:rPr>
          <w:rFonts w:ascii="Times New Roman" w:hAnsi="Times New Roman"/>
          <w:u w:val="single"/>
        </w:rPr>
        <w:t>EFFORTS TO IDENTIFY DUPLICATION</w:t>
      </w:r>
    </w:p>
    <w:p w:rsidR="00A577E8" w:rsidRPr="00D05DB9" w14:paraId="19901F9E" w14:textId="77777777">
      <w:pPr>
        <w:rPr>
          <w:rFonts w:ascii="Times New Roman" w:hAnsi="Times New Roman"/>
        </w:rPr>
      </w:pPr>
    </w:p>
    <w:p w:rsidR="00A577E8" w:rsidRPr="00D05DB9" w:rsidP="00AE2785" w14:paraId="4919BFF9" w14:textId="77777777">
      <w:pPr>
        <w:ind w:left="720"/>
        <w:rPr>
          <w:rFonts w:ascii="Times New Roman" w:hAnsi="Times New Roman"/>
        </w:rPr>
      </w:pPr>
      <w:r w:rsidRPr="004E5F84">
        <w:rPr>
          <w:rFonts w:ascii="Times New Roman" w:hAnsi="Times New Roman"/>
        </w:rPr>
        <w:t>The information obtained through this collection is unique and is not already available for use or adaptation from another source</w:t>
      </w:r>
      <w:r w:rsidRPr="00D05DB9">
        <w:rPr>
          <w:rFonts w:ascii="Times New Roman" w:hAnsi="Times New Roman"/>
        </w:rPr>
        <w:t>.</w:t>
      </w:r>
    </w:p>
    <w:p w:rsidR="00A577E8" w:rsidRPr="00D05DB9" w14:paraId="7BE6898C" w14:textId="77777777">
      <w:pPr>
        <w:rPr>
          <w:rFonts w:ascii="Times New Roman" w:hAnsi="Times New Roman"/>
        </w:rPr>
      </w:pPr>
    </w:p>
    <w:p w:rsidR="00A577E8" w:rsidRPr="00D05DB9" w14:paraId="5637B4BF" w14:textId="77777777">
      <w:pPr>
        <w:pStyle w:val="Level1"/>
        <w:numPr>
          <w:ilvl w:val="0"/>
          <w:numId w:val="1"/>
        </w:numPr>
        <w:tabs>
          <w:tab w:val="left" w:pos="-1440"/>
          <w:tab w:val="num" w:pos="720"/>
        </w:tabs>
        <w:rPr>
          <w:rFonts w:ascii="Times New Roman" w:hAnsi="Times New Roman"/>
        </w:rPr>
      </w:pPr>
      <w:r w:rsidRPr="00D05DB9">
        <w:rPr>
          <w:rFonts w:ascii="Times New Roman" w:hAnsi="Times New Roman"/>
          <w:u w:val="single"/>
        </w:rPr>
        <w:t>METHODS TO MINIMIZE BURDEN ON SMALL BUSINESSES OR OTHER</w:t>
      </w:r>
      <w:r w:rsidRPr="00D05DB9">
        <w:rPr>
          <w:rFonts w:ascii="Times New Roman" w:hAnsi="Times New Roman"/>
        </w:rPr>
        <w:t xml:space="preserve">     </w:t>
      </w:r>
      <w:r w:rsidRPr="00D05DB9">
        <w:rPr>
          <w:rFonts w:ascii="Times New Roman" w:hAnsi="Times New Roman"/>
          <w:u w:val="single"/>
        </w:rPr>
        <w:t>SMALL ENTITIES</w:t>
      </w:r>
    </w:p>
    <w:p w:rsidR="00A577E8" w:rsidRPr="00D05DB9" w14:paraId="321DEB04" w14:textId="77777777">
      <w:pPr>
        <w:rPr>
          <w:rFonts w:ascii="Times New Roman" w:hAnsi="Times New Roman"/>
        </w:rPr>
      </w:pPr>
    </w:p>
    <w:p w:rsidR="00A577E8" w:rsidP="00EF5D54" w14:paraId="06930CF3" w14:textId="3544329E">
      <w:pPr>
        <w:ind w:left="720"/>
        <w:rPr>
          <w:rFonts w:ascii="Times New Roman" w:hAnsi="Times New Roman"/>
        </w:rPr>
      </w:pPr>
      <w:r w:rsidRPr="00EF5D54">
        <w:rPr>
          <w:rFonts w:ascii="Times New Roman" w:hAnsi="Times New Roman"/>
        </w:rPr>
        <w:t>The collection of information requirement will not have a significant economic impact on a substantial number of small entities.</w:t>
      </w:r>
    </w:p>
    <w:p w:rsidR="00D8342F" w14:paraId="5264727C" w14:textId="77777777">
      <w:pPr>
        <w:rPr>
          <w:rFonts w:ascii="Times New Roman" w:hAnsi="Times New Roman"/>
        </w:rPr>
      </w:pPr>
    </w:p>
    <w:p w:rsidR="00D8342F" w:rsidRPr="00D05DB9" w14:paraId="7288DF54" w14:textId="77777777">
      <w:pPr>
        <w:rPr>
          <w:rFonts w:ascii="Times New Roman" w:hAnsi="Times New Roman"/>
        </w:rPr>
      </w:pPr>
    </w:p>
    <w:p w:rsidR="00A577E8" w:rsidRPr="00D05DB9" w:rsidP="00AE2785" w14:paraId="07EC8305" w14:textId="77777777">
      <w:pPr>
        <w:numPr>
          <w:ilvl w:val="0"/>
          <w:numId w:val="1"/>
        </w:numPr>
        <w:tabs>
          <w:tab w:val="left" w:pos="-1440"/>
        </w:tabs>
        <w:ind w:left="720" w:hanging="720"/>
        <w:rPr>
          <w:rFonts w:ascii="Times New Roman" w:hAnsi="Times New Roman"/>
        </w:rPr>
      </w:pPr>
      <w:r w:rsidRPr="00D05DB9">
        <w:rPr>
          <w:rFonts w:ascii="Times New Roman" w:hAnsi="Times New Roman"/>
          <w:u w:val="single"/>
        </w:rPr>
        <w:t>CONSEQUENCES OF LESS FREQUENT COLLECTION ON FEDERAL PROGRAMS OR POLICY ACTIVITIES</w:t>
      </w:r>
    </w:p>
    <w:p w:rsidR="00A577E8" w:rsidRPr="00D05DB9" w14:paraId="176B00B4" w14:textId="77777777">
      <w:pPr>
        <w:rPr>
          <w:rFonts w:ascii="Times New Roman" w:hAnsi="Times New Roman"/>
        </w:rPr>
      </w:pPr>
    </w:p>
    <w:p w:rsidR="00A577E8" w:rsidRPr="00D05DB9" w:rsidP="008D0ED6" w14:paraId="7F06C178" w14:textId="5E025583">
      <w:pPr>
        <w:ind w:left="720"/>
        <w:rPr>
          <w:rFonts w:ascii="Times New Roman" w:hAnsi="Times New Roman"/>
        </w:rPr>
      </w:pPr>
      <w:r w:rsidRPr="00D05DB9">
        <w:rPr>
          <w:rFonts w:ascii="Times New Roman" w:hAnsi="Times New Roman"/>
        </w:rPr>
        <w:t xml:space="preserve">Consequences of less frequent collection on federal programs or policy activities would consist of: decreased amount of taxes collected by the </w:t>
      </w:r>
      <w:r w:rsidR="0057322E">
        <w:rPr>
          <w:rFonts w:ascii="Times New Roman" w:hAnsi="Times New Roman"/>
        </w:rPr>
        <w:t>IRS</w:t>
      </w:r>
      <w:r w:rsidRPr="00D05DB9">
        <w:rPr>
          <w:rFonts w:ascii="Times New Roman" w:hAnsi="Times New Roman"/>
        </w:rPr>
        <w:t>, inaccurate and untimely filing of tax returns, and an increase in tax violations</w:t>
      </w:r>
      <w:r w:rsidRPr="00D05DB9" w:rsidR="0038300E">
        <w:rPr>
          <w:rFonts w:ascii="Times New Roman" w:hAnsi="Times New Roman"/>
        </w:rPr>
        <w:t>.</w:t>
      </w:r>
    </w:p>
    <w:p w:rsidR="00A577E8" w:rsidRPr="00D05DB9" w14:paraId="41390EC2" w14:textId="77777777">
      <w:pPr>
        <w:rPr>
          <w:rFonts w:ascii="Times New Roman" w:hAnsi="Times New Roman"/>
        </w:rPr>
      </w:pPr>
    </w:p>
    <w:p w:rsidR="00A577E8" w:rsidRPr="00D05DB9" w14:paraId="44F7ED30" w14:textId="77777777">
      <w:pPr>
        <w:pStyle w:val="Level1"/>
        <w:tabs>
          <w:tab w:val="left" w:pos="-1440"/>
          <w:tab w:val="num" w:pos="720"/>
        </w:tabs>
        <w:rPr>
          <w:rFonts w:ascii="Times New Roman" w:hAnsi="Times New Roman"/>
        </w:rPr>
      </w:pPr>
      <w:r w:rsidRPr="00D05DB9">
        <w:rPr>
          <w:rFonts w:ascii="Times New Roman" w:hAnsi="Times New Roman"/>
          <w:u w:val="single"/>
        </w:rPr>
        <w:t>SPECIAL CIRCUMSTANCES REQUIRING DATA COLLECTION TO BE</w:t>
      </w:r>
      <w:r w:rsidRPr="00D05DB9">
        <w:rPr>
          <w:rFonts w:ascii="Times New Roman" w:hAnsi="Times New Roman"/>
        </w:rPr>
        <w:t xml:space="preserve">    </w:t>
      </w:r>
      <w:r w:rsidRPr="00D05DB9">
        <w:rPr>
          <w:rFonts w:ascii="Times New Roman" w:hAnsi="Times New Roman"/>
          <w:u w:val="single"/>
        </w:rPr>
        <w:t>INCONSISTENT WITH GUIDELINES IN 5 CFR 1320.5(d)(2)</w:t>
      </w:r>
    </w:p>
    <w:p w:rsidR="00A577E8" w:rsidRPr="00D05DB9" w14:paraId="76531391" w14:textId="77777777">
      <w:pPr>
        <w:rPr>
          <w:rFonts w:ascii="Times New Roman" w:hAnsi="Times New Roman"/>
        </w:rPr>
      </w:pPr>
    </w:p>
    <w:p w:rsidR="00A577E8" w:rsidP="004E5F84" w14:paraId="6C22864D" w14:textId="77777777">
      <w:pPr>
        <w:ind w:left="720"/>
        <w:rPr>
          <w:rFonts w:ascii="Times New Roman" w:hAnsi="Times New Roman"/>
        </w:rPr>
      </w:pPr>
      <w:r w:rsidRPr="00D05DB9">
        <w:rPr>
          <w:rFonts w:ascii="Times New Roman" w:hAnsi="Times New Roman"/>
        </w:rPr>
        <w:t>There are no special circumstances requiring data collection to be inconsistent with Guidelines in 5 CFR 1320.5(d)(2)</w:t>
      </w:r>
      <w:r w:rsidRPr="00D05DB9" w:rsidR="0038300E">
        <w:rPr>
          <w:rFonts w:ascii="Times New Roman" w:hAnsi="Times New Roman"/>
        </w:rPr>
        <w:t>.</w:t>
      </w:r>
    </w:p>
    <w:p w:rsidR="004E5F84" w:rsidRPr="00D05DB9" w:rsidP="004E5F84" w14:paraId="03873615" w14:textId="77777777">
      <w:pPr>
        <w:ind w:left="720"/>
        <w:rPr>
          <w:rFonts w:ascii="Times New Roman" w:hAnsi="Times New Roman"/>
        </w:rPr>
      </w:pPr>
    </w:p>
    <w:p w:rsidR="00A577E8" w:rsidRPr="00D05DB9" w14:paraId="75326BB6" w14:textId="77777777">
      <w:pPr>
        <w:pStyle w:val="Level1"/>
        <w:tabs>
          <w:tab w:val="left" w:pos="-1440"/>
          <w:tab w:val="num" w:pos="720"/>
        </w:tabs>
        <w:rPr>
          <w:rFonts w:ascii="Times New Roman" w:hAnsi="Times New Roman"/>
        </w:rPr>
      </w:pPr>
      <w:r w:rsidRPr="00D05DB9">
        <w:rPr>
          <w:rFonts w:ascii="Times New Roman" w:hAnsi="Times New Roman"/>
          <w:u w:val="single"/>
        </w:rPr>
        <w:t>CONSULTATION WITH INDIVIDUALS OUTSIDE OF THE AGENCY ON</w:t>
      </w:r>
      <w:r w:rsidRPr="00D05DB9">
        <w:rPr>
          <w:rFonts w:ascii="Times New Roman" w:hAnsi="Times New Roman"/>
        </w:rPr>
        <w:t xml:space="preserve">     </w:t>
      </w:r>
      <w:r w:rsidRPr="00D05DB9">
        <w:rPr>
          <w:rFonts w:ascii="Times New Roman" w:hAnsi="Times New Roman"/>
          <w:u w:val="single"/>
        </w:rPr>
        <w:t>AVAILABILITY OF DATA, FREQUENCY OF COLLECTION, CLARITY OF INSTRUCTIONS AND FORMS, AND DATA ELEMENTS</w:t>
      </w:r>
    </w:p>
    <w:p w:rsidR="00A577E8" w:rsidRPr="00D05DB9" w14:paraId="2A5B2C24" w14:textId="77777777">
      <w:pPr>
        <w:rPr>
          <w:rFonts w:ascii="Times New Roman" w:hAnsi="Times New Roman"/>
        </w:rPr>
      </w:pPr>
    </w:p>
    <w:p w:rsidR="00A577E8" w:rsidRPr="00D05DB9" w14:paraId="02605C70" w14:textId="253DA642">
      <w:pPr>
        <w:ind w:left="720"/>
        <w:rPr>
          <w:rFonts w:ascii="Times New Roman" w:hAnsi="Times New Roman"/>
        </w:rPr>
      </w:pPr>
      <w:r w:rsidRPr="00D05DB9">
        <w:rPr>
          <w:rFonts w:ascii="Times New Roman" w:hAnsi="Times New Roman"/>
        </w:rPr>
        <w:t xml:space="preserve">In response to the Federal Register </w:t>
      </w:r>
      <w:r w:rsidRPr="00D05DB9" w:rsidR="00F80146">
        <w:rPr>
          <w:rFonts w:ascii="Times New Roman" w:hAnsi="Times New Roman"/>
        </w:rPr>
        <w:t>n</w:t>
      </w:r>
      <w:r w:rsidRPr="00D05DB9">
        <w:rPr>
          <w:rFonts w:ascii="Times New Roman" w:hAnsi="Times New Roman"/>
        </w:rPr>
        <w:t xml:space="preserve">otice dated </w:t>
      </w:r>
      <w:r w:rsidR="00147CD6">
        <w:rPr>
          <w:rFonts w:ascii="Times New Roman" w:hAnsi="Times New Roman"/>
        </w:rPr>
        <w:t xml:space="preserve">January </w:t>
      </w:r>
      <w:r w:rsidR="00022F18">
        <w:rPr>
          <w:rFonts w:ascii="Times New Roman" w:hAnsi="Times New Roman"/>
        </w:rPr>
        <w:t>20</w:t>
      </w:r>
      <w:r w:rsidR="00147CD6">
        <w:rPr>
          <w:rFonts w:ascii="Times New Roman" w:hAnsi="Times New Roman"/>
        </w:rPr>
        <w:t>, 202</w:t>
      </w:r>
      <w:r w:rsidR="00022F18">
        <w:rPr>
          <w:rFonts w:ascii="Times New Roman" w:hAnsi="Times New Roman"/>
        </w:rPr>
        <w:t>6</w:t>
      </w:r>
      <w:r w:rsidRPr="00D05DB9" w:rsidR="00DF6B17">
        <w:rPr>
          <w:rFonts w:ascii="Times New Roman" w:hAnsi="Times New Roman"/>
        </w:rPr>
        <w:t xml:space="preserve"> </w:t>
      </w:r>
      <w:r w:rsidRPr="00D05DB9" w:rsidR="00627242">
        <w:rPr>
          <w:rFonts w:ascii="Times New Roman" w:hAnsi="Times New Roman"/>
        </w:rPr>
        <w:t>(</w:t>
      </w:r>
      <w:r w:rsidR="00022F18">
        <w:rPr>
          <w:rFonts w:ascii="Times New Roman" w:hAnsi="Times New Roman"/>
        </w:rPr>
        <w:t>91</w:t>
      </w:r>
      <w:r w:rsidRPr="00D05DB9" w:rsidR="00627242">
        <w:rPr>
          <w:rFonts w:ascii="Times New Roman" w:hAnsi="Times New Roman"/>
        </w:rPr>
        <w:t xml:space="preserve"> FR </w:t>
      </w:r>
      <w:r w:rsidR="00D606B7">
        <w:rPr>
          <w:rFonts w:ascii="Times New Roman" w:hAnsi="Times New Roman"/>
        </w:rPr>
        <w:t>2434</w:t>
      </w:r>
      <w:r w:rsidRPr="00D05DB9" w:rsidR="00627242">
        <w:rPr>
          <w:rFonts w:ascii="Times New Roman" w:hAnsi="Times New Roman"/>
        </w:rPr>
        <w:t>)</w:t>
      </w:r>
      <w:r w:rsidRPr="00D05DB9">
        <w:rPr>
          <w:rFonts w:ascii="Times New Roman" w:hAnsi="Times New Roman"/>
        </w:rPr>
        <w:t>, we received no comments during the comment period regarding Form 8610 and Schedule A (Form 8610).</w:t>
      </w:r>
    </w:p>
    <w:p w:rsidR="00A577E8" w:rsidRPr="00D05DB9" w14:paraId="45C6F3A1" w14:textId="77777777">
      <w:pPr>
        <w:rPr>
          <w:rFonts w:ascii="Times New Roman" w:hAnsi="Times New Roman"/>
        </w:rPr>
      </w:pPr>
    </w:p>
    <w:p w:rsidR="00A577E8" w:rsidRPr="00D05DB9" w14:paraId="7C7D3124" w14:textId="77777777">
      <w:pPr>
        <w:pStyle w:val="Level1"/>
        <w:tabs>
          <w:tab w:val="left" w:pos="-1440"/>
          <w:tab w:val="num" w:pos="720"/>
        </w:tabs>
        <w:rPr>
          <w:rFonts w:ascii="Times New Roman" w:hAnsi="Times New Roman"/>
        </w:rPr>
      </w:pPr>
      <w:r w:rsidRPr="00D05DB9">
        <w:rPr>
          <w:rFonts w:ascii="Times New Roman" w:hAnsi="Times New Roman"/>
          <w:u w:val="single"/>
        </w:rPr>
        <w:t>EXPLANATION OF DECISION TO PROVIDE ANY PAYMENT OR GIFT TO</w:t>
      </w:r>
      <w:r w:rsidRPr="00D05DB9">
        <w:rPr>
          <w:rFonts w:ascii="Times New Roman" w:hAnsi="Times New Roman"/>
        </w:rPr>
        <w:t xml:space="preserve">   </w:t>
      </w:r>
      <w:r w:rsidRPr="00D05DB9">
        <w:rPr>
          <w:rFonts w:ascii="Times New Roman" w:hAnsi="Times New Roman"/>
          <w:u w:val="single"/>
        </w:rPr>
        <w:t>RESPONDENTS</w:t>
      </w:r>
    </w:p>
    <w:p w:rsidR="00A577E8" w:rsidRPr="00D05DB9" w14:paraId="69D3381F" w14:textId="77777777">
      <w:pPr>
        <w:rPr>
          <w:rFonts w:ascii="Times New Roman" w:hAnsi="Times New Roman"/>
        </w:rPr>
      </w:pPr>
    </w:p>
    <w:p w:rsidR="00A577E8" w:rsidRPr="00D05DB9" w14:paraId="671CFBD0" w14:textId="77777777">
      <w:pPr>
        <w:ind w:firstLine="720"/>
        <w:rPr>
          <w:rFonts w:ascii="Times New Roman" w:hAnsi="Times New Roman"/>
        </w:rPr>
      </w:pPr>
      <w:r w:rsidRPr="00D05DB9">
        <w:rPr>
          <w:rFonts w:ascii="Times New Roman" w:hAnsi="Times New Roman"/>
        </w:rPr>
        <w:t>No payment or gift has been provided to any respondents</w:t>
      </w:r>
      <w:r w:rsidRPr="00D05DB9" w:rsidR="000F07A8">
        <w:rPr>
          <w:rFonts w:ascii="Times New Roman" w:hAnsi="Times New Roman"/>
        </w:rPr>
        <w:t>.</w:t>
      </w:r>
    </w:p>
    <w:p w:rsidR="00A577E8" w:rsidRPr="00D05DB9" w14:paraId="5DF552BF" w14:textId="77777777">
      <w:pPr>
        <w:rPr>
          <w:rFonts w:ascii="Times New Roman" w:hAnsi="Times New Roman"/>
        </w:rPr>
      </w:pPr>
    </w:p>
    <w:p w:rsidR="00A577E8" w:rsidRPr="00D05DB9" w14:paraId="277450B7" w14:textId="77777777">
      <w:pPr>
        <w:pStyle w:val="Level1"/>
        <w:tabs>
          <w:tab w:val="left" w:pos="-1440"/>
          <w:tab w:val="num" w:pos="720"/>
        </w:tabs>
        <w:rPr>
          <w:rFonts w:ascii="Times New Roman" w:hAnsi="Times New Roman"/>
        </w:rPr>
      </w:pPr>
      <w:r w:rsidRPr="00D05DB9">
        <w:rPr>
          <w:rFonts w:ascii="Times New Roman" w:hAnsi="Times New Roman"/>
          <w:u w:val="single"/>
        </w:rPr>
        <w:t>ASSURANCE OF CONFIDENTIALITY OF RESPONSES</w:t>
      </w:r>
    </w:p>
    <w:p w:rsidR="00A577E8" w:rsidRPr="00D05DB9" w14:paraId="34494277" w14:textId="77777777">
      <w:pPr>
        <w:rPr>
          <w:rFonts w:ascii="Times New Roman" w:hAnsi="Times New Roman"/>
        </w:rPr>
      </w:pPr>
    </w:p>
    <w:p w:rsidR="00A577E8" w:rsidRPr="00D05DB9" w14:paraId="79879BBB" w14:textId="77777777">
      <w:pPr>
        <w:ind w:left="720"/>
        <w:rPr>
          <w:rFonts w:ascii="Times New Roman" w:hAnsi="Times New Roman"/>
        </w:rPr>
      </w:pPr>
      <w:r w:rsidRPr="00D05DB9">
        <w:rPr>
          <w:rFonts w:ascii="Times New Roman" w:hAnsi="Times New Roman"/>
        </w:rPr>
        <w:t>Generally, tax returns and tax return information are confidential as required by 26 USC 6103.</w:t>
      </w:r>
    </w:p>
    <w:p w:rsidR="00A577E8" w:rsidRPr="00D05DB9" w14:paraId="626E403B" w14:textId="77777777">
      <w:pPr>
        <w:rPr>
          <w:rFonts w:ascii="Times New Roman" w:hAnsi="Times New Roman"/>
        </w:rPr>
      </w:pPr>
    </w:p>
    <w:p w:rsidR="00A577E8" w:rsidRPr="00D05DB9" w14:paraId="3AA2F578" w14:textId="77777777">
      <w:pPr>
        <w:pStyle w:val="Level1"/>
        <w:tabs>
          <w:tab w:val="left" w:pos="-1440"/>
          <w:tab w:val="num" w:pos="720"/>
        </w:tabs>
        <w:rPr>
          <w:rFonts w:ascii="Times New Roman" w:hAnsi="Times New Roman"/>
          <w:u w:val="single"/>
        </w:rPr>
      </w:pPr>
      <w:r w:rsidRPr="00D05DB9">
        <w:rPr>
          <w:rFonts w:ascii="Times New Roman" w:hAnsi="Times New Roman"/>
          <w:u w:val="single"/>
        </w:rPr>
        <w:t>JUSTIFICATION OF SENSITIVE QUESTIONS</w:t>
      </w:r>
    </w:p>
    <w:p w:rsidR="00A577E8" w:rsidRPr="00D05DB9" w14:paraId="18AFD4DD" w14:textId="77777777">
      <w:pPr>
        <w:rPr>
          <w:rFonts w:ascii="Times New Roman" w:hAnsi="Times New Roman"/>
          <w:u w:val="single"/>
        </w:rPr>
      </w:pPr>
    </w:p>
    <w:p w:rsidR="00FD3E38" w:rsidRPr="00D05DB9" w:rsidP="00FD3E38" w14:paraId="2C85D4B7" w14:textId="77777777">
      <w:pPr>
        <w:ind w:left="720"/>
        <w:rPr>
          <w:rFonts w:ascii="Times New Roman" w:hAnsi="Times New Roman"/>
        </w:rPr>
      </w:pPr>
      <w:r w:rsidRPr="00D05DB9">
        <w:rPr>
          <w:rFonts w:ascii="Times New Roman" w:hAnsi="Times New Roman"/>
        </w:rPr>
        <w:t>A privacy impact assessment (PIA) has been conducted for information collected under this request as part of the “Individual Master File (IMF)” system and a Privacy Act System of Records notice (SORN) has been issued for this system under:</w:t>
      </w:r>
    </w:p>
    <w:p w:rsidR="00FD3E38" w:rsidRPr="00D05DB9" w:rsidP="00FD3E38" w14:paraId="253E2D53" w14:textId="77777777">
      <w:pPr>
        <w:ind w:left="720"/>
        <w:rPr>
          <w:rFonts w:ascii="Times New Roman" w:hAnsi="Times New Roman"/>
        </w:rPr>
      </w:pPr>
      <w:r w:rsidRPr="00D05DB9">
        <w:rPr>
          <w:rFonts w:ascii="Times New Roman" w:hAnsi="Times New Roman"/>
        </w:rPr>
        <w:t>IRS 24.030 - CADE Individual Master File</w:t>
      </w:r>
    </w:p>
    <w:p w:rsidR="00FD3E38" w:rsidRPr="00D05DB9" w:rsidP="00FD3E38" w14:paraId="5D5D8F82" w14:textId="77777777">
      <w:pPr>
        <w:ind w:left="720"/>
        <w:rPr>
          <w:rFonts w:ascii="Times New Roman" w:hAnsi="Times New Roman"/>
        </w:rPr>
      </w:pPr>
      <w:r w:rsidRPr="00D05DB9">
        <w:rPr>
          <w:rFonts w:ascii="Times New Roman" w:hAnsi="Times New Roman"/>
        </w:rPr>
        <w:t xml:space="preserve">IRS 34.037 - IRS Audit Trail and Security Records System </w:t>
      </w:r>
    </w:p>
    <w:p w:rsidR="00FD3E38" w:rsidRPr="00D05DB9" w:rsidP="00FD3E38" w14:paraId="69575D91" w14:textId="77777777">
      <w:pPr>
        <w:ind w:left="720"/>
        <w:rPr>
          <w:rFonts w:ascii="Times New Roman" w:hAnsi="Times New Roman"/>
        </w:rPr>
      </w:pPr>
    </w:p>
    <w:p w:rsidR="00FD3E38" w:rsidRPr="00D05DB9" w:rsidP="00FD3E38" w14:paraId="57AD80BB" w14:textId="77777777">
      <w:pPr>
        <w:ind w:left="720"/>
        <w:rPr>
          <w:rFonts w:ascii="Times New Roman" w:hAnsi="Times New Roman"/>
        </w:rPr>
      </w:pPr>
      <w:r w:rsidRPr="00D05DB9">
        <w:rPr>
          <w:rFonts w:ascii="Times New Roman" w:hAnsi="Times New Roman"/>
        </w:rPr>
        <w:t xml:space="preserve">The Internal Revenue Service PIAs can be found at </w:t>
      </w:r>
      <w:hyperlink r:id="rId4" w:history="1">
        <w:r w:rsidRPr="00D05DB9">
          <w:rPr>
            <w:rStyle w:val="Hyperlink"/>
            <w:rFonts w:ascii="Times New Roman" w:hAnsi="Times New Roman"/>
          </w:rPr>
          <w:t>http://www.irs.gov/uac/Privacy-Impact-Assessments-PIA</w:t>
        </w:r>
      </w:hyperlink>
      <w:r w:rsidRPr="00D05DB9">
        <w:rPr>
          <w:rFonts w:ascii="Times New Roman" w:hAnsi="Times New Roman"/>
        </w:rPr>
        <w:t xml:space="preserve">. </w:t>
      </w:r>
    </w:p>
    <w:p w:rsidR="00FD3E38" w:rsidRPr="00D05DB9" w:rsidP="00FD3E38" w14:paraId="363065D8" w14:textId="77777777">
      <w:pPr>
        <w:ind w:left="720"/>
        <w:rPr>
          <w:rFonts w:ascii="Times New Roman" w:hAnsi="Times New Roman"/>
        </w:rPr>
      </w:pPr>
    </w:p>
    <w:p w:rsidR="00F80D52" w:rsidRPr="00D05DB9" w:rsidP="00D8342F" w14:paraId="79BFD61F" w14:textId="77777777">
      <w:pPr>
        <w:ind w:left="720"/>
        <w:rPr>
          <w:rFonts w:ascii="Times New Roman" w:hAnsi="Times New Roman"/>
        </w:rPr>
      </w:pPr>
      <w:r w:rsidRPr="00D05DB9">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F80D52" w:rsidRPr="00D05DB9" w14:paraId="4F866E7A" w14:textId="77777777">
      <w:pPr>
        <w:rPr>
          <w:rFonts w:ascii="Times New Roman" w:hAnsi="Times New Roman"/>
        </w:rPr>
      </w:pPr>
    </w:p>
    <w:p w:rsidR="00A577E8" w:rsidRPr="00D8342F" w:rsidP="00D8342F" w14:paraId="73492B0A" w14:textId="77777777">
      <w:pPr>
        <w:pStyle w:val="Level1"/>
        <w:tabs>
          <w:tab w:val="left" w:pos="-1440"/>
          <w:tab w:val="num" w:pos="720"/>
        </w:tabs>
        <w:rPr>
          <w:rFonts w:ascii="Times New Roman" w:hAnsi="Times New Roman"/>
          <w:u w:val="single"/>
        </w:rPr>
      </w:pPr>
      <w:r w:rsidRPr="00D8342F">
        <w:rPr>
          <w:rFonts w:ascii="Times New Roman" w:hAnsi="Times New Roman"/>
          <w:u w:val="single"/>
        </w:rPr>
        <w:t>ESTIMATED BURDEN OF INFORMATION COLLECTION</w:t>
      </w:r>
    </w:p>
    <w:p w:rsidR="00D05DB9" w:rsidP="00D05DB9" w14:paraId="59050DFA" w14:textId="77777777">
      <w:pPr>
        <w:ind w:left="720"/>
        <w:rPr>
          <w:rFonts w:ascii="Times New Roman" w:hAnsi="Times New Roman"/>
          <w:u w:val="single"/>
        </w:rPr>
      </w:pPr>
    </w:p>
    <w:p w:rsidR="00D05DB9" w:rsidP="00D05DB9" w14:paraId="31F606AA" w14:textId="77777777">
      <w:pPr>
        <w:ind w:left="720"/>
        <w:rPr>
          <w:rFonts w:ascii="Times New Roman" w:hAnsi="Times New Roman"/>
          <w:u w:val="single"/>
        </w:rPr>
      </w:pPr>
      <w:r>
        <w:rPr>
          <w:rFonts w:ascii="Times New Roman" w:hAnsi="Times New Roman"/>
        </w:rPr>
        <w:t>Form 8610</w:t>
      </w:r>
      <w:r w:rsidRPr="004E5F84">
        <w:rPr>
          <w:rFonts w:ascii="Times New Roman" w:hAnsi="Times New Roman"/>
        </w:rPr>
        <w:t xml:space="preserve"> is used by housing credit agencies to transmit Form 8609, Low-Income Housing Credit Allocation and Certification, to the IRS and to report the dollar amount of housing credit allocations issued during the calendar year</w:t>
      </w:r>
      <w:r>
        <w:rPr>
          <w:rFonts w:ascii="Times New Roman" w:hAnsi="Times New Roman"/>
        </w:rPr>
        <w:t>.</w:t>
      </w:r>
      <w:r w:rsidR="00DC435A">
        <w:rPr>
          <w:rFonts w:ascii="Times New Roman" w:hAnsi="Times New Roman"/>
        </w:rPr>
        <w:t xml:space="preserve">  </w:t>
      </w:r>
      <w:r w:rsidRPr="00DC435A" w:rsidR="00DC435A">
        <w:rPr>
          <w:rFonts w:ascii="Times New Roman" w:hAnsi="Times New Roman"/>
        </w:rPr>
        <w:t>Schedule A (Form 8610) is completed and filed the by the housing credit agency to report a carryover of a low-</w:t>
      </w:r>
      <w:r w:rsidRPr="00DC435A" w:rsidR="00DC435A">
        <w:rPr>
          <w:rFonts w:ascii="Times New Roman" w:hAnsi="Times New Roman"/>
        </w:rPr>
        <w:t>income housing credit under Code section 42(h)(1)(E) and (F) and regulation section 1.42-6. A Schedule A is completed for each carryover allocation and is attached to Form 8610.</w:t>
      </w:r>
      <w:r>
        <w:rPr>
          <w:rFonts w:ascii="Times New Roman" w:hAnsi="Times New Roman"/>
        </w:rPr>
        <w:t xml:space="preserve">  </w:t>
      </w:r>
      <w:r w:rsidR="001D1BE2">
        <w:rPr>
          <w:rFonts w:ascii="Times New Roman" w:hAnsi="Times New Roman"/>
        </w:rPr>
        <w:t xml:space="preserve">The burden associated with this approval number is </w:t>
      </w:r>
      <w:r w:rsidR="000C2A6A">
        <w:rPr>
          <w:rFonts w:ascii="Times New Roman" w:hAnsi="Times New Roman"/>
        </w:rPr>
        <w:t>strictly related to the filing of these forms.</w:t>
      </w:r>
      <w:r w:rsidR="001D1BE2">
        <w:rPr>
          <w:rFonts w:ascii="Times New Roman" w:hAnsi="Times New Roman"/>
        </w:rPr>
        <w:t xml:space="preserve"> </w:t>
      </w:r>
    </w:p>
    <w:p w:rsidR="00D05DB9" w:rsidRPr="00D05DB9" w14:paraId="466A6F3D" w14:textId="77777777">
      <w:pPr>
        <w:rPr>
          <w:rFonts w:ascii="Times New Roman" w:hAnsi="Times New Roman"/>
          <w:u w:val="single"/>
        </w:rPr>
      </w:pPr>
    </w:p>
    <w:p w:rsidR="00A577E8" w:rsidRPr="00D05DB9" w14:paraId="7C3A5BEF" w14:textId="77777777">
      <w:pPr>
        <w:ind w:left="720"/>
        <w:rPr>
          <w:rFonts w:ascii="Times New Roman" w:hAnsi="Times New Roman"/>
        </w:rPr>
      </w:pPr>
      <w:r w:rsidRPr="00D05DB9">
        <w:rPr>
          <w:rFonts w:ascii="Times New Roman" w:hAnsi="Times New Roman"/>
        </w:rPr>
        <w:t xml:space="preserve">The </w:t>
      </w:r>
      <w:r w:rsidR="00D8342F">
        <w:rPr>
          <w:rFonts w:ascii="Times New Roman" w:hAnsi="Times New Roman"/>
        </w:rPr>
        <w:t xml:space="preserve">reporting </w:t>
      </w:r>
      <w:r w:rsidRPr="00D05DB9">
        <w:rPr>
          <w:rFonts w:ascii="Times New Roman" w:hAnsi="Times New Roman"/>
        </w:rPr>
        <w:t>burden estimate is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2150"/>
        <w:gridCol w:w="2452"/>
        <w:gridCol w:w="1513"/>
      </w:tblGrid>
      <w:tr w14:paraId="0B271A6C" w14:textId="77777777" w:rsidTr="0057322E">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15" w:type="dxa"/>
          </w:tcPr>
          <w:p w:rsidR="00D05DB9" w:rsidRPr="008713A9" w:rsidP="008713A9" w14:paraId="65E5EBCA" w14:textId="77777777">
            <w:pPr>
              <w:jc w:val="center"/>
              <w:rPr>
                <w:rFonts w:ascii="Times New Roman" w:hAnsi="Times New Roman"/>
                <w:b/>
              </w:rPr>
            </w:pPr>
            <w:r w:rsidRPr="008713A9">
              <w:rPr>
                <w:rFonts w:ascii="Times New Roman" w:hAnsi="Times New Roman"/>
                <w:b/>
              </w:rPr>
              <w:t>Form</w:t>
            </w:r>
          </w:p>
        </w:tc>
        <w:tc>
          <w:tcPr>
            <w:tcW w:w="2150" w:type="dxa"/>
          </w:tcPr>
          <w:p w:rsidR="00D05DB9" w:rsidRPr="008713A9" w:rsidP="008713A9" w14:paraId="409389E9" w14:textId="77777777">
            <w:pPr>
              <w:jc w:val="center"/>
              <w:rPr>
                <w:rFonts w:ascii="Times New Roman" w:hAnsi="Times New Roman"/>
                <w:b/>
              </w:rPr>
            </w:pPr>
            <w:r w:rsidRPr="008713A9">
              <w:rPr>
                <w:rFonts w:ascii="Times New Roman" w:hAnsi="Times New Roman"/>
                <w:b/>
              </w:rPr>
              <w:t>Number of Responses</w:t>
            </w:r>
          </w:p>
        </w:tc>
        <w:tc>
          <w:tcPr>
            <w:tcW w:w="2452" w:type="dxa"/>
          </w:tcPr>
          <w:p w:rsidR="00D05DB9" w:rsidRPr="008713A9" w:rsidP="008713A9" w14:paraId="771E8E33" w14:textId="77777777">
            <w:pPr>
              <w:jc w:val="center"/>
              <w:rPr>
                <w:rFonts w:ascii="Times New Roman" w:hAnsi="Times New Roman"/>
                <w:b/>
              </w:rPr>
            </w:pPr>
            <w:r w:rsidRPr="008713A9">
              <w:rPr>
                <w:rFonts w:ascii="Times New Roman" w:hAnsi="Times New Roman"/>
                <w:b/>
              </w:rPr>
              <w:t>Time per Response</w:t>
            </w:r>
          </w:p>
        </w:tc>
        <w:tc>
          <w:tcPr>
            <w:tcW w:w="1513" w:type="dxa"/>
          </w:tcPr>
          <w:p w:rsidR="00D05DB9" w:rsidRPr="008713A9" w:rsidP="008713A9" w14:paraId="6A424392" w14:textId="77777777">
            <w:pPr>
              <w:jc w:val="center"/>
              <w:rPr>
                <w:rFonts w:ascii="Times New Roman" w:hAnsi="Times New Roman"/>
                <w:b/>
              </w:rPr>
            </w:pPr>
            <w:r w:rsidRPr="008713A9">
              <w:rPr>
                <w:rFonts w:ascii="Times New Roman" w:hAnsi="Times New Roman"/>
                <w:b/>
              </w:rPr>
              <w:t>Total Hours</w:t>
            </w:r>
          </w:p>
        </w:tc>
      </w:tr>
      <w:tr w14:paraId="5566F388" w14:textId="77777777" w:rsidTr="0057322E">
        <w:tblPrEx>
          <w:tblW w:w="0" w:type="auto"/>
          <w:tblInd w:w="720" w:type="dxa"/>
          <w:tblLook w:val="04A0"/>
        </w:tblPrEx>
        <w:tc>
          <w:tcPr>
            <w:tcW w:w="2515" w:type="dxa"/>
          </w:tcPr>
          <w:p w:rsidR="00D05DB9" w:rsidRPr="0057322E" w14:paraId="762D67AA" w14:textId="77777777">
            <w:pPr>
              <w:rPr>
                <w:rFonts w:ascii="Times New Roman" w:hAnsi="Times New Roman"/>
              </w:rPr>
            </w:pPr>
            <w:r w:rsidRPr="0057322E">
              <w:rPr>
                <w:rFonts w:ascii="Times New Roman" w:hAnsi="Times New Roman"/>
              </w:rPr>
              <w:t>8610</w:t>
            </w:r>
          </w:p>
        </w:tc>
        <w:tc>
          <w:tcPr>
            <w:tcW w:w="2150" w:type="dxa"/>
          </w:tcPr>
          <w:p w:rsidR="00D05DB9" w:rsidRPr="0057322E" w:rsidP="008713A9" w14:paraId="46EEDB12" w14:textId="77777777">
            <w:pPr>
              <w:jc w:val="center"/>
              <w:rPr>
                <w:rFonts w:ascii="Times New Roman" w:hAnsi="Times New Roman"/>
              </w:rPr>
            </w:pPr>
            <w:r w:rsidRPr="0057322E">
              <w:rPr>
                <w:rFonts w:ascii="Times New Roman" w:hAnsi="Times New Roman"/>
              </w:rPr>
              <w:t>53</w:t>
            </w:r>
          </w:p>
        </w:tc>
        <w:tc>
          <w:tcPr>
            <w:tcW w:w="2452" w:type="dxa"/>
          </w:tcPr>
          <w:p w:rsidR="00D05DB9" w:rsidRPr="0057322E" w:rsidP="008713A9" w14:paraId="5457142F" w14:textId="77777777">
            <w:pPr>
              <w:jc w:val="center"/>
              <w:rPr>
                <w:rFonts w:ascii="Times New Roman" w:hAnsi="Times New Roman"/>
              </w:rPr>
            </w:pPr>
            <w:r w:rsidRPr="0057322E">
              <w:rPr>
                <w:rFonts w:ascii="Times New Roman" w:hAnsi="Times New Roman"/>
              </w:rPr>
              <w:t>11.84</w:t>
            </w:r>
          </w:p>
        </w:tc>
        <w:tc>
          <w:tcPr>
            <w:tcW w:w="1513" w:type="dxa"/>
          </w:tcPr>
          <w:p w:rsidR="00D05DB9" w:rsidRPr="0057322E" w:rsidP="008713A9" w14:paraId="2BAE3654" w14:textId="77777777">
            <w:pPr>
              <w:jc w:val="center"/>
              <w:rPr>
                <w:rFonts w:ascii="Times New Roman" w:hAnsi="Times New Roman"/>
              </w:rPr>
            </w:pPr>
            <w:r w:rsidRPr="0057322E">
              <w:rPr>
                <w:rFonts w:ascii="Times New Roman" w:hAnsi="Times New Roman"/>
              </w:rPr>
              <w:t>628</w:t>
            </w:r>
          </w:p>
        </w:tc>
      </w:tr>
      <w:tr w14:paraId="3A2782BF" w14:textId="77777777" w:rsidTr="0057322E">
        <w:tblPrEx>
          <w:tblW w:w="0" w:type="auto"/>
          <w:tblInd w:w="720" w:type="dxa"/>
          <w:tblLook w:val="04A0"/>
        </w:tblPrEx>
        <w:tc>
          <w:tcPr>
            <w:tcW w:w="2515" w:type="dxa"/>
          </w:tcPr>
          <w:p w:rsidR="00D05DB9" w:rsidRPr="0057322E" w:rsidP="008713A9" w14:paraId="69997907" w14:textId="77777777">
            <w:pPr>
              <w:tabs>
                <w:tab w:val="left" w:pos="-1440"/>
                <w:tab w:val="left" w:pos="1440"/>
                <w:tab w:val="center" w:pos="4320"/>
                <w:tab w:val="center" w:pos="6030"/>
                <w:tab w:val="center" w:pos="7740"/>
              </w:tabs>
              <w:rPr>
                <w:rFonts w:ascii="Times New Roman" w:hAnsi="Times New Roman"/>
              </w:rPr>
            </w:pPr>
            <w:r w:rsidRPr="0057322E">
              <w:rPr>
                <w:rFonts w:ascii="Times New Roman" w:hAnsi="Times New Roman"/>
              </w:rPr>
              <w:t xml:space="preserve">Schedule A (F 8610) </w:t>
            </w:r>
          </w:p>
        </w:tc>
        <w:tc>
          <w:tcPr>
            <w:tcW w:w="2150" w:type="dxa"/>
          </w:tcPr>
          <w:p w:rsidR="00D05DB9" w:rsidRPr="0057322E" w:rsidP="008713A9" w14:paraId="3FC4EC77" w14:textId="77777777">
            <w:pPr>
              <w:jc w:val="center"/>
              <w:rPr>
                <w:rFonts w:ascii="Times New Roman" w:hAnsi="Times New Roman"/>
              </w:rPr>
            </w:pPr>
            <w:r w:rsidRPr="0057322E">
              <w:rPr>
                <w:rFonts w:ascii="Times New Roman" w:hAnsi="Times New Roman"/>
              </w:rPr>
              <w:t>1,300</w:t>
            </w:r>
          </w:p>
        </w:tc>
        <w:tc>
          <w:tcPr>
            <w:tcW w:w="2452" w:type="dxa"/>
          </w:tcPr>
          <w:p w:rsidR="00D05DB9" w:rsidRPr="0057322E" w:rsidP="008713A9" w14:paraId="00B072CB" w14:textId="77777777">
            <w:pPr>
              <w:jc w:val="center"/>
              <w:rPr>
                <w:rFonts w:ascii="Times New Roman" w:hAnsi="Times New Roman"/>
              </w:rPr>
            </w:pPr>
            <w:r w:rsidRPr="0057322E">
              <w:rPr>
                <w:rFonts w:ascii="Times New Roman" w:hAnsi="Times New Roman"/>
              </w:rPr>
              <w:t>4.70</w:t>
            </w:r>
          </w:p>
        </w:tc>
        <w:tc>
          <w:tcPr>
            <w:tcW w:w="1513" w:type="dxa"/>
          </w:tcPr>
          <w:p w:rsidR="00D05DB9" w:rsidRPr="0057322E" w:rsidP="008713A9" w14:paraId="0C3075E5" w14:textId="77777777">
            <w:pPr>
              <w:jc w:val="center"/>
              <w:rPr>
                <w:rFonts w:ascii="Times New Roman" w:hAnsi="Times New Roman"/>
              </w:rPr>
            </w:pPr>
            <w:r w:rsidRPr="0057322E">
              <w:rPr>
                <w:rFonts w:ascii="Times New Roman" w:hAnsi="Times New Roman"/>
              </w:rPr>
              <w:t>6,110</w:t>
            </w:r>
          </w:p>
        </w:tc>
      </w:tr>
      <w:tr w14:paraId="32DC4213" w14:textId="77777777" w:rsidTr="0057322E">
        <w:tblPrEx>
          <w:tblW w:w="0" w:type="auto"/>
          <w:tblInd w:w="720" w:type="dxa"/>
          <w:tblLook w:val="04A0"/>
        </w:tblPrEx>
        <w:tc>
          <w:tcPr>
            <w:tcW w:w="2515" w:type="dxa"/>
          </w:tcPr>
          <w:p w:rsidR="00D05DB9" w:rsidRPr="0057322E" w:rsidP="008713A9" w14:paraId="18CFB357" w14:textId="77777777">
            <w:pPr>
              <w:jc w:val="center"/>
              <w:rPr>
                <w:rFonts w:ascii="Times New Roman" w:hAnsi="Times New Roman"/>
                <w:b/>
              </w:rPr>
            </w:pPr>
            <w:r w:rsidRPr="0057322E">
              <w:rPr>
                <w:rFonts w:ascii="Times New Roman" w:hAnsi="Times New Roman"/>
                <w:b/>
              </w:rPr>
              <w:t>Total</w:t>
            </w:r>
          </w:p>
        </w:tc>
        <w:tc>
          <w:tcPr>
            <w:tcW w:w="2150" w:type="dxa"/>
          </w:tcPr>
          <w:p w:rsidR="00D05DB9" w:rsidRPr="0057322E" w:rsidP="008713A9" w14:paraId="731FD995" w14:textId="77777777">
            <w:pPr>
              <w:jc w:val="center"/>
              <w:rPr>
                <w:rFonts w:ascii="Times New Roman" w:hAnsi="Times New Roman"/>
              </w:rPr>
            </w:pPr>
            <w:r w:rsidRPr="0057322E">
              <w:rPr>
                <w:rFonts w:ascii="Times New Roman" w:hAnsi="Times New Roman"/>
              </w:rPr>
              <w:t>1,353</w:t>
            </w:r>
          </w:p>
        </w:tc>
        <w:tc>
          <w:tcPr>
            <w:tcW w:w="2452" w:type="dxa"/>
          </w:tcPr>
          <w:p w:rsidR="00D05DB9" w:rsidRPr="0057322E" w:rsidP="008713A9" w14:paraId="27EB2630" w14:textId="77777777">
            <w:pPr>
              <w:jc w:val="center"/>
              <w:rPr>
                <w:rFonts w:ascii="Times New Roman" w:hAnsi="Times New Roman"/>
              </w:rPr>
            </w:pPr>
          </w:p>
        </w:tc>
        <w:tc>
          <w:tcPr>
            <w:tcW w:w="1513" w:type="dxa"/>
          </w:tcPr>
          <w:p w:rsidR="00D05DB9" w:rsidRPr="0057322E" w:rsidP="008713A9" w14:paraId="0324B910" w14:textId="77777777">
            <w:pPr>
              <w:jc w:val="center"/>
              <w:rPr>
                <w:rFonts w:ascii="Times New Roman" w:hAnsi="Times New Roman"/>
              </w:rPr>
            </w:pPr>
            <w:r w:rsidRPr="0057322E">
              <w:rPr>
                <w:rFonts w:ascii="Times New Roman" w:hAnsi="Times New Roman"/>
              </w:rPr>
              <w:t>6,738</w:t>
            </w:r>
          </w:p>
        </w:tc>
      </w:tr>
    </w:tbl>
    <w:p w:rsidR="00A577E8" w:rsidRPr="00D05DB9" w14:paraId="46DFB3A3" w14:textId="77777777">
      <w:pPr>
        <w:ind w:left="720"/>
        <w:rPr>
          <w:rFonts w:ascii="Times New Roman" w:hAnsi="Times New Roman"/>
        </w:rPr>
      </w:pPr>
    </w:p>
    <w:p w:rsidR="00A577E8" w:rsidRPr="00D05DB9" w14:paraId="0EFB51CE" w14:textId="77777777">
      <w:pPr>
        <w:pStyle w:val="Level1"/>
        <w:tabs>
          <w:tab w:val="left" w:pos="-1440"/>
          <w:tab w:val="num" w:pos="720"/>
        </w:tabs>
        <w:rPr>
          <w:rFonts w:ascii="Times New Roman" w:hAnsi="Times New Roman"/>
        </w:rPr>
      </w:pPr>
      <w:r w:rsidRPr="00D05DB9">
        <w:rPr>
          <w:rFonts w:ascii="Times New Roman" w:hAnsi="Times New Roman"/>
          <w:u w:val="single"/>
        </w:rPr>
        <w:t>ESTIMATED TOTAL ANNUAL COST BURDEN TO RESPONDENTS</w:t>
      </w:r>
    </w:p>
    <w:p w:rsidR="00A577E8" w:rsidRPr="00D05DB9" w14:paraId="5A7DFA4A" w14:textId="77777777">
      <w:pPr>
        <w:rPr>
          <w:rFonts w:ascii="Times New Roman" w:hAnsi="Times New Roman"/>
        </w:rPr>
      </w:pPr>
    </w:p>
    <w:p w:rsidR="00A577E8" w:rsidRPr="00D05DB9" w:rsidP="00D8342F" w14:paraId="5C10BA93" w14:textId="77777777">
      <w:pPr>
        <w:ind w:left="720"/>
        <w:rPr>
          <w:rFonts w:ascii="Times New Roman" w:hAnsi="Times New Roman"/>
        </w:rPr>
      </w:pPr>
      <w:r w:rsidRPr="00D8342F">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05DB9">
        <w:rPr>
          <w:rFonts w:ascii="Times New Roman" w:hAnsi="Times New Roman"/>
        </w:rPr>
        <w:t>.</w:t>
      </w:r>
      <w:r w:rsidR="00DC435A">
        <w:rPr>
          <w:rFonts w:ascii="Times New Roman" w:hAnsi="Times New Roman"/>
        </w:rPr>
        <w:t xml:space="preserve"> </w:t>
      </w:r>
    </w:p>
    <w:p w:rsidR="00A577E8" w:rsidRPr="00D05DB9" w14:paraId="08D2914B" w14:textId="77777777">
      <w:pPr>
        <w:rPr>
          <w:rFonts w:ascii="Times New Roman" w:hAnsi="Times New Roman"/>
        </w:rPr>
      </w:pPr>
    </w:p>
    <w:p w:rsidR="00A577E8" w:rsidRPr="00D05DB9" w14:paraId="111C8F57" w14:textId="77777777">
      <w:pPr>
        <w:pStyle w:val="Level1"/>
        <w:tabs>
          <w:tab w:val="left" w:pos="-1440"/>
          <w:tab w:val="num" w:pos="720"/>
        </w:tabs>
        <w:rPr>
          <w:rFonts w:ascii="Times New Roman" w:hAnsi="Times New Roman"/>
        </w:rPr>
      </w:pPr>
      <w:r w:rsidRPr="00D05DB9">
        <w:rPr>
          <w:rFonts w:ascii="Times New Roman" w:hAnsi="Times New Roman"/>
          <w:u w:val="single"/>
        </w:rPr>
        <w:t>ESTIMATED ANNUALIZED COST TO THE FEDERAL GOVERNMENT</w:t>
      </w:r>
    </w:p>
    <w:p w:rsidR="00A577E8" w:rsidRPr="00D05DB9" w14:paraId="0FB3ACB6" w14:textId="77777777">
      <w:pPr>
        <w:rPr>
          <w:rFonts w:ascii="Times New Roman" w:hAnsi="Times New Roman"/>
        </w:rPr>
      </w:pPr>
    </w:p>
    <w:p w:rsidR="00D8342F" w:rsidP="00D8342F" w14:paraId="7AF58D1E" w14:textId="77777777">
      <w:pPr>
        <w:ind w:left="720"/>
        <w:rPr>
          <w:rFonts w:ascii="Times New Roman" w:hAnsi="Times New Roman"/>
        </w:rPr>
      </w:pPr>
      <w:bookmarkStart w:id="0" w:name="_Hlk523834409"/>
      <w:r>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D8342F" w:rsidP="00D8342F" w14:paraId="3933B148" w14:textId="77777777">
      <w:pPr>
        <w:ind w:left="720"/>
        <w:rPr>
          <w:rFonts w:ascii="Times New Roman" w:hAnsi="Times New Roman"/>
        </w:rPr>
      </w:pPr>
    </w:p>
    <w:p w:rsidR="00D8342F" w:rsidP="00D8342F" w14:paraId="0F24FAE4" w14:textId="77777777">
      <w:pPr>
        <w:ind w:left="720"/>
        <w:rPr>
          <w:rFonts w:ascii="Times New Roman" w:hAnsi="Times New Roman"/>
        </w:rPr>
      </w:pPr>
      <w:r>
        <w:rPr>
          <w:rFonts w:ascii="Times New Roman" w:hAnsi="Times New Roman"/>
        </w:rPr>
        <w:t xml:space="preserve">The government computes </w:t>
      </w:r>
      <w:r>
        <w:rPr>
          <w:rFonts w:ascii="Times New Roman" w:hAnsi="Times New Roman"/>
        </w:rPr>
        <w:t>cost</w:t>
      </w:r>
      <w:r>
        <w:rPr>
          <w:rFonts w:ascii="Times New Roman" w:hAnsi="Times New Roman"/>
        </w:rPr>
        <w:t xml:space="preserve">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D8342F" w:rsidP="00D8342F" w14:paraId="18B9A73E" w14:textId="77777777">
      <w:pPr>
        <w:ind w:left="720"/>
        <w:rPr>
          <w:rFonts w:ascii="Times New Roman" w:hAnsi="Times New Roman"/>
        </w:rPr>
      </w:pPr>
    </w:p>
    <w:p w:rsidR="00D8342F" w:rsidP="00D8342F" w14:paraId="2551A1A8" w14:textId="77777777">
      <w:pPr>
        <w:ind w:left="720"/>
        <w:rPr>
          <w:rFonts w:ascii="Times New Roman" w:hAnsi="Times New Roman"/>
        </w:rPr>
      </w:pPr>
      <w:r>
        <w:rPr>
          <w:rFonts w:ascii="Times New Roman" w:hAnsi="Times New Roman"/>
        </w:rPr>
        <w:t>The government cost estimate for this collection is summarized in the table below.</w:t>
      </w:r>
    </w:p>
    <w:p w:rsidR="00D8342F" w:rsidP="00D8342F" w14:paraId="47B38358" w14:textId="77777777">
      <w:pPr>
        <w:ind w:left="720"/>
        <w:rPr>
          <w:rFonts w:ascii="Times New Roman" w:hAnsi="Times New Roman"/>
        </w:rPr>
      </w:pPr>
    </w:p>
    <w:tbl>
      <w:tblPr>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938"/>
        <w:gridCol w:w="303"/>
        <w:gridCol w:w="1761"/>
        <w:gridCol w:w="367"/>
        <w:gridCol w:w="1802"/>
      </w:tblGrid>
      <w:tr w14:paraId="3A6E153D" w14:textId="77777777" w:rsidTr="00BD05B4">
        <w:tblPrEx>
          <w:tblW w:w="8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32" w:type="dxa"/>
            <w:tcBorders>
              <w:top w:val="single" w:sz="4" w:space="0" w:color="auto"/>
              <w:left w:val="single" w:sz="4" w:space="0" w:color="auto"/>
              <w:bottom w:val="single" w:sz="4" w:space="0" w:color="auto"/>
              <w:right w:val="single" w:sz="4" w:space="0" w:color="auto"/>
            </w:tcBorders>
            <w:vAlign w:val="bottom"/>
            <w:hideMark/>
          </w:tcPr>
          <w:p w:rsidR="00D8342F" w:rsidP="007D1C03" w14:paraId="4CC2B497" w14:textId="77777777">
            <w:pPr>
              <w:rPr>
                <w:rFonts w:ascii="Arial Narrow" w:hAnsi="Arial Narrow"/>
                <w:b/>
                <w:sz w:val="18"/>
                <w:szCs w:val="18"/>
                <w:u w:val="single"/>
              </w:rPr>
            </w:pPr>
            <w:r>
              <w:rPr>
                <w:rFonts w:ascii="Arial Narrow" w:hAnsi="Arial Narrow"/>
                <w:b/>
                <w:sz w:val="18"/>
                <w:szCs w:val="18"/>
                <w:u w:val="single"/>
              </w:rPr>
              <w:t>Product</w:t>
            </w:r>
          </w:p>
        </w:tc>
        <w:tc>
          <w:tcPr>
            <w:tcW w:w="1941" w:type="dxa"/>
            <w:tcBorders>
              <w:top w:val="single" w:sz="4" w:space="0" w:color="auto"/>
              <w:left w:val="single" w:sz="4" w:space="0" w:color="auto"/>
              <w:bottom w:val="single" w:sz="4" w:space="0" w:color="auto"/>
              <w:right w:val="single" w:sz="4" w:space="0" w:color="auto"/>
            </w:tcBorders>
            <w:vAlign w:val="center"/>
            <w:hideMark/>
          </w:tcPr>
          <w:p w:rsidR="00D8342F" w:rsidP="00BD05B4" w14:paraId="6496D4BA" w14:textId="77777777">
            <w:pPr>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293" w:type="dxa"/>
            <w:tcBorders>
              <w:top w:val="single" w:sz="4" w:space="0" w:color="auto"/>
              <w:left w:val="single" w:sz="4" w:space="0" w:color="auto"/>
              <w:bottom w:val="single" w:sz="4" w:space="0" w:color="auto"/>
              <w:right w:val="single" w:sz="4" w:space="0" w:color="auto"/>
            </w:tcBorders>
            <w:vAlign w:val="center"/>
          </w:tcPr>
          <w:p w:rsidR="00D8342F" w:rsidP="00BD05B4" w14:paraId="096BD58A" w14:textId="77777777">
            <w:pPr>
              <w:ind w:left="720"/>
              <w:jc w:val="center"/>
              <w:rPr>
                <w:rFonts w:ascii="Arial Narrow" w:hAnsi="Arial Narrow"/>
                <w:b/>
                <w:sz w:val="18"/>
                <w:szCs w:val="18"/>
                <w:u w:val="single"/>
              </w:rPr>
            </w:pPr>
          </w:p>
        </w:tc>
        <w:tc>
          <w:tcPr>
            <w:tcW w:w="1763" w:type="dxa"/>
            <w:tcBorders>
              <w:top w:val="single" w:sz="4" w:space="0" w:color="auto"/>
              <w:left w:val="single" w:sz="4" w:space="0" w:color="auto"/>
              <w:bottom w:val="single" w:sz="4" w:space="0" w:color="auto"/>
              <w:right w:val="single" w:sz="4" w:space="0" w:color="auto"/>
            </w:tcBorders>
            <w:vAlign w:val="center"/>
            <w:hideMark/>
          </w:tcPr>
          <w:p w:rsidR="00D8342F" w:rsidP="00BD05B4" w14:paraId="08EBCD2D" w14:textId="77777777">
            <w:pPr>
              <w:ind w:left="-6"/>
              <w:jc w:val="center"/>
              <w:rPr>
                <w:rFonts w:ascii="Arial Narrow" w:hAnsi="Arial Narrow"/>
                <w:b/>
                <w:sz w:val="18"/>
                <w:szCs w:val="18"/>
                <w:u w:val="single"/>
              </w:rPr>
            </w:pPr>
            <w:r>
              <w:rPr>
                <w:rFonts w:ascii="Arial Narrow" w:hAnsi="Arial Narrow"/>
                <w:b/>
                <w:sz w:val="18"/>
                <w:szCs w:val="18"/>
                <w:u w:val="single"/>
              </w:rPr>
              <w:t>Printing and Distribution</w:t>
            </w:r>
          </w:p>
        </w:tc>
        <w:tc>
          <w:tcPr>
            <w:tcW w:w="367" w:type="dxa"/>
            <w:tcBorders>
              <w:top w:val="single" w:sz="4" w:space="0" w:color="auto"/>
              <w:left w:val="single" w:sz="4" w:space="0" w:color="auto"/>
              <w:bottom w:val="single" w:sz="4" w:space="0" w:color="auto"/>
              <w:right w:val="single" w:sz="4" w:space="0" w:color="auto"/>
            </w:tcBorders>
            <w:vAlign w:val="center"/>
          </w:tcPr>
          <w:p w:rsidR="00D8342F" w:rsidP="00BD05B4" w14:paraId="592AFA1C" w14:textId="77777777">
            <w:pPr>
              <w:ind w:left="720"/>
              <w:jc w:val="center"/>
              <w:rPr>
                <w:rFonts w:ascii="Arial Narrow" w:hAnsi="Arial Narrow"/>
                <w:b/>
                <w:sz w:val="18"/>
                <w:szCs w:val="18"/>
                <w:u w:val="single"/>
              </w:rPr>
            </w:pPr>
          </w:p>
        </w:tc>
        <w:tc>
          <w:tcPr>
            <w:tcW w:w="1804" w:type="dxa"/>
            <w:tcBorders>
              <w:top w:val="single" w:sz="4" w:space="0" w:color="auto"/>
              <w:left w:val="single" w:sz="4" w:space="0" w:color="auto"/>
              <w:bottom w:val="single" w:sz="4" w:space="0" w:color="auto"/>
              <w:right w:val="single" w:sz="4" w:space="0" w:color="auto"/>
            </w:tcBorders>
            <w:vAlign w:val="center"/>
            <w:hideMark/>
          </w:tcPr>
          <w:p w:rsidR="00D8342F" w:rsidP="00BD05B4" w14:paraId="60C9D7F1" w14:textId="77777777">
            <w:pPr>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76F836C2" w14:textId="77777777" w:rsidTr="00BD05B4">
        <w:tblPrEx>
          <w:tblW w:w="8000" w:type="dxa"/>
          <w:tblInd w:w="715" w:type="dxa"/>
          <w:tblLook w:val="04A0"/>
        </w:tblPrEx>
        <w:tc>
          <w:tcPr>
            <w:tcW w:w="1832" w:type="dxa"/>
            <w:tcBorders>
              <w:top w:val="single" w:sz="4" w:space="0" w:color="auto"/>
              <w:left w:val="single" w:sz="4" w:space="0" w:color="auto"/>
              <w:bottom w:val="single" w:sz="4" w:space="0" w:color="auto"/>
              <w:right w:val="single" w:sz="4" w:space="0" w:color="auto"/>
            </w:tcBorders>
            <w:vAlign w:val="bottom"/>
            <w:hideMark/>
          </w:tcPr>
          <w:p w:rsidR="00D8342F" w:rsidP="007D1C03" w14:paraId="2C319316" w14:textId="77777777">
            <w:pPr>
              <w:rPr>
                <w:rFonts w:ascii="Arial Narrow" w:hAnsi="Arial Narrow"/>
                <w:sz w:val="18"/>
                <w:szCs w:val="18"/>
              </w:rPr>
            </w:pPr>
            <w:r>
              <w:rPr>
                <w:rFonts w:ascii="Arial Narrow" w:hAnsi="Arial Narrow"/>
                <w:sz w:val="18"/>
                <w:szCs w:val="18"/>
              </w:rPr>
              <w:t>8610</w:t>
            </w:r>
          </w:p>
        </w:tc>
        <w:tc>
          <w:tcPr>
            <w:tcW w:w="1941" w:type="dxa"/>
            <w:tcBorders>
              <w:top w:val="single" w:sz="4" w:space="0" w:color="auto"/>
              <w:left w:val="single" w:sz="4" w:space="0" w:color="auto"/>
              <w:bottom w:val="single" w:sz="4" w:space="0" w:color="auto"/>
              <w:right w:val="single" w:sz="4" w:space="0" w:color="auto"/>
            </w:tcBorders>
            <w:vAlign w:val="center"/>
            <w:hideMark/>
          </w:tcPr>
          <w:p w:rsidR="00D8342F" w:rsidP="00D606B7" w14:paraId="04E4893D" w14:textId="7C22EB7E">
            <w:pPr>
              <w:jc w:val="center"/>
              <w:rPr>
                <w:rFonts w:ascii="Arial Narrow" w:hAnsi="Arial Narrow"/>
                <w:sz w:val="18"/>
                <w:szCs w:val="18"/>
              </w:rPr>
            </w:pPr>
            <w:r>
              <w:rPr>
                <w:rFonts w:ascii="Arial Narrow" w:hAnsi="Arial Narrow"/>
                <w:sz w:val="18"/>
                <w:szCs w:val="18"/>
              </w:rPr>
              <w:t xml:space="preserve">$      </w:t>
            </w:r>
            <w:r w:rsidR="008121A7">
              <w:rPr>
                <w:rFonts w:ascii="Arial Narrow" w:hAnsi="Arial Narrow"/>
                <w:sz w:val="18"/>
                <w:szCs w:val="18"/>
              </w:rPr>
              <w:t>70,</w:t>
            </w:r>
            <w:r w:rsidR="006903B2">
              <w:rPr>
                <w:rFonts w:ascii="Arial Narrow" w:hAnsi="Arial Narrow"/>
                <w:sz w:val="18"/>
                <w:szCs w:val="18"/>
              </w:rPr>
              <w:t>045</w:t>
            </w:r>
          </w:p>
        </w:tc>
        <w:tc>
          <w:tcPr>
            <w:tcW w:w="293" w:type="dxa"/>
            <w:tcBorders>
              <w:top w:val="single" w:sz="4" w:space="0" w:color="auto"/>
              <w:left w:val="single" w:sz="4" w:space="0" w:color="auto"/>
              <w:bottom w:val="single" w:sz="4" w:space="0" w:color="auto"/>
              <w:right w:val="single" w:sz="4" w:space="0" w:color="auto"/>
            </w:tcBorders>
            <w:vAlign w:val="center"/>
          </w:tcPr>
          <w:p w:rsidR="00D8342F" w:rsidP="00BD05B4" w14:paraId="4E719F42" w14:textId="6A6F606C">
            <w:pPr>
              <w:tabs>
                <w:tab w:val="left" w:pos="766"/>
              </w:tabs>
              <w:jc w:val="center"/>
              <w:rPr>
                <w:rFonts w:ascii="Arial Narrow" w:hAnsi="Arial Narrow"/>
                <w:sz w:val="18"/>
                <w:szCs w:val="18"/>
              </w:rPr>
            </w:pPr>
            <w:r>
              <w:rPr>
                <w:rFonts w:ascii="Arial Narrow" w:hAnsi="Arial Narrow"/>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hideMark/>
          </w:tcPr>
          <w:p w:rsidR="00D8342F" w:rsidP="00D606B7" w14:paraId="77F7865B" w14:textId="77777777">
            <w:pPr>
              <w:ind w:left="-6"/>
              <w:jc w:val="center"/>
              <w:rPr>
                <w:rFonts w:ascii="Arial Narrow" w:hAnsi="Arial Narrow"/>
                <w:sz w:val="18"/>
                <w:szCs w:val="18"/>
              </w:rPr>
            </w:pPr>
            <w:r>
              <w:rPr>
                <w:rFonts w:ascii="Arial Narrow" w:hAnsi="Arial Narrow"/>
                <w:sz w:val="18"/>
                <w:szCs w:val="18"/>
              </w:rPr>
              <w:t>$ 0</w:t>
            </w:r>
          </w:p>
        </w:tc>
        <w:tc>
          <w:tcPr>
            <w:tcW w:w="367" w:type="dxa"/>
            <w:tcBorders>
              <w:top w:val="single" w:sz="4" w:space="0" w:color="auto"/>
              <w:left w:val="single" w:sz="4" w:space="0" w:color="auto"/>
              <w:bottom w:val="single" w:sz="4" w:space="0" w:color="auto"/>
              <w:right w:val="single" w:sz="4" w:space="0" w:color="auto"/>
            </w:tcBorders>
            <w:vAlign w:val="center"/>
          </w:tcPr>
          <w:p w:rsidR="00D8342F" w:rsidP="00BD05B4" w14:paraId="6DEA5A06" w14:textId="3AA4460E">
            <w:pPr>
              <w:tabs>
                <w:tab w:val="left" w:pos="766"/>
              </w:tabs>
              <w:jc w:val="center"/>
              <w:rPr>
                <w:rFonts w:ascii="Arial Narrow" w:hAnsi="Arial Narrow"/>
                <w:sz w:val="18"/>
                <w:szCs w:val="18"/>
              </w:rPr>
            </w:pPr>
            <w:r>
              <w:rPr>
                <w:rFonts w:ascii="Arial Narrow" w:hAnsi="Arial Narrow"/>
                <w:sz w:val="18"/>
                <w:szCs w:val="18"/>
              </w:rPr>
              <w:t>=</w:t>
            </w:r>
          </w:p>
        </w:tc>
        <w:tc>
          <w:tcPr>
            <w:tcW w:w="1804" w:type="dxa"/>
            <w:tcBorders>
              <w:top w:val="single" w:sz="4" w:space="0" w:color="auto"/>
              <w:left w:val="single" w:sz="4" w:space="0" w:color="auto"/>
              <w:bottom w:val="single" w:sz="4" w:space="0" w:color="auto"/>
              <w:right w:val="single" w:sz="4" w:space="0" w:color="auto"/>
            </w:tcBorders>
            <w:vAlign w:val="center"/>
            <w:hideMark/>
          </w:tcPr>
          <w:p w:rsidR="00D8342F" w:rsidP="00BD05B4" w14:paraId="528C99E1" w14:textId="55ACA075">
            <w:pPr>
              <w:jc w:val="center"/>
              <w:rPr>
                <w:rFonts w:ascii="Arial Narrow" w:hAnsi="Arial Narrow"/>
                <w:sz w:val="18"/>
                <w:szCs w:val="18"/>
              </w:rPr>
            </w:pPr>
            <w:r>
              <w:rPr>
                <w:rFonts w:ascii="Arial Narrow" w:hAnsi="Arial Narrow"/>
                <w:sz w:val="18"/>
                <w:szCs w:val="18"/>
              </w:rPr>
              <w:t xml:space="preserve">$       </w:t>
            </w:r>
            <w:r w:rsidR="008121A7">
              <w:rPr>
                <w:rFonts w:ascii="Arial Narrow" w:hAnsi="Arial Narrow"/>
                <w:sz w:val="18"/>
                <w:szCs w:val="18"/>
              </w:rPr>
              <w:t>70,</w:t>
            </w:r>
            <w:r w:rsidR="006903B2">
              <w:rPr>
                <w:rFonts w:ascii="Arial Narrow" w:hAnsi="Arial Narrow"/>
                <w:sz w:val="18"/>
                <w:szCs w:val="18"/>
              </w:rPr>
              <w:t>045</w:t>
            </w:r>
          </w:p>
        </w:tc>
      </w:tr>
      <w:tr w14:paraId="143970C1" w14:textId="77777777" w:rsidTr="00BD05B4">
        <w:tblPrEx>
          <w:tblW w:w="8000" w:type="dxa"/>
          <w:tblInd w:w="715" w:type="dxa"/>
          <w:tblLook w:val="04A0"/>
        </w:tblPrEx>
        <w:tc>
          <w:tcPr>
            <w:tcW w:w="1832" w:type="dxa"/>
            <w:tcBorders>
              <w:top w:val="single" w:sz="4" w:space="0" w:color="auto"/>
              <w:left w:val="single" w:sz="4" w:space="0" w:color="auto"/>
              <w:bottom w:val="single" w:sz="4" w:space="0" w:color="auto"/>
              <w:right w:val="single" w:sz="4" w:space="0" w:color="auto"/>
            </w:tcBorders>
            <w:vAlign w:val="bottom"/>
          </w:tcPr>
          <w:p w:rsidR="00C53007" w:rsidP="00C53007" w14:paraId="2B59B181" w14:textId="77777777">
            <w:pPr>
              <w:rPr>
                <w:rFonts w:ascii="Arial Narrow" w:hAnsi="Arial Narrow"/>
                <w:sz w:val="18"/>
                <w:szCs w:val="18"/>
              </w:rPr>
            </w:pPr>
            <w:r>
              <w:rPr>
                <w:rFonts w:ascii="Arial Narrow" w:hAnsi="Arial Narrow"/>
                <w:sz w:val="18"/>
                <w:szCs w:val="18"/>
              </w:rPr>
              <w:t>Sch A (F 8610)</w:t>
            </w:r>
          </w:p>
        </w:tc>
        <w:tc>
          <w:tcPr>
            <w:tcW w:w="1941" w:type="dxa"/>
            <w:tcBorders>
              <w:top w:val="single" w:sz="4" w:space="0" w:color="auto"/>
              <w:left w:val="single" w:sz="4" w:space="0" w:color="auto"/>
              <w:bottom w:val="single" w:sz="4" w:space="0" w:color="auto"/>
              <w:right w:val="single" w:sz="4" w:space="0" w:color="auto"/>
            </w:tcBorders>
            <w:vAlign w:val="center"/>
          </w:tcPr>
          <w:p w:rsidR="00C53007" w:rsidP="00D606B7" w14:paraId="2AFB739D" w14:textId="76BEFBF6">
            <w:pPr>
              <w:jc w:val="center"/>
              <w:rPr>
                <w:rFonts w:ascii="Arial Narrow" w:hAnsi="Arial Narrow"/>
                <w:sz w:val="18"/>
                <w:szCs w:val="18"/>
              </w:rPr>
            </w:pPr>
            <w:r>
              <w:rPr>
                <w:rFonts w:ascii="Arial Narrow" w:hAnsi="Arial Narrow"/>
                <w:sz w:val="18"/>
                <w:szCs w:val="18"/>
              </w:rPr>
              <w:t xml:space="preserve">$      </w:t>
            </w:r>
            <w:r w:rsidR="008121A7">
              <w:rPr>
                <w:rFonts w:ascii="Arial Narrow" w:hAnsi="Arial Narrow"/>
                <w:sz w:val="18"/>
                <w:szCs w:val="18"/>
              </w:rPr>
              <w:t>20,</w:t>
            </w:r>
            <w:r w:rsidR="006903B2">
              <w:rPr>
                <w:rFonts w:ascii="Arial Narrow" w:hAnsi="Arial Narrow"/>
                <w:sz w:val="18"/>
                <w:szCs w:val="18"/>
              </w:rPr>
              <w:t>013</w:t>
            </w:r>
          </w:p>
        </w:tc>
        <w:tc>
          <w:tcPr>
            <w:tcW w:w="293" w:type="dxa"/>
            <w:tcBorders>
              <w:top w:val="single" w:sz="4" w:space="0" w:color="auto"/>
              <w:left w:val="single" w:sz="4" w:space="0" w:color="auto"/>
              <w:bottom w:val="single" w:sz="4" w:space="0" w:color="auto"/>
              <w:right w:val="single" w:sz="4" w:space="0" w:color="auto"/>
            </w:tcBorders>
            <w:vAlign w:val="center"/>
          </w:tcPr>
          <w:p w:rsidR="00C53007" w:rsidP="00BD05B4" w14:paraId="0B8F0808" w14:textId="4BD2A69B">
            <w:pPr>
              <w:tabs>
                <w:tab w:val="left" w:pos="766"/>
              </w:tabs>
              <w:jc w:val="center"/>
              <w:rPr>
                <w:rFonts w:ascii="Arial Narrow" w:hAnsi="Arial Narrow"/>
                <w:sz w:val="18"/>
                <w:szCs w:val="18"/>
              </w:rPr>
            </w:pPr>
            <w:r>
              <w:rPr>
                <w:rFonts w:ascii="Arial Narrow" w:hAnsi="Arial Narrow"/>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tcPr>
          <w:p w:rsidR="00C53007" w:rsidP="00D606B7" w14:paraId="0933E504" w14:textId="77777777">
            <w:pPr>
              <w:ind w:left="-6"/>
              <w:jc w:val="center"/>
              <w:rPr>
                <w:rFonts w:ascii="Arial Narrow" w:hAnsi="Arial Narrow"/>
                <w:sz w:val="18"/>
                <w:szCs w:val="18"/>
              </w:rPr>
            </w:pPr>
            <w:r>
              <w:rPr>
                <w:rFonts w:ascii="Arial Narrow" w:hAnsi="Arial Narrow"/>
                <w:sz w:val="18"/>
                <w:szCs w:val="18"/>
              </w:rPr>
              <w:t>$ 0</w:t>
            </w:r>
          </w:p>
        </w:tc>
        <w:tc>
          <w:tcPr>
            <w:tcW w:w="367" w:type="dxa"/>
            <w:tcBorders>
              <w:top w:val="single" w:sz="4" w:space="0" w:color="auto"/>
              <w:left w:val="single" w:sz="4" w:space="0" w:color="auto"/>
              <w:bottom w:val="single" w:sz="4" w:space="0" w:color="auto"/>
              <w:right w:val="single" w:sz="4" w:space="0" w:color="auto"/>
            </w:tcBorders>
            <w:vAlign w:val="center"/>
          </w:tcPr>
          <w:p w:rsidR="00C53007" w:rsidP="00BD05B4" w14:paraId="26E57038" w14:textId="30524DD1">
            <w:pPr>
              <w:tabs>
                <w:tab w:val="left" w:pos="766"/>
              </w:tabs>
              <w:jc w:val="center"/>
              <w:rPr>
                <w:rFonts w:ascii="Arial Narrow" w:hAnsi="Arial Narrow"/>
                <w:sz w:val="18"/>
                <w:szCs w:val="18"/>
              </w:rPr>
            </w:pPr>
            <w:r>
              <w:rPr>
                <w:rFonts w:ascii="Arial Narrow" w:hAnsi="Arial Narrow"/>
                <w:sz w:val="18"/>
                <w:szCs w:val="18"/>
              </w:rPr>
              <w:t>=</w:t>
            </w:r>
          </w:p>
        </w:tc>
        <w:tc>
          <w:tcPr>
            <w:tcW w:w="1804" w:type="dxa"/>
            <w:tcBorders>
              <w:top w:val="single" w:sz="4" w:space="0" w:color="auto"/>
              <w:left w:val="single" w:sz="4" w:space="0" w:color="auto"/>
              <w:bottom w:val="single" w:sz="4" w:space="0" w:color="auto"/>
              <w:right w:val="single" w:sz="4" w:space="0" w:color="auto"/>
            </w:tcBorders>
            <w:vAlign w:val="center"/>
          </w:tcPr>
          <w:p w:rsidR="00C53007" w:rsidP="00BD05B4" w14:paraId="4B0EDCCD" w14:textId="63309CD2">
            <w:pPr>
              <w:jc w:val="center"/>
              <w:rPr>
                <w:rFonts w:ascii="Arial Narrow" w:hAnsi="Arial Narrow"/>
                <w:sz w:val="18"/>
                <w:szCs w:val="18"/>
              </w:rPr>
            </w:pPr>
            <w:r>
              <w:rPr>
                <w:rFonts w:ascii="Arial Narrow" w:hAnsi="Arial Narrow"/>
                <w:sz w:val="18"/>
                <w:szCs w:val="18"/>
              </w:rPr>
              <w:t xml:space="preserve">$       </w:t>
            </w:r>
            <w:r w:rsidR="008121A7">
              <w:rPr>
                <w:rFonts w:ascii="Arial Narrow" w:hAnsi="Arial Narrow"/>
                <w:sz w:val="18"/>
                <w:szCs w:val="18"/>
              </w:rPr>
              <w:t>20,</w:t>
            </w:r>
            <w:r w:rsidR="006903B2">
              <w:rPr>
                <w:rFonts w:ascii="Arial Narrow" w:hAnsi="Arial Narrow"/>
                <w:sz w:val="18"/>
                <w:szCs w:val="18"/>
              </w:rPr>
              <w:t>013</w:t>
            </w:r>
          </w:p>
        </w:tc>
      </w:tr>
      <w:bookmarkEnd w:id="0"/>
      <w:tr w14:paraId="29D94717" w14:textId="77777777" w:rsidTr="00BD05B4">
        <w:tblPrEx>
          <w:tblW w:w="8000" w:type="dxa"/>
          <w:tblInd w:w="715" w:type="dxa"/>
          <w:tblLook w:val="04A0"/>
        </w:tblPrEx>
        <w:tc>
          <w:tcPr>
            <w:tcW w:w="1832" w:type="dxa"/>
            <w:tcBorders>
              <w:top w:val="single" w:sz="4" w:space="0" w:color="auto"/>
              <w:left w:val="single" w:sz="4" w:space="0" w:color="auto"/>
              <w:bottom w:val="single" w:sz="4" w:space="0" w:color="auto"/>
              <w:right w:val="single" w:sz="4" w:space="0" w:color="auto"/>
            </w:tcBorders>
            <w:hideMark/>
          </w:tcPr>
          <w:p w:rsidR="00D606B7" w:rsidP="00D606B7" w14:paraId="7AA74C24" w14:textId="77777777">
            <w:pPr>
              <w:rPr>
                <w:rFonts w:ascii="Arial Narrow" w:hAnsi="Arial Narrow"/>
                <w:b/>
                <w:sz w:val="18"/>
                <w:szCs w:val="18"/>
              </w:rPr>
            </w:pPr>
            <w:r>
              <w:rPr>
                <w:rFonts w:ascii="Arial Narrow" w:hAnsi="Arial Narrow"/>
                <w:b/>
                <w:sz w:val="18"/>
                <w:szCs w:val="18"/>
              </w:rPr>
              <w:t>Grand Total</w:t>
            </w:r>
          </w:p>
        </w:tc>
        <w:tc>
          <w:tcPr>
            <w:tcW w:w="1941" w:type="dxa"/>
            <w:tcBorders>
              <w:top w:val="single" w:sz="4" w:space="0" w:color="auto"/>
              <w:left w:val="single" w:sz="4" w:space="0" w:color="auto"/>
              <w:bottom w:val="single" w:sz="4" w:space="0" w:color="auto"/>
              <w:right w:val="single" w:sz="4" w:space="0" w:color="auto"/>
            </w:tcBorders>
            <w:vAlign w:val="center"/>
            <w:hideMark/>
          </w:tcPr>
          <w:p w:rsidR="00D606B7" w:rsidRPr="00C53007" w:rsidP="00D606B7" w14:paraId="7F20EB79" w14:textId="3045A875">
            <w:pPr>
              <w:ind w:left="-24"/>
              <w:jc w:val="center"/>
              <w:rPr>
                <w:rFonts w:ascii="Arial Narrow" w:hAnsi="Arial Narrow"/>
                <w:b/>
                <w:sz w:val="18"/>
                <w:szCs w:val="18"/>
              </w:rPr>
            </w:pPr>
            <w:r w:rsidRPr="00C53007">
              <w:rPr>
                <w:rFonts w:ascii="Arial Narrow" w:hAnsi="Arial Narrow"/>
              </w:rPr>
              <w:fldChar w:fldCharType="begin"/>
            </w:r>
            <w:r w:rsidRPr="00C53007">
              <w:rPr>
                <w:rFonts w:ascii="Arial Narrow" w:hAnsi="Arial Narrow"/>
                <w:b/>
                <w:sz w:val="18"/>
                <w:szCs w:val="18"/>
              </w:rPr>
              <w:instrText xml:space="preserve"> =SUM(ABOVE) </w:instrText>
            </w:r>
            <w:r w:rsidRPr="00C53007">
              <w:rPr>
                <w:rFonts w:ascii="Arial Narrow" w:hAnsi="Arial Narrow"/>
              </w:rPr>
              <w:fldChar w:fldCharType="separate"/>
            </w:r>
            <w:r w:rsidRPr="00C53007">
              <w:rPr>
                <w:rFonts w:ascii="Arial Narrow" w:hAnsi="Arial Narrow"/>
                <w:b/>
                <w:noProof/>
                <w:sz w:val="18"/>
                <w:szCs w:val="18"/>
              </w:rPr>
              <w:t xml:space="preserve">$      </w:t>
            </w:r>
            <w:r w:rsidRPr="00C53007">
              <w:rPr>
                <w:rFonts w:ascii="Arial Narrow" w:hAnsi="Arial Narrow"/>
              </w:rPr>
              <w:fldChar w:fldCharType="end"/>
            </w:r>
            <w:r>
              <w:rPr>
                <w:rFonts w:ascii="Arial Narrow" w:hAnsi="Arial Narrow"/>
                <w:b/>
                <w:sz w:val="18"/>
                <w:szCs w:val="18"/>
              </w:rPr>
              <w:t>90,058</w:t>
            </w:r>
          </w:p>
        </w:tc>
        <w:tc>
          <w:tcPr>
            <w:tcW w:w="293" w:type="dxa"/>
            <w:tcBorders>
              <w:top w:val="single" w:sz="4" w:space="0" w:color="auto"/>
              <w:left w:val="single" w:sz="4" w:space="0" w:color="auto"/>
              <w:bottom w:val="single" w:sz="4" w:space="0" w:color="auto"/>
              <w:right w:val="single" w:sz="4" w:space="0" w:color="auto"/>
            </w:tcBorders>
            <w:vAlign w:val="center"/>
          </w:tcPr>
          <w:p w:rsidR="00D606B7" w:rsidP="00BD05B4" w14:paraId="2CF67E77" w14:textId="02055D68">
            <w:pPr>
              <w:tabs>
                <w:tab w:val="left" w:pos="766"/>
              </w:tabs>
              <w:jc w:val="center"/>
              <w:rPr>
                <w:rFonts w:ascii="Arial Narrow" w:hAnsi="Arial Narrow"/>
                <w:b/>
                <w:sz w:val="18"/>
                <w:szCs w:val="18"/>
              </w:rPr>
            </w:pPr>
            <w:r>
              <w:rPr>
                <w:rFonts w:ascii="Arial Narrow" w:hAnsi="Arial Narrow"/>
                <w:b/>
                <w:sz w:val="18"/>
                <w:szCs w:val="18"/>
              </w:rPr>
              <w:t>+</w:t>
            </w:r>
          </w:p>
        </w:tc>
        <w:tc>
          <w:tcPr>
            <w:tcW w:w="1763" w:type="dxa"/>
            <w:tcBorders>
              <w:top w:val="single" w:sz="4" w:space="0" w:color="auto"/>
              <w:left w:val="single" w:sz="4" w:space="0" w:color="auto"/>
              <w:bottom w:val="single" w:sz="4" w:space="0" w:color="auto"/>
              <w:right w:val="single" w:sz="4" w:space="0" w:color="auto"/>
            </w:tcBorders>
            <w:vAlign w:val="center"/>
          </w:tcPr>
          <w:p w:rsidR="00D606B7" w:rsidP="00BD05B4" w14:paraId="075E584D" w14:textId="13E493C5">
            <w:pPr>
              <w:ind w:left="-6"/>
              <w:jc w:val="center"/>
              <w:rPr>
                <w:rFonts w:ascii="Arial Narrow" w:hAnsi="Arial Narrow"/>
                <w:b/>
                <w:sz w:val="18"/>
                <w:szCs w:val="18"/>
              </w:rPr>
            </w:pPr>
            <w:r>
              <w:rPr>
                <w:rFonts w:ascii="Arial Narrow" w:hAnsi="Arial Narrow"/>
                <w:sz w:val="18"/>
                <w:szCs w:val="18"/>
              </w:rPr>
              <w:t>$ 0</w:t>
            </w:r>
          </w:p>
        </w:tc>
        <w:tc>
          <w:tcPr>
            <w:tcW w:w="367" w:type="dxa"/>
            <w:tcBorders>
              <w:top w:val="single" w:sz="4" w:space="0" w:color="auto"/>
              <w:left w:val="single" w:sz="4" w:space="0" w:color="auto"/>
              <w:bottom w:val="single" w:sz="4" w:space="0" w:color="auto"/>
              <w:right w:val="single" w:sz="4" w:space="0" w:color="auto"/>
            </w:tcBorders>
            <w:vAlign w:val="center"/>
          </w:tcPr>
          <w:p w:rsidR="00D606B7" w:rsidRPr="00D606B7" w:rsidP="00BD05B4" w14:paraId="496E36DF" w14:textId="2F37F1EE">
            <w:pPr>
              <w:tabs>
                <w:tab w:val="left" w:pos="766"/>
              </w:tabs>
              <w:jc w:val="center"/>
              <w:rPr>
                <w:rFonts w:ascii="Arial Narrow" w:hAnsi="Arial Narrow"/>
                <w:b/>
                <w:bCs/>
                <w:sz w:val="18"/>
                <w:szCs w:val="18"/>
              </w:rPr>
            </w:pPr>
            <w:r w:rsidRPr="00D606B7">
              <w:rPr>
                <w:rFonts w:ascii="Arial Narrow" w:hAnsi="Arial Narrow"/>
                <w:b/>
                <w:bCs/>
                <w:sz w:val="18"/>
                <w:szCs w:val="18"/>
              </w:rPr>
              <w:t>=</w:t>
            </w:r>
          </w:p>
        </w:tc>
        <w:tc>
          <w:tcPr>
            <w:tcW w:w="1804" w:type="dxa"/>
            <w:tcBorders>
              <w:top w:val="single" w:sz="4" w:space="0" w:color="auto"/>
              <w:left w:val="single" w:sz="4" w:space="0" w:color="auto"/>
              <w:bottom w:val="single" w:sz="4" w:space="0" w:color="auto"/>
              <w:right w:val="single" w:sz="4" w:space="0" w:color="auto"/>
            </w:tcBorders>
            <w:vAlign w:val="center"/>
            <w:hideMark/>
          </w:tcPr>
          <w:p w:rsidR="00D606B7" w:rsidRPr="00C53007" w:rsidP="00BD05B4" w14:paraId="243BEBFE" w14:textId="604A02E6">
            <w:pPr>
              <w:ind w:left="-24"/>
              <w:jc w:val="center"/>
              <w:rPr>
                <w:rFonts w:ascii="Arial Narrow" w:hAnsi="Arial Narrow"/>
                <w:b/>
                <w:sz w:val="18"/>
                <w:szCs w:val="18"/>
              </w:rPr>
            </w:pPr>
            <w:r w:rsidRPr="00C53007">
              <w:rPr>
                <w:rFonts w:ascii="Arial Narrow" w:hAnsi="Arial Narrow"/>
              </w:rPr>
              <w:fldChar w:fldCharType="begin"/>
            </w:r>
            <w:r w:rsidRPr="00C53007">
              <w:rPr>
                <w:rFonts w:ascii="Arial Narrow" w:hAnsi="Arial Narrow"/>
                <w:b/>
                <w:sz w:val="18"/>
                <w:szCs w:val="18"/>
              </w:rPr>
              <w:instrText xml:space="preserve"> =SUM(ABOVE) </w:instrText>
            </w:r>
            <w:r w:rsidRPr="00C53007">
              <w:rPr>
                <w:rFonts w:ascii="Arial Narrow" w:hAnsi="Arial Narrow"/>
              </w:rPr>
              <w:fldChar w:fldCharType="separate"/>
            </w:r>
            <w:r w:rsidRPr="00C53007">
              <w:rPr>
                <w:rFonts w:ascii="Arial Narrow" w:hAnsi="Arial Narrow"/>
                <w:b/>
                <w:noProof/>
                <w:sz w:val="18"/>
                <w:szCs w:val="18"/>
              </w:rPr>
              <w:t xml:space="preserve">$      </w:t>
            </w:r>
            <w:r w:rsidRPr="00C53007">
              <w:rPr>
                <w:rFonts w:ascii="Arial Narrow" w:hAnsi="Arial Narrow"/>
              </w:rPr>
              <w:fldChar w:fldCharType="end"/>
            </w:r>
            <w:r>
              <w:rPr>
                <w:rFonts w:ascii="Arial Narrow" w:hAnsi="Arial Narrow"/>
                <w:b/>
                <w:sz w:val="18"/>
                <w:szCs w:val="18"/>
              </w:rPr>
              <w:t>90,058</w:t>
            </w:r>
          </w:p>
        </w:tc>
      </w:tr>
      <w:tr w14:paraId="189F3299" w14:textId="77777777" w:rsidTr="0057322E">
        <w:tblPrEx>
          <w:tblW w:w="8000" w:type="dxa"/>
          <w:tblInd w:w="715" w:type="dxa"/>
          <w:tblLook w:val="04A0"/>
        </w:tblPrEx>
        <w:tc>
          <w:tcPr>
            <w:tcW w:w="8000" w:type="dxa"/>
            <w:gridSpan w:val="6"/>
            <w:tcBorders>
              <w:top w:val="single" w:sz="4" w:space="0" w:color="auto"/>
              <w:left w:val="single" w:sz="4" w:space="0" w:color="auto"/>
              <w:bottom w:val="single" w:sz="4" w:space="0" w:color="auto"/>
              <w:right w:val="single" w:sz="4" w:space="0" w:color="auto"/>
            </w:tcBorders>
            <w:hideMark/>
          </w:tcPr>
          <w:p w:rsidR="00D606B7" w:rsidP="00D606B7" w14:paraId="0F8912B4" w14:textId="29FB583B">
            <w:pPr>
              <w:rPr>
                <w:rFonts w:ascii="Arial Narrow" w:hAnsi="Arial Narrow"/>
                <w:sz w:val="18"/>
                <w:szCs w:val="18"/>
              </w:rPr>
            </w:pPr>
            <w:r>
              <w:rPr>
                <w:rFonts w:ascii="Arial Narrow" w:hAnsi="Arial Narrow"/>
                <w:sz w:val="18"/>
                <w:szCs w:val="18"/>
              </w:rPr>
              <w:t>Table costs are based on 2024 actuals obtained from IRS Chief Financial Officer and Media and Publications</w:t>
            </w:r>
          </w:p>
        </w:tc>
      </w:tr>
      <w:tr w14:paraId="6E4CF369" w14:textId="77777777" w:rsidTr="0057322E">
        <w:tblPrEx>
          <w:tblW w:w="8000" w:type="dxa"/>
          <w:tblInd w:w="715" w:type="dxa"/>
          <w:tblLook w:val="04A0"/>
        </w:tblPrEx>
        <w:tc>
          <w:tcPr>
            <w:tcW w:w="8000" w:type="dxa"/>
            <w:gridSpan w:val="6"/>
            <w:tcBorders>
              <w:top w:val="single" w:sz="4" w:space="0" w:color="auto"/>
              <w:left w:val="single" w:sz="4" w:space="0" w:color="auto"/>
              <w:bottom w:val="single" w:sz="4" w:space="0" w:color="auto"/>
              <w:right w:val="single" w:sz="4" w:space="0" w:color="auto"/>
            </w:tcBorders>
            <w:hideMark/>
          </w:tcPr>
          <w:p w:rsidR="00D606B7" w:rsidP="00D606B7" w14:paraId="2E64DBB1" w14:textId="77777777">
            <w:pPr>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A577E8" w:rsidRPr="00D05DB9" w14:paraId="1922E262" w14:textId="77777777">
      <w:pPr>
        <w:rPr>
          <w:rFonts w:ascii="Times New Roman" w:hAnsi="Times New Roman"/>
        </w:rPr>
      </w:pPr>
    </w:p>
    <w:p w:rsidR="00A577E8" w:rsidRPr="00D05DB9" w14:paraId="6A5377FB" w14:textId="77777777">
      <w:pPr>
        <w:pStyle w:val="Level1"/>
        <w:tabs>
          <w:tab w:val="left" w:pos="-1440"/>
          <w:tab w:val="num" w:pos="720"/>
        </w:tabs>
        <w:rPr>
          <w:rFonts w:ascii="Times New Roman" w:hAnsi="Times New Roman"/>
        </w:rPr>
      </w:pPr>
      <w:r w:rsidRPr="00D05DB9">
        <w:rPr>
          <w:rFonts w:ascii="Times New Roman" w:hAnsi="Times New Roman"/>
          <w:u w:val="single"/>
        </w:rPr>
        <w:t>REASONS FOR CHANGE IN BURDEN</w:t>
      </w:r>
    </w:p>
    <w:p w:rsidR="00A577E8" w:rsidRPr="00D05DB9" w14:paraId="1F2EC2BC" w14:textId="77777777">
      <w:pPr>
        <w:ind w:firstLine="720"/>
        <w:rPr>
          <w:rFonts w:ascii="Times New Roman" w:hAnsi="Times New Roman"/>
        </w:rPr>
      </w:pPr>
    </w:p>
    <w:p w:rsidR="00BD2CD7" w:rsidRPr="00D05DB9" w:rsidP="00D8342F" w14:paraId="4F9742EF" w14:textId="22A9606F">
      <w:pPr>
        <w:ind w:left="720"/>
        <w:rPr>
          <w:rFonts w:ascii="Times New Roman" w:hAnsi="Times New Roman"/>
        </w:rPr>
      </w:pPr>
      <w:r w:rsidRPr="00D8342F">
        <w:rPr>
          <w:rFonts w:ascii="Times New Roman" w:hAnsi="Times New Roman"/>
        </w:rPr>
        <w:t xml:space="preserve">There are no changes to the burden.   We are submitting this request for renewal purposes only.    </w:t>
      </w:r>
    </w:p>
    <w:p w:rsidR="00A577E8" w:rsidRPr="00D05DB9" w14:paraId="78EFAAE1" w14:textId="77777777">
      <w:pPr>
        <w:rPr>
          <w:rFonts w:ascii="Times New Roman" w:hAnsi="Times New Roman"/>
        </w:rPr>
      </w:pPr>
    </w:p>
    <w:p w:rsidR="00A577E8" w:rsidRPr="00D05DB9" w14:paraId="1D7B74B3" w14:textId="77777777">
      <w:pPr>
        <w:pStyle w:val="Level1"/>
        <w:tabs>
          <w:tab w:val="left" w:pos="-1440"/>
          <w:tab w:val="num" w:pos="720"/>
        </w:tabs>
        <w:rPr>
          <w:rFonts w:ascii="Times New Roman" w:hAnsi="Times New Roman"/>
        </w:rPr>
      </w:pPr>
      <w:r w:rsidRPr="00D05DB9">
        <w:rPr>
          <w:rFonts w:ascii="Times New Roman" w:hAnsi="Times New Roman"/>
          <w:u w:val="single"/>
        </w:rPr>
        <w:t>PLANS FOR TABULATION, STATISTICAL ANALYSIS AND PUBLICATION</w:t>
      </w:r>
    </w:p>
    <w:p w:rsidR="00A577E8" w:rsidRPr="00D05DB9" w14:paraId="2438AD5A" w14:textId="77777777">
      <w:pPr>
        <w:rPr>
          <w:rFonts w:ascii="Times New Roman" w:hAnsi="Times New Roman"/>
        </w:rPr>
      </w:pPr>
    </w:p>
    <w:p w:rsidR="00A577E8" w:rsidRPr="00D05DB9" w14:paraId="2D5F239F" w14:textId="77777777">
      <w:pPr>
        <w:ind w:left="720"/>
        <w:rPr>
          <w:rFonts w:ascii="Times New Roman" w:hAnsi="Times New Roman"/>
        </w:rPr>
      </w:pPr>
      <w:r w:rsidRPr="00D05DB9">
        <w:rPr>
          <w:rFonts w:ascii="Times New Roman" w:hAnsi="Times New Roman"/>
        </w:rPr>
        <w:t>There are no plans for tabulation, statistical analysis and publication.</w:t>
      </w:r>
    </w:p>
    <w:p w:rsidR="00A577E8" w:rsidRPr="00D05DB9" w14:paraId="35E66101" w14:textId="77777777">
      <w:pPr>
        <w:rPr>
          <w:rFonts w:ascii="Times New Roman" w:hAnsi="Times New Roman"/>
        </w:rPr>
      </w:pPr>
    </w:p>
    <w:p w:rsidR="00A577E8" w:rsidRPr="00D05DB9" w14:paraId="62243FD3" w14:textId="77777777">
      <w:pPr>
        <w:pStyle w:val="Level1"/>
        <w:tabs>
          <w:tab w:val="left" w:pos="-1440"/>
          <w:tab w:val="num" w:pos="720"/>
        </w:tabs>
        <w:rPr>
          <w:rFonts w:ascii="Times New Roman" w:hAnsi="Times New Roman"/>
        </w:rPr>
      </w:pPr>
      <w:r w:rsidRPr="00D05DB9">
        <w:rPr>
          <w:rFonts w:ascii="Times New Roman" w:hAnsi="Times New Roman"/>
          <w:u w:val="single"/>
        </w:rPr>
        <w:t>REASONS WHY DISPLAYING THE OMB EXPIRATION DATE IS</w:t>
      </w:r>
      <w:r w:rsidRPr="00D05DB9">
        <w:rPr>
          <w:rFonts w:ascii="Times New Roman" w:hAnsi="Times New Roman"/>
        </w:rPr>
        <w:t xml:space="preserve">      </w:t>
      </w:r>
      <w:r w:rsidRPr="00D05DB9">
        <w:rPr>
          <w:rFonts w:ascii="Times New Roman" w:hAnsi="Times New Roman"/>
          <w:u w:val="single"/>
        </w:rPr>
        <w:t>INAPPROPRIATE</w:t>
      </w:r>
    </w:p>
    <w:p w:rsidR="00A577E8" w:rsidRPr="00D05DB9" w14:paraId="23B1610A" w14:textId="77777777">
      <w:pPr>
        <w:rPr>
          <w:rFonts w:ascii="Times New Roman" w:hAnsi="Times New Roman"/>
        </w:rPr>
      </w:pPr>
    </w:p>
    <w:p w:rsidR="00A577E8" w:rsidRPr="00D05DB9" w14:paraId="66E478E0" w14:textId="7E12BFD0">
      <w:pPr>
        <w:ind w:left="720"/>
        <w:rPr>
          <w:rFonts w:ascii="Times New Roman" w:hAnsi="Times New Roman"/>
        </w:rPr>
      </w:pPr>
      <w:r w:rsidRPr="00D8342F">
        <w:rPr>
          <w:rFonts w:ascii="Times New Roman" w:hAnsi="Times New Roman"/>
        </w:rPr>
        <w:t xml:space="preserve">IRS believes that displaying the OMB expiration date is inappropriate because it could cause confusion by leading taxpayers to believe that the </w:t>
      </w:r>
      <w:r w:rsidR="0047790A">
        <w:rPr>
          <w:rFonts w:ascii="Times New Roman" w:hAnsi="Times New Roman"/>
        </w:rPr>
        <w:t>collection</w:t>
      </w:r>
      <w:r w:rsidRPr="00D8342F" w:rsidR="0047790A">
        <w:rPr>
          <w:rFonts w:ascii="Times New Roman" w:hAnsi="Times New Roman"/>
        </w:rPr>
        <w:t xml:space="preserve"> </w:t>
      </w:r>
      <w:r w:rsidRPr="00D8342F">
        <w:rPr>
          <w:rFonts w:ascii="Times New Roman" w:hAnsi="Times New Roman"/>
        </w:rPr>
        <w:t xml:space="preserve">sunsets as of the expiration date.  Taxpayers are not likely to be aware that the </w:t>
      </w:r>
      <w:r w:rsidR="0057322E">
        <w:rPr>
          <w:rFonts w:ascii="Times New Roman" w:hAnsi="Times New Roman"/>
        </w:rPr>
        <w:t>IRS</w:t>
      </w:r>
      <w:r w:rsidRPr="00D8342F" w:rsidR="0057322E">
        <w:rPr>
          <w:rFonts w:ascii="Times New Roman" w:hAnsi="Times New Roman"/>
        </w:rPr>
        <w:t xml:space="preserve"> </w:t>
      </w:r>
      <w:r w:rsidRPr="00D8342F">
        <w:rPr>
          <w:rFonts w:ascii="Times New Roman" w:hAnsi="Times New Roman"/>
        </w:rPr>
        <w:t>intends to request renewal of OMB approval and obtain a new expiration date before the old one expires</w:t>
      </w:r>
      <w:r w:rsidRPr="00D05DB9">
        <w:rPr>
          <w:rFonts w:ascii="Times New Roman" w:hAnsi="Times New Roman"/>
        </w:rPr>
        <w:t>.</w:t>
      </w:r>
    </w:p>
    <w:p w:rsidR="00A577E8" w:rsidRPr="00D05DB9" w14:paraId="65FE04B6" w14:textId="77777777">
      <w:pPr>
        <w:rPr>
          <w:rFonts w:ascii="Times New Roman" w:hAnsi="Times New Roman"/>
        </w:rPr>
      </w:pPr>
    </w:p>
    <w:p w:rsidR="00A577E8" w:rsidRPr="00D05DB9" w14:paraId="5D07A410" w14:textId="77777777">
      <w:pPr>
        <w:pStyle w:val="Level1"/>
        <w:tabs>
          <w:tab w:val="left" w:pos="-1440"/>
          <w:tab w:val="num" w:pos="720"/>
        </w:tabs>
        <w:rPr>
          <w:rFonts w:ascii="Times New Roman" w:hAnsi="Times New Roman"/>
        </w:rPr>
      </w:pPr>
      <w:r w:rsidRPr="00D05DB9">
        <w:rPr>
          <w:rFonts w:ascii="Times New Roman" w:hAnsi="Times New Roman"/>
          <w:u w:val="single"/>
        </w:rPr>
        <w:t xml:space="preserve">EXCEPTIONS TO THE CERTIFICATION STATEMENT </w:t>
      </w:r>
    </w:p>
    <w:p w:rsidR="00A577E8" w:rsidRPr="00D05DB9" w14:paraId="092DF3E0" w14:textId="77777777">
      <w:pPr>
        <w:rPr>
          <w:rFonts w:ascii="Times New Roman" w:hAnsi="Times New Roman"/>
        </w:rPr>
      </w:pPr>
    </w:p>
    <w:p w:rsidR="00A577E8" w:rsidRPr="00D05DB9" w14:paraId="42F187BB" w14:textId="77777777">
      <w:pPr>
        <w:ind w:left="720"/>
        <w:rPr>
          <w:rFonts w:ascii="Times New Roman" w:hAnsi="Times New Roman"/>
        </w:rPr>
      </w:pPr>
      <w:r w:rsidRPr="00D05DB9">
        <w:rPr>
          <w:rFonts w:ascii="Times New Roman" w:hAnsi="Times New Roman"/>
        </w:rPr>
        <w:t>There are no exceptions to the certification statement.</w:t>
      </w:r>
    </w:p>
    <w:p w:rsidR="00A577E8" w:rsidRPr="00D05DB9" w14:paraId="46F0E2FB" w14:textId="77777777">
      <w:pPr>
        <w:rPr>
          <w:rFonts w:ascii="Times New Roman" w:hAnsi="Times New Roman"/>
        </w:rPr>
      </w:pPr>
    </w:p>
    <w:sectPr w:rsidSect="00A81AA1">
      <w:footerReference w:type="default" r:id="rId5"/>
      <w:type w:val="continuous"/>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AA1" w:rsidRPr="00A81AA1" w:rsidP="00A81AA1" w14:paraId="21D4DD42" w14:textId="77777777">
    <w:pPr>
      <w:pStyle w:val="Footer"/>
      <w:jc w:val="right"/>
      <w:rPr>
        <w:rFonts w:ascii="Times New Roman" w:hAnsi="Times New Roman"/>
      </w:rPr>
    </w:pPr>
    <w:r w:rsidRPr="00A81AA1">
      <w:rPr>
        <w:rFonts w:ascii="Times New Roman" w:hAnsi="Times New Roman"/>
      </w:rPr>
      <w:fldChar w:fldCharType="begin"/>
    </w:r>
    <w:r w:rsidRPr="00A81AA1">
      <w:rPr>
        <w:rFonts w:ascii="Times New Roman" w:hAnsi="Times New Roman"/>
      </w:rPr>
      <w:instrText xml:space="preserve"> PAGE   \* MERGEFORMAT </w:instrText>
    </w:r>
    <w:r w:rsidRPr="00A81AA1">
      <w:rPr>
        <w:rFonts w:ascii="Times New Roman" w:hAnsi="Times New Roman"/>
      </w:rPr>
      <w:fldChar w:fldCharType="separate"/>
    </w:r>
    <w:r w:rsidR="0036037E">
      <w:rPr>
        <w:rFonts w:ascii="Times New Roman" w:hAnsi="Times New Roman"/>
        <w:noProof/>
      </w:rPr>
      <w:t>1</w:t>
    </w:r>
    <w:r w:rsidRPr="00A81AA1">
      <w:rPr>
        <w:rFonts w:ascii="Times New Roman"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E0842A5"/>
    <w:multiLevelType w:val="hybridMultilevel"/>
    <w:tmpl w:val="E29063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94714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34298485">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27679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E8"/>
    <w:rsid w:val="0002229B"/>
    <w:rsid w:val="00022F18"/>
    <w:rsid w:val="000504AE"/>
    <w:rsid w:val="00064E81"/>
    <w:rsid w:val="000C2A6A"/>
    <w:rsid w:val="000F07A8"/>
    <w:rsid w:val="00132327"/>
    <w:rsid w:val="00132697"/>
    <w:rsid w:val="00147CD6"/>
    <w:rsid w:val="001D1BE2"/>
    <w:rsid w:val="002657B6"/>
    <w:rsid w:val="002B0CE0"/>
    <w:rsid w:val="002B20AF"/>
    <w:rsid w:val="00352180"/>
    <w:rsid w:val="0036037E"/>
    <w:rsid w:val="0038300E"/>
    <w:rsid w:val="0038579D"/>
    <w:rsid w:val="003C11C5"/>
    <w:rsid w:val="004368B2"/>
    <w:rsid w:val="0047790A"/>
    <w:rsid w:val="00495CA8"/>
    <w:rsid w:val="004E5F84"/>
    <w:rsid w:val="004F2B56"/>
    <w:rsid w:val="00515639"/>
    <w:rsid w:val="0057322E"/>
    <w:rsid w:val="00613F6A"/>
    <w:rsid w:val="00625E36"/>
    <w:rsid w:val="00627242"/>
    <w:rsid w:val="006374B7"/>
    <w:rsid w:val="006903B2"/>
    <w:rsid w:val="006D7813"/>
    <w:rsid w:val="007C7D5F"/>
    <w:rsid w:val="007D1C03"/>
    <w:rsid w:val="007E2D51"/>
    <w:rsid w:val="007F40CA"/>
    <w:rsid w:val="008121A7"/>
    <w:rsid w:val="00840586"/>
    <w:rsid w:val="00856631"/>
    <w:rsid w:val="008713A9"/>
    <w:rsid w:val="00885EA4"/>
    <w:rsid w:val="008D0ED6"/>
    <w:rsid w:val="00900A73"/>
    <w:rsid w:val="009F18D1"/>
    <w:rsid w:val="009F1B2E"/>
    <w:rsid w:val="00A454DC"/>
    <w:rsid w:val="00A577E8"/>
    <w:rsid w:val="00A81AA1"/>
    <w:rsid w:val="00AA6D84"/>
    <w:rsid w:val="00AC68DD"/>
    <w:rsid w:val="00AE2785"/>
    <w:rsid w:val="00B24D84"/>
    <w:rsid w:val="00B54276"/>
    <w:rsid w:val="00BA72EE"/>
    <w:rsid w:val="00BD05B4"/>
    <w:rsid w:val="00BD2CD7"/>
    <w:rsid w:val="00BE275C"/>
    <w:rsid w:val="00C1731F"/>
    <w:rsid w:val="00C53007"/>
    <w:rsid w:val="00D05DB9"/>
    <w:rsid w:val="00D30DBD"/>
    <w:rsid w:val="00D606B7"/>
    <w:rsid w:val="00D8342F"/>
    <w:rsid w:val="00DA24CF"/>
    <w:rsid w:val="00DC435A"/>
    <w:rsid w:val="00DD3B91"/>
    <w:rsid w:val="00DF5DB5"/>
    <w:rsid w:val="00DF6B17"/>
    <w:rsid w:val="00E02A41"/>
    <w:rsid w:val="00E174CF"/>
    <w:rsid w:val="00E36930"/>
    <w:rsid w:val="00EA59CB"/>
    <w:rsid w:val="00EC63E2"/>
    <w:rsid w:val="00EC772C"/>
    <w:rsid w:val="00EF5D54"/>
    <w:rsid w:val="00F01A81"/>
    <w:rsid w:val="00F77B94"/>
    <w:rsid w:val="00F80146"/>
    <w:rsid w:val="00F80D52"/>
    <w:rsid w:val="00FD3E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4F9337"/>
  <w15:chartTrackingRefBased/>
  <w15:docId w15:val="{4B42AF35-6D17-4A50-B0D8-72017AB1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A81AA1"/>
    <w:pPr>
      <w:tabs>
        <w:tab w:val="center" w:pos="4680"/>
        <w:tab w:val="right" w:pos="9360"/>
      </w:tabs>
    </w:pPr>
  </w:style>
  <w:style w:type="character" w:customStyle="1" w:styleId="HeaderChar">
    <w:name w:val="Header Char"/>
    <w:link w:val="Header"/>
    <w:rsid w:val="00A81AA1"/>
    <w:rPr>
      <w:rFonts w:ascii="Courier" w:hAnsi="Courier"/>
      <w:sz w:val="24"/>
      <w:szCs w:val="24"/>
    </w:rPr>
  </w:style>
  <w:style w:type="paragraph" w:styleId="Footer">
    <w:name w:val="footer"/>
    <w:basedOn w:val="Normal"/>
    <w:link w:val="FooterChar"/>
    <w:uiPriority w:val="99"/>
    <w:rsid w:val="00A81AA1"/>
    <w:pPr>
      <w:tabs>
        <w:tab w:val="center" w:pos="4680"/>
        <w:tab w:val="right" w:pos="9360"/>
      </w:tabs>
    </w:pPr>
  </w:style>
  <w:style w:type="character" w:customStyle="1" w:styleId="FooterChar">
    <w:name w:val="Footer Char"/>
    <w:link w:val="Footer"/>
    <w:uiPriority w:val="99"/>
    <w:rsid w:val="00A81AA1"/>
    <w:rPr>
      <w:rFonts w:ascii="Courier" w:hAnsi="Courier"/>
      <w:sz w:val="24"/>
      <w:szCs w:val="24"/>
    </w:rPr>
  </w:style>
  <w:style w:type="character" w:styleId="Hyperlink">
    <w:name w:val="Hyperlink"/>
    <w:rsid w:val="00FD3E38"/>
    <w:rPr>
      <w:color w:val="0000FF"/>
      <w:u w:val="single"/>
    </w:rPr>
  </w:style>
  <w:style w:type="table" w:styleId="TableGrid">
    <w:name w:val="Table Grid"/>
    <w:basedOn w:val="TableNormal"/>
    <w:rsid w:val="00D0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322E"/>
    <w:rPr>
      <w:rFonts w:ascii="Courier" w:hAnsi="Courier"/>
      <w:sz w:val="24"/>
      <w:szCs w:val="24"/>
    </w:rPr>
  </w:style>
  <w:style w:type="character" w:styleId="CommentReference">
    <w:name w:val="annotation reference"/>
    <w:basedOn w:val="DefaultParagraphFont"/>
    <w:rsid w:val="0057322E"/>
    <w:rPr>
      <w:sz w:val="16"/>
      <w:szCs w:val="16"/>
    </w:rPr>
  </w:style>
  <w:style w:type="paragraph" w:styleId="CommentText">
    <w:name w:val="annotation text"/>
    <w:basedOn w:val="Normal"/>
    <w:link w:val="CommentTextChar"/>
    <w:rsid w:val="0057322E"/>
    <w:rPr>
      <w:sz w:val="20"/>
      <w:szCs w:val="20"/>
    </w:rPr>
  </w:style>
  <w:style w:type="character" w:customStyle="1" w:styleId="CommentTextChar">
    <w:name w:val="Comment Text Char"/>
    <w:basedOn w:val="DefaultParagraphFont"/>
    <w:link w:val="CommentText"/>
    <w:rsid w:val="0057322E"/>
    <w:rPr>
      <w:rFonts w:ascii="Courier" w:hAnsi="Courier"/>
    </w:rPr>
  </w:style>
  <w:style w:type="paragraph" w:styleId="CommentSubject">
    <w:name w:val="annotation subject"/>
    <w:basedOn w:val="CommentText"/>
    <w:next w:val="CommentText"/>
    <w:link w:val="CommentSubjectChar"/>
    <w:rsid w:val="0057322E"/>
    <w:rPr>
      <w:b/>
      <w:bCs/>
    </w:rPr>
  </w:style>
  <w:style w:type="character" w:customStyle="1" w:styleId="CommentSubjectChar">
    <w:name w:val="Comment Subject Char"/>
    <w:basedOn w:val="CommentTextChar"/>
    <w:link w:val="CommentSubject"/>
    <w:rsid w:val="0057322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JNMNB</dc:creator>
  <cp:lastModifiedBy>Van Dyke Lanita</cp:lastModifiedBy>
  <cp:revision>2</cp:revision>
  <cp:lastPrinted>2007-02-08T20:43:00Z</cp:lastPrinted>
  <dcterms:created xsi:type="dcterms:W3CDTF">2026-06-17T12:03:00Z</dcterms:created>
  <dcterms:modified xsi:type="dcterms:W3CDTF">2026-06-17T12:03:00Z</dcterms:modified>
</cp:coreProperties>
</file>