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6C5586" w:rsidP="00794A63" w14:paraId="25E48571" w14:textId="1081EDD1">
      <w:pPr>
        <w:tabs>
          <w:tab w:val="center" w:pos="4680"/>
        </w:tabs>
        <w:jc w:val="center"/>
        <w:rPr>
          <w:rFonts w:ascii="Times New Roman" w:hAnsi="Times New Roman"/>
          <w:bCs/>
        </w:rPr>
      </w:pPr>
      <w:r>
        <w:rPr>
          <w:rFonts w:ascii="Times New Roman" w:hAnsi="Times New Roman"/>
          <w:bCs/>
        </w:rPr>
        <w:t>Long-Term Care Premiums Paid Statement</w:t>
      </w:r>
      <w:r w:rsidRPr="00F5714D" w:rsidR="00F5714D">
        <w:rPr>
          <w:rFonts w:ascii="Times New Roman" w:hAnsi="Times New Roman"/>
          <w:bCs/>
        </w:rPr>
        <w:t xml:space="preserve"> </w:t>
      </w:r>
    </w:p>
    <w:p w:rsidR="00F5714D" w:rsidP="00794A63" w14:paraId="495CFC5F" w14:textId="097562DD">
      <w:pPr>
        <w:tabs>
          <w:tab w:val="center" w:pos="4680"/>
        </w:tabs>
        <w:jc w:val="center"/>
        <w:rPr>
          <w:rFonts w:ascii="Times New Roman" w:hAnsi="Times New Roman"/>
          <w:bCs/>
        </w:rPr>
      </w:pPr>
      <w:r>
        <w:rPr>
          <w:rFonts w:ascii="Times New Roman" w:hAnsi="Times New Roman"/>
          <w:bCs/>
        </w:rPr>
        <w:t>(</w:t>
      </w:r>
      <w:r w:rsidRPr="00F5714D">
        <w:rPr>
          <w:rFonts w:ascii="Times New Roman" w:hAnsi="Times New Roman"/>
          <w:bCs/>
        </w:rPr>
        <w:t xml:space="preserve">Form </w:t>
      </w:r>
      <w:r w:rsidR="001529E7">
        <w:rPr>
          <w:rFonts w:ascii="Times New Roman" w:hAnsi="Times New Roman"/>
          <w:bCs/>
        </w:rPr>
        <w:t>1099-LPS</w:t>
      </w:r>
      <w:r w:rsidR="003747B4">
        <w:rPr>
          <w:rFonts w:ascii="Times New Roman" w:hAnsi="Times New Roman"/>
          <w:bCs/>
        </w:rPr>
        <w:t>)</w:t>
      </w:r>
    </w:p>
    <w:p w:rsidR="007B4A04" w:rsidRPr="001C0C5A" w:rsidP="00794A63" w14:paraId="289304B9" w14:textId="5D76BF90">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1529E7">
        <w:rPr>
          <w:rFonts w:ascii="Times New Roman" w:hAnsi="Times New Roman"/>
          <w:bCs/>
        </w:rPr>
        <w:t>NEW</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BC5A75" w:rsidP="005D0D93" w14:paraId="2B0C4187" w14:textId="4CD94839">
      <w:pPr>
        <w:widowControl/>
        <w:ind w:left="720"/>
        <w:rPr>
          <w:rFonts w:ascii="Times New Roman" w:hAnsi="Times New Roman"/>
        </w:rPr>
      </w:pPr>
      <w:r>
        <w:rPr>
          <w:rFonts w:ascii="Times New Roman" w:hAnsi="Times New Roman"/>
        </w:rPr>
        <w:t>Internal Revenue Code (IRC) s</w:t>
      </w:r>
      <w:r w:rsidRPr="00BC5A75">
        <w:rPr>
          <w:rFonts w:ascii="Times New Roman" w:hAnsi="Times New Roman"/>
        </w:rPr>
        <w:t xml:space="preserve">ection 72(t)(1) generally imposes a 10% additional tax on a distribution from a qualified retirement plan unless the distribution qualifies for one of the exceptions to the 10% additional tax listed in section 72(t)(2). Section 72(t)(2)(N) generally provides that the 10% additional tax on early distributions does not apply to qualified long term care distributions described in section 401(a)(39). Although the </w:t>
      </w:r>
      <w:r w:rsidRPr="00BC5A75" w:rsidR="00CC3AE0">
        <w:rPr>
          <w:rFonts w:ascii="Times New Roman" w:hAnsi="Times New Roman"/>
        </w:rPr>
        <w:t>additional 10%</w:t>
      </w:r>
      <w:r w:rsidRPr="00BC5A75">
        <w:rPr>
          <w:rFonts w:ascii="Times New Roman" w:hAnsi="Times New Roman"/>
        </w:rPr>
        <w:t xml:space="preserve"> tax does not apply, a qualified long-term care distribution is generally includible in gross income.</w:t>
      </w:r>
    </w:p>
    <w:p w:rsidR="00BC5A75" w:rsidP="005D0D93" w14:paraId="37007A30" w14:textId="77777777">
      <w:pPr>
        <w:widowControl/>
        <w:ind w:left="720"/>
        <w:rPr>
          <w:rFonts w:ascii="Times New Roman" w:hAnsi="Times New Roman"/>
        </w:rPr>
      </w:pPr>
    </w:p>
    <w:p w:rsidR="005D0D93" w:rsidP="005D0D93" w14:paraId="75BBB0E8" w14:textId="77254F74">
      <w:pPr>
        <w:widowControl/>
        <w:ind w:left="720"/>
        <w:rPr>
          <w:rFonts w:ascii="Times New Roman" w:hAnsi="Times New Roman"/>
        </w:rPr>
      </w:pPr>
      <w:r w:rsidRPr="00291AD0">
        <w:rPr>
          <w:rFonts w:ascii="Times New Roman" w:hAnsi="Times New Roman"/>
        </w:rPr>
        <w:t>Section 3</w:t>
      </w:r>
      <w:r w:rsidR="00A501CE">
        <w:rPr>
          <w:rFonts w:ascii="Times New Roman" w:hAnsi="Times New Roman"/>
        </w:rPr>
        <w:t>34</w:t>
      </w:r>
      <w:r w:rsidRPr="00291AD0">
        <w:rPr>
          <w:rFonts w:ascii="Times New Roman" w:hAnsi="Times New Roman"/>
        </w:rPr>
        <w:t xml:space="preserve"> of Division T of the Consolidated Appropriations Act, 2023, Public Law 117-328, 136 Stat. 4459 (2023), known as the Setting Every Community Up for Retirement Enhancement Act of 2022 (SECURE 2.0 Act)</w:t>
      </w:r>
      <w:r>
        <w:rPr>
          <w:rFonts w:ascii="Times New Roman" w:hAnsi="Times New Roman"/>
        </w:rPr>
        <w:t xml:space="preserve"> </w:t>
      </w:r>
      <w:r w:rsidR="009D36E5">
        <w:rPr>
          <w:rFonts w:ascii="Times New Roman" w:hAnsi="Times New Roman"/>
        </w:rPr>
        <w:t>added</w:t>
      </w:r>
      <w:r w:rsidR="00BC5A75">
        <w:rPr>
          <w:rFonts w:ascii="Times New Roman" w:hAnsi="Times New Roman"/>
        </w:rPr>
        <w:t xml:space="preserve"> </w:t>
      </w:r>
      <w:r w:rsidRPr="00291AD0">
        <w:rPr>
          <w:rFonts w:ascii="Times New Roman" w:hAnsi="Times New Roman"/>
        </w:rPr>
        <w:t xml:space="preserve">IRC </w:t>
      </w:r>
      <w:r>
        <w:rPr>
          <w:rFonts w:ascii="Times New Roman" w:hAnsi="Times New Roman"/>
        </w:rPr>
        <w:t>sec</w:t>
      </w:r>
      <w:r w:rsidRPr="00291AD0">
        <w:rPr>
          <w:rFonts w:ascii="Times New Roman" w:hAnsi="Times New Roman"/>
        </w:rPr>
        <w:t xml:space="preserve">tion 401(a)(39) </w:t>
      </w:r>
      <w:r>
        <w:rPr>
          <w:rFonts w:ascii="Times New Roman" w:hAnsi="Times New Roman"/>
        </w:rPr>
        <w:t xml:space="preserve">Qualified Long-Term Care Distributions </w:t>
      </w:r>
      <w:r w:rsidRPr="00291AD0">
        <w:rPr>
          <w:rFonts w:ascii="Times New Roman" w:hAnsi="Times New Roman"/>
        </w:rPr>
        <w:t>to other types of defined contribution plans.</w:t>
      </w:r>
      <w:r>
        <w:rPr>
          <w:rFonts w:ascii="Times New Roman" w:hAnsi="Times New Roman"/>
        </w:rPr>
        <w:t xml:space="preserve"> </w:t>
      </w:r>
      <w:r w:rsidRPr="009978F1">
        <w:rPr>
          <w:rFonts w:ascii="Times New Roman" w:hAnsi="Times New Roman"/>
        </w:rPr>
        <w:t>IRC</w:t>
      </w:r>
      <w:r w:rsidR="00484907">
        <w:rPr>
          <w:rFonts w:ascii="Times New Roman" w:hAnsi="Times New Roman"/>
        </w:rPr>
        <w:t xml:space="preserve"> section </w:t>
      </w:r>
      <w:r>
        <w:rPr>
          <w:rFonts w:ascii="Times New Roman" w:hAnsi="Times New Roman"/>
        </w:rPr>
        <w:t xml:space="preserve">401(a)(39)(E) </w:t>
      </w:r>
      <w:r w:rsidR="003D1E13">
        <w:rPr>
          <w:rFonts w:ascii="Times New Roman" w:hAnsi="Times New Roman"/>
        </w:rPr>
        <w:t>L</w:t>
      </w:r>
      <w:r w:rsidRPr="003D1E13" w:rsidR="003D1E13">
        <w:rPr>
          <w:rFonts w:ascii="Times New Roman" w:hAnsi="Times New Roman"/>
        </w:rPr>
        <w:t>ong-</w:t>
      </w:r>
      <w:r w:rsidR="003D1E13">
        <w:rPr>
          <w:rFonts w:ascii="Times New Roman" w:hAnsi="Times New Roman"/>
        </w:rPr>
        <w:t>T</w:t>
      </w:r>
      <w:r w:rsidRPr="003D1E13" w:rsidR="003D1E13">
        <w:rPr>
          <w:rFonts w:ascii="Times New Roman" w:hAnsi="Times New Roman"/>
        </w:rPr>
        <w:t xml:space="preserve">erm </w:t>
      </w:r>
      <w:r w:rsidR="003D1E13">
        <w:rPr>
          <w:rFonts w:ascii="Times New Roman" w:hAnsi="Times New Roman"/>
        </w:rPr>
        <w:t>C</w:t>
      </w:r>
      <w:r w:rsidRPr="003D1E13" w:rsidR="003D1E13">
        <w:rPr>
          <w:rFonts w:ascii="Times New Roman" w:hAnsi="Times New Roman"/>
        </w:rPr>
        <w:t xml:space="preserve">are </w:t>
      </w:r>
      <w:r w:rsidR="003D1E13">
        <w:rPr>
          <w:rFonts w:ascii="Times New Roman" w:hAnsi="Times New Roman"/>
        </w:rPr>
        <w:t>P</w:t>
      </w:r>
      <w:r w:rsidRPr="003D1E13" w:rsidR="003D1E13">
        <w:rPr>
          <w:rFonts w:ascii="Times New Roman" w:hAnsi="Times New Roman"/>
        </w:rPr>
        <w:t xml:space="preserve">remium </w:t>
      </w:r>
      <w:r w:rsidR="003D1E13">
        <w:rPr>
          <w:rFonts w:ascii="Times New Roman" w:hAnsi="Times New Roman"/>
        </w:rPr>
        <w:t>S</w:t>
      </w:r>
      <w:r w:rsidRPr="003D1E13" w:rsidR="003D1E13">
        <w:rPr>
          <w:rFonts w:ascii="Times New Roman" w:hAnsi="Times New Roman"/>
        </w:rPr>
        <w:t xml:space="preserve">tatement </w:t>
      </w:r>
      <w:r w:rsidR="003D1E13">
        <w:rPr>
          <w:rFonts w:ascii="Times New Roman" w:hAnsi="Times New Roman"/>
        </w:rPr>
        <w:t xml:space="preserve">clarifies the </w:t>
      </w:r>
      <w:r>
        <w:rPr>
          <w:rFonts w:ascii="Times New Roman" w:hAnsi="Times New Roman"/>
        </w:rPr>
        <w:t>requirements of statement</w:t>
      </w:r>
      <w:r w:rsidR="003D1E13">
        <w:rPr>
          <w:rFonts w:ascii="Times New Roman" w:hAnsi="Times New Roman"/>
        </w:rPr>
        <w:t>.</w:t>
      </w:r>
      <w:r>
        <w:rPr>
          <w:rFonts w:ascii="Times New Roman" w:hAnsi="Times New Roman"/>
        </w:rPr>
        <w:t xml:space="preserve"> </w:t>
      </w:r>
    </w:p>
    <w:p w:rsidR="00291AD0" w:rsidP="00C50A9E" w14:paraId="4AA08AE7" w14:textId="3C7EB72F">
      <w:pPr>
        <w:widowControl/>
        <w:ind w:left="720"/>
        <w:rPr>
          <w:rFonts w:ascii="Times New Roman" w:hAnsi="Times New Roman"/>
        </w:rPr>
      </w:pPr>
    </w:p>
    <w:p w:rsidR="00291AD0" w:rsidP="00C50A9E" w14:paraId="1C36CD94" w14:textId="5285E38B">
      <w:pPr>
        <w:widowControl/>
        <w:ind w:left="720"/>
        <w:rPr>
          <w:rFonts w:ascii="Times New Roman" w:hAnsi="Times New Roman"/>
        </w:rPr>
      </w:pPr>
      <w:r w:rsidRPr="00291AD0">
        <w:rPr>
          <w:rFonts w:ascii="Times New Roman" w:hAnsi="Times New Roman"/>
        </w:rPr>
        <w:t>Section 334 of the SECURE 2.0 Act added</w:t>
      </w:r>
      <w:r>
        <w:rPr>
          <w:rFonts w:ascii="Times New Roman" w:hAnsi="Times New Roman"/>
        </w:rPr>
        <w:t xml:space="preserve"> </w:t>
      </w:r>
      <w:r w:rsidRPr="00291AD0">
        <w:rPr>
          <w:rFonts w:ascii="Times New Roman" w:hAnsi="Times New Roman"/>
        </w:rPr>
        <w:t xml:space="preserve">IRC section 6050Z Reports </w:t>
      </w:r>
      <w:r w:rsidR="009D36E5">
        <w:rPr>
          <w:rFonts w:ascii="Times New Roman" w:hAnsi="Times New Roman"/>
        </w:rPr>
        <w:t>R</w:t>
      </w:r>
      <w:r w:rsidRPr="00291AD0">
        <w:rPr>
          <w:rFonts w:ascii="Times New Roman" w:hAnsi="Times New Roman"/>
        </w:rPr>
        <w:t xml:space="preserve">elating to </w:t>
      </w:r>
      <w:r w:rsidR="009D36E5">
        <w:rPr>
          <w:rFonts w:ascii="Times New Roman" w:hAnsi="Times New Roman"/>
        </w:rPr>
        <w:t>L</w:t>
      </w:r>
      <w:r w:rsidRPr="00291AD0">
        <w:rPr>
          <w:rFonts w:ascii="Times New Roman" w:hAnsi="Times New Roman"/>
        </w:rPr>
        <w:t>ong-</w:t>
      </w:r>
      <w:r w:rsidR="009D36E5">
        <w:rPr>
          <w:rFonts w:ascii="Times New Roman" w:hAnsi="Times New Roman"/>
        </w:rPr>
        <w:t>T</w:t>
      </w:r>
      <w:r w:rsidRPr="00291AD0">
        <w:rPr>
          <w:rFonts w:ascii="Times New Roman" w:hAnsi="Times New Roman"/>
        </w:rPr>
        <w:t xml:space="preserve">erm </w:t>
      </w:r>
      <w:r w:rsidR="009D36E5">
        <w:rPr>
          <w:rFonts w:ascii="Times New Roman" w:hAnsi="Times New Roman"/>
        </w:rPr>
        <w:t>C</w:t>
      </w:r>
      <w:r w:rsidRPr="00291AD0">
        <w:rPr>
          <w:rFonts w:ascii="Times New Roman" w:hAnsi="Times New Roman"/>
        </w:rPr>
        <w:t xml:space="preserve">are </w:t>
      </w:r>
      <w:r w:rsidR="009D36E5">
        <w:rPr>
          <w:rFonts w:ascii="Times New Roman" w:hAnsi="Times New Roman"/>
        </w:rPr>
        <w:t>P</w:t>
      </w:r>
      <w:r w:rsidRPr="00291AD0">
        <w:rPr>
          <w:rFonts w:ascii="Times New Roman" w:hAnsi="Times New Roman"/>
        </w:rPr>
        <w:t xml:space="preserve">remium </w:t>
      </w:r>
      <w:r w:rsidR="009D36E5">
        <w:rPr>
          <w:rFonts w:ascii="Times New Roman" w:hAnsi="Times New Roman"/>
        </w:rPr>
        <w:t>S</w:t>
      </w:r>
      <w:r w:rsidRPr="00291AD0">
        <w:rPr>
          <w:rFonts w:ascii="Times New Roman" w:hAnsi="Times New Roman"/>
        </w:rPr>
        <w:t>tatements which clarifies requirements of reporting, statements to be furnished, contracts or coverage covering more than one insured, and statements to be furnished on request.</w:t>
      </w:r>
    </w:p>
    <w:p w:rsidR="00675735" w:rsidP="00C50A9E" w14:paraId="572CD155" w14:textId="77777777">
      <w:pPr>
        <w:widowControl/>
        <w:ind w:left="720"/>
        <w:rPr>
          <w:rFonts w:ascii="Times New Roman" w:hAnsi="Times New Roman"/>
        </w:rPr>
      </w:pPr>
    </w:p>
    <w:p w:rsidR="00BC4EDC" w:rsidP="00BC5A75" w14:paraId="4BB986A6" w14:textId="4107C0EA">
      <w:pPr>
        <w:widowControl/>
        <w:ind w:left="720"/>
        <w:rPr>
          <w:rFonts w:ascii="Times New Roman" w:hAnsi="Times New Roman"/>
        </w:rPr>
      </w:pPr>
      <w:r>
        <w:rPr>
          <w:rFonts w:ascii="Times New Roman" w:hAnsi="Times New Roman"/>
        </w:rPr>
        <w:t xml:space="preserve">Form 1099-LPS </w:t>
      </w:r>
      <w:r w:rsidRPr="00675735">
        <w:rPr>
          <w:rFonts w:ascii="Times New Roman" w:hAnsi="Times New Roman"/>
        </w:rPr>
        <w:t>Long-Term Care Premiums Paid Statement</w:t>
      </w:r>
      <w:r>
        <w:rPr>
          <w:rFonts w:ascii="Times New Roman" w:hAnsi="Times New Roman"/>
        </w:rPr>
        <w:t xml:space="preserve"> is used</w:t>
      </w:r>
      <w:r w:rsidRPr="00675735">
        <w:rPr>
          <w:rFonts w:ascii="Times New Roman" w:hAnsi="Times New Roman"/>
        </w:rPr>
        <w:t xml:space="preserve"> to report certified long-term care insurance coverage for any purchaser to whom you have provided a long-term care premium statement.</w:t>
      </w:r>
      <w:r w:rsidR="00BC5A75">
        <w:rPr>
          <w:rFonts w:ascii="Times New Roman" w:hAnsi="Times New Roman"/>
        </w:rPr>
        <w:t xml:space="preserve"> </w:t>
      </w:r>
      <w:r w:rsidRPr="00BC5A75">
        <w:rPr>
          <w:rFonts w:ascii="Times New Roman" w:hAnsi="Times New Roman"/>
        </w:rPr>
        <w:t>Form 1099-LPS is to comply with the requirements of IRC Sections 6050Z(a)(2) and 401(a)(39)(C).</w:t>
      </w:r>
    </w:p>
    <w:p w:rsidR="00BC5A75" w:rsidRPr="007B4A04" w:rsidP="00BC5A75" w14:paraId="208E93DA"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484907" w:rsidP="00205241" w14:paraId="51E70A77" w14:textId="686CBF5D">
      <w:pPr>
        <w:widowControl/>
        <w:ind w:left="720"/>
        <w:rPr>
          <w:rFonts w:ascii="Times New Roman" w:hAnsi="Times New Roman"/>
        </w:rPr>
      </w:pPr>
      <w:r w:rsidRPr="00484907">
        <w:rPr>
          <w:rFonts w:ascii="Times New Roman" w:hAnsi="Times New Roman"/>
        </w:rPr>
        <w:t xml:space="preserve">The Internal Revenue Service (IRS) </w:t>
      </w:r>
      <w:r w:rsidRPr="0051788E" w:rsidR="0051788E">
        <w:rPr>
          <w:rFonts w:ascii="Times New Roman" w:hAnsi="Times New Roman"/>
        </w:rPr>
        <w:t>will match the data with the information reported on individual tax returns to determine whether amounts paid under a qualified long-term care insurance contract are properly reported.</w:t>
      </w:r>
    </w:p>
    <w:p w:rsidR="0051788E" w:rsidRPr="007B4A04" w:rsidP="00205241" w14:paraId="7ECF1E01"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65485E" w:rsidP="0065485E" w14:paraId="67837C48" w14:textId="060BB395">
      <w:pPr>
        <w:keepLines/>
        <w:widowControl/>
        <w:ind w:left="720"/>
        <w:rPr>
          <w:rFonts w:ascii="Times New Roman" w:hAnsi="Times New Roman"/>
        </w:rPr>
      </w:pPr>
      <w:r w:rsidRPr="007937F6">
        <w:rPr>
          <w:rFonts w:ascii="Times New Roman" w:hAnsi="Times New Roman"/>
        </w:rPr>
        <w:t xml:space="preserve">Electronic filing </w:t>
      </w:r>
      <w:r w:rsidRPr="007937F6">
        <w:rPr>
          <w:rFonts w:ascii="Times New Roman" w:hAnsi="Times New Roman"/>
        </w:rPr>
        <w:t>of</w:t>
      </w:r>
      <w:r w:rsidRPr="007937F6">
        <w:rPr>
          <w:rFonts w:ascii="Times New Roman" w:hAnsi="Times New Roman"/>
        </w:rPr>
        <w:t xml:space="preserve"> Form 1099-LPS is currently </w:t>
      </w:r>
      <w:r w:rsidRPr="007937F6" w:rsidR="007937F6">
        <w:rPr>
          <w:rFonts w:ascii="Times New Roman" w:hAnsi="Times New Roman"/>
        </w:rPr>
        <w:t>available</w:t>
      </w:r>
      <w:r w:rsidRPr="007937F6" w:rsidR="00BD743B">
        <w:rPr>
          <w:rFonts w:ascii="Times New Roman" w:hAnsi="Times New Roman"/>
        </w:rPr>
        <w:t>.</w:t>
      </w:r>
    </w:p>
    <w:p w:rsidR="009424C4" w:rsidRPr="007B4A04" w:rsidP="0065485E" w14:paraId="54C45AF0" w14:textId="77777777">
      <w:pPr>
        <w:keepLines/>
        <w:widowControl/>
        <w:ind w:left="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65485E" w:rsidP="00FD79F6" w14:paraId="2901FE34" w14:textId="6CF5C8A7">
      <w:pPr>
        <w:widowControl/>
        <w:ind w:left="720"/>
        <w:rPr>
          <w:rFonts w:ascii="Times New Roman" w:hAnsi="Times New Roman"/>
        </w:rPr>
      </w:pPr>
      <w:r w:rsidRPr="0051788E">
        <w:rPr>
          <w:rFonts w:ascii="Times New Roman" w:hAnsi="Times New Roman"/>
        </w:rPr>
        <w:t>This information collection will not have a significant economic impact on small businesses or other small entities.</w:t>
      </w:r>
    </w:p>
    <w:p w:rsidR="0051788E" w:rsidRPr="007B4A04" w:rsidP="00FD79F6" w14:paraId="6C7A0B58"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51788E" w:rsidP="006D7C18" w14:paraId="51C494ED" w14:textId="7AE7B4C1">
      <w:pPr>
        <w:ind w:left="720"/>
        <w:rPr>
          <w:rFonts w:ascii="Times New Roman" w:hAnsi="Times New Roman"/>
        </w:rPr>
      </w:pPr>
      <w:r w:rsidRPr="0051788E">
        <w:rPr>
          <w:rFonts w:ascii="Times New Roman" w:hAnsi="Times New Roman"/>
        </w:rPr>
        <w:t>Consequences of less frequent collection would result in the IRS being unable to monitor compliance with the Federal tax rules related to Form 1099-L</w:t>
      </w:r>
      <w:r>
        <w:rPr>
          <w:rFonts w:ascii="Times New Roman" w:hAnsi="Times New Roman"/>
        </w:rPr>
        <w:t>PS</w:t>
      </w:r>
      <w:r w:rsidRPr="0051788E">
        <w:rPr>
          <w:rFonts w:ascii="Times New Roman" w:hAnsi="Times New Roman"/>
        </w:rPr>
        <w:t>, thereby jeopardizing the ability of the IRS to meet its mission.</w:t>
      </w:r>
    </w:p>
    <w:p w:rsidR="0051788E" w:rsidRPr="007B4A04" w:rsidP="006D7C18" w14:paraId="379A5F6E" w14:textId="77777777">
      <w:pPr>
        <w:ind w:left="720"/>
        <w:rPr>
          <w:rFonts w:ascii="Times New Roman" w:hAnsi="Times New Roman"/>
        </w:rPr>
      </w:pP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FD0A27" w:rsidP="00A04C3D" w14:paraId="0E5AC880" w14:textId="6DC8F3FC">
      <w:pPr>
        <w:ind w:left="720"/>
        <w:rPr>
          <w:rFonts w:ascii="Times New Roman" w:hAnsi="Times New Roman"/>
        </w:rPr>
      </w:pPr>
      <w:bookmarkStart w:id="0" w:name="_Hlk133482699"/>
      <w:r w:rsidRPr="007937F6">
        <w:rPr>
          <w:rFonts w:ascii="Times New Roman" w:hAnsi="Times New Roman"/>
        </w:rPr>
        <w:t>We received no comments during the comment period in response to the Federal Register notice (9</w:t>
      </w:r>
      <w:r w:rsidRPr="007937F6" w:rsidR="0051788E">
        <w:rPr>
          <w:rFonts w:ascii="Times New Roman" w:hAnsi="Times New Roman"/>
        </w:rPr>
        <w:t>1</w:t>
      </w:r>
      <w:r w:rsidRPr="007937F6">
        <w:rPr>
          <w:rFonts w:ascii="Times New Roman" w:hAnsi="Times New Roman"/>
        </w:rPr>
        <w:t xml:space="preserve"> FR </w:t>
      </w:r>
      <w:r w:rsidRPr="007937F6" w:rsidR="00F543CC">
        <w:rPr>
          <w:rFonts w:ascii="Times New Roman" w:hAnsi="Times New Roman"/>
        </w:rPr>
        <w:t>17836</w:t>
      </w:r>
      <w:r w:rsidRPr="007937F6">
        <w:rPr>
          <w:rFonts w:ascii="Times New Roman" w:hAnsi="Times New Roman"/>
        </w:rPr>
        <w:t xml:space="preserve">), dated </w:t>
      </w:r>
      <w:r w:rsidRPr="007937F6" w:rsidR="00F543CC">
        <w:rPr>
          <w:rFonts w:ascii="Times New Roman" w:hAnsi="Times New Roman"/>
        </w:rPr>
        <w:t>April</w:t>
      </w:r>
      <w:r w:rsidRPr="007937F6" w:rsidR="00FD0A27">
        <w:rPr>
          <w:rFonts w:ascii="Times New Roman" w:hAnsi="Times New Roman"/>
        </w:rPr>
        <w:t xml:space="preserve"> </w:t>
      </w:r>
      <w:r w:rsidRPr="007937F6" w:rsidR="00F543CC">
        <w:rPr>
          <w:rFonts w:ascii="Times New Roman" w:hAnsi="Times New Roman"/>
        </w:rPr>
        <w:t>8</w:t>
      </w:r>
      <w:r w:rsidRPr="007937F6" w:rsidR="00FD0A27">
        <w:rPr>
          <w:rFonts w:ascii="Times New Roman" w:hAnsi="Times New Roman"/>
        </w:rPr>
        <w:t>,</w:t>
      </w:r>
      <w:r w:rsidRPr="007937F6">
        <w:rPr>
          <w:rFonts w:ascii="Times New Roman" w:hAnsi="Times New Roman"/>
        </w:rPr>
        <w:t xml:space="preserve"> 202</w:t>
      </w:r>
      <w:r w:rsidRPr="007937F6" w:rsidR="0051788E">
        <w:rPr>
          <w:rFonts w:ascii="Times New Roman" w:hAnsi="Times New Roman"/>
        </w:rPr>
        <w:t>6</w:t>
      </w:r>
      <w:r w:rsidRPr="007937F6">
        <w:rPr>
          <w:rFonts w:ascii="Times New Roman" w:hAnsi="Times New Roman"/>
        </w:rPr>
        <w:t>.</w:t>
      </w:r>
    </w:p>
    <w:bookmarkEnd w:id="0"/>
    <w:p w:rsidR="00A04C3D" w:rsidRPr="00A04C3D" w:rsidP="00FD0A27"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2C646956">
      <w:pPr>
        <w:widowControl/>
        <w:ind w:left="720"/>
        <w:rPr>
          <w:rFonts w:ascii="Times New Roman" w:hAnsi="Times New Roman"/>
        </w:rPr>
      </w:pPr>
      <w:r w:rsidRPr="000D306E">
        <w:rPr>
          <w:rFonts w:ascii="Times New Roman" w:hAnsi="Times New Roman"/>
        </w:rPr>
        <w:t xml:space="preserve">A privacy impact assessment (PIA) has been conducted for information collected under this request as part of the “Information Returns Master-file (IRMF)” and “Information </w:t>
      </w:r>
      <w:r w:rsidRPr="000D306E">
        <w:rPr>
          <w:rFonts w:ascii="Times New Roman" w:hAnsi="Times New Roman"/>
        </w:rPr>
        <w:t>Returns Processing (IRP)” systems. A Privacy Act System of Records notice (SORN) has been issued for these systems under Treasury/IRS 22.061</w:t>
      </w:r>
      <w:r w:rsidR="00222D3E">
        <w:rPr>
          <w:rFonts w:ascii="Times New Roman" w:hAnsi="Times New Roman"/>
        </w:rPr>
        <w:t xml:space="preserve"> - </w:t>
      </w:r>
      <w:r w:rsidRPr="000D306E">
        <w:rPr>
          <w:rFonts w:ascii="Times New Roman" w:hAnsi="Times New Roman"/>
        </w:rPr>
        <w:t xml:space="preserve">Information Return Master File (IRMF); </w:t>
      </w:r>
      <w:r w:rsidRPr="006D7C18" w:rsidR="006D7C18">
        <w:rPr>
          <w:rFonts w:ascii="Times New Roman" w:hAnsi="Times New Roman"/>
        </w:rPr>
        <w:t>IRS 24.030</w:t>
      </w:r>
      <w:r w:rsidR="00222D3E">
        <w:rPr>
          <w:rFonts w:ascii="Times New Roman" w:hAnsi="Times New Roman"/>
        </w:rPr>
        <w:t xml:space="preserve"> - </w:t>
      </w:r>
      <w:r w:rsidRPr="006D7C18" w:rsidR="006D7C18">
        <w:rPr>
          <w:rFonts w:ascii="Times New Roman" w:hAnsi="Times New Roman"/>
        </w:rPr>
        <w:t>Customer Account Data Engine (CADE) Individual Master File; IRS 24.046 - CADE Business Master File (BMF); IRS 34.037 - IRS Audit Trail and Security Records System. The Internal Revenue Service PIA’s can be found at</w:t>
      </w:r>
      <w:r w:rsidR="006D7C18">
        <w:rPr>
          <w:rFonts w:ascii="Times New Roman" w:hAnsi="Times New Roman"/>
        </w:rPr>
        <w:t xml:space="preserve">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51788E" w:rsidP="00B21FCD" w14:paraId="3F042068" w14:textId="77777777">
      <w:pPr>
        <w:widowControl/>
        <w:ind w:left="720"/>
        <w:rPr>
          <w:rFonts w:ascii="Times New Roman" w:hAnsi="Times New Roman"/>
        </w:rPr>
      </w:pPr>
    </w:p>
    <w:p w:rsidR="00292929" w:rsidP="00292929" w14:paraId="7EF74793" w14:textId="5F55EE4A">
      <w:pPr>
        <w:widowControl/>
        <w:ind w:left="720"/>
        <w:rPr>
          <w:rFonts w:ascii="Times New Roman" w:hAnsi="Times New Roman"/>
        </w:rPr>
      </w:pPr>
      <w:r w:rsidRPr="0051788E">
        <w:rPr>
          <w:rFonts w:ascii="Times New Roman" w:hAnsi="Times New Roman"/>
        </w:rPr>
        <w:t>The Privacy Act statement associated with this attachment is listed in the</w:t>
      </w:r>
      <w:r w:rsidR="007E4B5D">
        <w:rPr>
          <w:rFonts w:ascii="Times New Roman" w:hAnsi="Times New Roman"/>
        </w:rPr>
        <w:t xml:space="preserve"> General I</w:t>
      </w:r>
      <w:r w:rsidRPr="0051788E">
        <w:rPr>
          <w:rFonts w:ascii="Times New Roman" w:hAnsi="Times New Roman"/>
        </w:rPr>
        <w:t>nstructions</w:t>
      </w:r>
      <w:r w:rsidR="007E4B5D">
        <w:rPr>
          <w:rFonts w:ascii="Times New Roman" w:hAnsi="Times New Roman"/>
        </w:rPr>
        <w:t xml:space="preserve"> for Certain Information Returns</w:t>
      </w:r>
      <w:r w:rsidRPr="0051788E">
        <w:rPr>
          <w:rFonts w:ascii="Times New Roman" w:hAnsi="Times New Roman"/>
        </w:rPr>
        <w:t>.</w:t>
      </w:r>
    </w:p>
    <w:p w:rsidR="0051788E" w:rsidRPr="00292929" w:rsidP="00292929" w14:paraId="0871CC96" w14:textId="77777777">
      <w:pPr>
        <w:widowControl/>
        <w:ind w:left="720"/>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FB1F2E" w:rsidRPr="0092734B" w:rsidP="00D3479B" w14:paraId="1067E06B" w14:textId="2329D81E">
      <w:pPr>
        <w:widowControl/>
        <w:ind w:left="720"/>
        <w:rPr>
          <w:rFonts w:ascii="Times New Roman" w:hAnsi="Times New Roman"/>
        </w:rPr>
      </w:pPr>
      <w:r w:rsidRPr="0092734B">
        <w:rPr>
          <w:rFonts w:ascii="Times New Roman" w:hAnsi="Times New Roman"/>
        </w:rPr>
        <w:t xml:space="preserve">Respondents use Form </w:t>
      </w:r>
      <w:r w:rsidRPr="0092734B" w:rsidR="00747F02">
        <w:rPr>
          <w:rFonts w:ascii="Times New Roman" w:hAnsi="Times New Roman"/>
        </w:rPr>
        <w:t>1099-LPS</w:t>
      </w:r>
      <w:r w:rsidRPr="0092734B">
        <w:rPr>
          <w:rFonts w:ascii="Times New Roman" w:hAnsi="Times New Roman"/>
        </w:rPr>
        <w:t xml:space="preserve"> to</w:t>
      </w:r>
      <w:r w:rsidRPr="0092734B" w:rsidR="00747F02">
        <w:t xml:space="preserve"> </w:t>
      </w:r>
      <w:r w:rsidRPr="0092734B" w:rsidR="00747F02">
        <w:rPr>
          <w:rFonts w:ascii="Times New Roman" w:hAnsi="Times New Roman"/>
        </w:rPr>
        <w:t>report certified long-term care insurance coverage for any purchaser to whom they have provided a long-term care premium statement</w:t>
      </w:r>
      <w:r w:rsidRPr="0092734B">
        <w:rPr>
          <w:rFonts w:ascii="Times New Roman" w:hAnsi="Times New Roman"/>
        </w:rPr>
        <w:t xml:space="preserve">. IRS anticipates </w:t>
      </w:r>
      <w:r w:rsidRPr="0092734B" w:rsidR="00F543CC">
        <w:rPr>
          <w:rFonts w:ascii="Times New Roman" w:hAnsi="Times New Roman"/>
        </w:rPr>
        <w:t>75</w:t>
      </w:r>
      <w:r w:rsidRPr="0092734B">
        <w:rPr>
          <w:rFonts w:ascii="Times New Roman" w:hAnsi="Times New Roman"/>
        </w:rPr>
        <w:t xml:space="preserve"> respondents will take </w:t>
      </w:r>
      <w:r w:rsidRPr="0092734B" w:rsidR="00FB3E13">
        <w:rPr>
          <w:rFonts w:ascii="Times New Roman" w:hAnsi="Times New Roman"/>
        </w:rPr>
        <w:t>0</w:t>
      </w:r>
      <w:r w:rsidRPr="0092734B" w:rsidR="006D7C18">
        <w:rPr>
          <w:rFonts w:ascii="Times New Roman" w:hAnsi="Times New Roman"/>
        </w:rPr>
        <w:t>.</w:t>
      </w:r>
      <w:r w:rsidRPr="0092734B" w:rsidR="00747F02">
        <w:rPr>
          <w:rFonts w:ascii="Times New Roman" w:hAnsi="Times New Roman"/>
        </w:rPr>
        <w:t>2</w:t>
      </w:r>
      <w:r w:rsidRPr="0092734B">
        <w:rPr>
          <w:rFonts w:ascii="Times New Roman" w:hAnsi="Times New Roman"/>
        </w:rPr>
        <w:t xml:space="preserve"> hours to complete Form </w:t>
      </w:r>
      <w:r w:rsidRPr="0092734B" w:rsidR="00747F02">
        <w:rPr>
          <w:rFonts w:ascii="Times New Roman" w:hAnsi="Times New Roman"/>
        </w:rPr>
        <w:t>1099-LPS</w:t>
      </w:r>
      <w:r w:rsidRPr="0092734B">
        <w:rPr>
          <w:rFonts w:ascii="Times New Roman" w:hAnsi="Times New Roman"/>
        </w:rPr>
        <w:t xml:space="preserve"> for a total of </w:t>
      </w:r>
      <w:r w:rsidRPr="0092734B" w:rsidR="0092734B">
        <w:rPr>
          <w:rFonts w:ascii="Times New Roman" w:hAnsi="Times New Roman"/>
        </w:rPr>
        <w:t>1,500</w:t>
      </w:r>
      <w:r w:rsidRPr="0092734B">
        <w:rPr>
          <w:rFonts w:ascii="Times New Roman" w:hAnsi="Times New Roman"/>
        </w:rPr>
        <w:t xml:space="preserve"> annual hours. </w:t>
      </w:r>
    </w:p>
    <w:p w:rsidR="00D3479B" w:rsidRPr="0092734B" w:rsidP="00D3479B" w14:paraId="3FA495E2" w14:textId="48556DF3">
      <w:pPr>
        <w:widowControl/>
        <w:ind w:left="720"/>
        <w:rPr>
          <w:rFonts w:ascii="Times New Roman" w:hAnsi="Times New Roman"/>
        </w:rPr>
      </w:pPr>
      <w:r w:rsidRPr="0092734B">
        <w:rPr>
          <w:rFonts w:ascii="Times New Roman" w:hAnsi="Times New Roman"/>
        </w:rPr>
        <w:t xml:space="preserve"> </w:t>
      </w:r>
    </w:p>
    <w:p w:rsidR="00D3479B" w:rsidRPr="0092734B" w:rsidP="00D3479B" w14:paraId="33F0723D" w14:textId="2816E7B4">
      <w:pPr>
        <w:widowControl/>
        <w:ind w:left="720"/>
        <w:rPr>
          <w:rFonts w:ascii="Times New Roman" w:hAnsi="Times New Roman"/>
        </w:rPr>
      </w:pPr>
      <w:r w:rsidRPr="0092734B">
        <w:rPr>
          <w:rFonts w:ascii="Times New Roman" w:hAnsi="Times New Roman"/>
        </w:rPr>
        <w:t>The burden estimate is as follows:</w:t>
      </w:r>
    </w:p>
    <w:p w:rsidR="006E7C92" w:rsidRPr="0092734B" w:rsidP="006E7C92" w14:paraId="10143AAB" w14:textId="77777777">
      <w:pPr>
        <w:widowControl/>
        <w:rPr>
          <w:rFonts w:ascii="Times New Roman" w:hAnsi="Times New Roman"/>
        </w:rPr>
      </w:pP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414"/>
        <w:gridCol w:w="1341"/>
        <w:gridCol w:w="1255"/>
        <w:gridCol w:w="1316"/>
        <w:gridCol w:w="1247"/>
        <w:gridCol w:w="1260"/>
      </w:tblGrid>
      <w:tr w14:paraId="7C39481E" w14:textId="77777777" w:rsidTr="00503D2B">
        <w:tblPrEx>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17" w:type="dxa"/>
            <w:vAlign w:val="bottom"/>
          </w:tcPr>
          <w:p w:rsidR="00F51090" w:rsidRPr="0092734B" w:rsidP="00E022EC" w14:paraId="1388A3A7"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Authority</w:t>
            </w:r>
          </w:p>
        </w:tc>
        <w:tc>
          <w:tcPr>
            <w:tcW w:w="1414" w:type="dxa"/>
            <w:vAlign w:val="bottom"/>
          </w:tcPr>
          <w:p w:rsidR="00F51090" w:rsidRPr="0092734B" w:rsidP="00E022EC" w14:paraId="7BFB067F"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Description</w:t>
            </w:r>
          </w:p>
        </w:tc>
        <w:tc>
          <w:tcPr>
            <w:tcW w:w="1341" w:type="dxa"/>
            <w:vAlign w:val="bottom"/>
          </w:tcPr>
          <w:p w:rsidR="00F51090" w:rsidRPr="0092734B" w:rsidP="00E022EC" w14:paraId="68352541"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 of Respondents</w:t>
            </w:r>
          </w:p>
        </w:tc>
        <w:tc>
          <w:tcPr>
            <w:tcW w:w="1255" w:type="dxa"/>
            <w:vAlign w:val="bottom"/>
          </w:tcPr>
          <w:p w:rsidR="00F51090" w:rsidRPr="0092734B" w:rsidP="00E022EC" w14:paraId="59E316D6" w14:textId="1054427B">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 xml:space="preserve"># </w:t>
            </w:r>
            <w:r w:rsidRPr="0092734B" w:rsidR="007D1C23">
              <w:rPr>
                <w:rFonts w:ascii="Times New Roman" w:hAnsi="Times New Roman"/>
                <w:bCs/>
                <w:sz w:val="22"/>
                <w:szCs w:val="22"/>
              </w:rPr>
              <w:t xml:space="preserve">of </w:t>
            </w:r>
            <w:r w:rsidRPr="0092734B">
              <w:rPr>
                <w:rFonts w:ascii="Times New Roman" w:hAnsi="Times New Roman"/>
                <w:bCs/>
                <w:sz w:val="22"/>
                <w:szCs w:val="22"/>
              </w:rPr>
              <w:t>Responses per Respondent</w:t>
            </w:r>
          </w:p>
        </w:tc>
        <w:tc>
          <w:tcPr>
            <w:tcW w:w="1316" w:type="dxa"/>
            <w:vAlign w:val="bottom"/>
          </w:tcPr>
          <w:p w:rsidR="00F51090" w:rsidRPr="0092734B" w:rsidP="00E022EC" w14:paraId="77F002FB"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Annual Responses</w:t>
            </w:r>
          </w:p>
        </w:tc>
        <w:tc>
          <w:tcPr>
            <w:tcW w:w="1247" w:type="dxa"/>
            <w:vAlign w:val="bottom"/>
          </w:tcPr>
          <w:p w:rsidR="00F51090" w:rsidRPr="0092734B" w:rsidP="00E022EC" w14:paraId="4DAF3EF5"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Hours per Response</w:t>
            </w:r>
          </w:p>
        </w:tc>
        <w:tc>
          <w:tcPr>
            <w:tcW w:w="1260" w:type="dxa"/>
            <w:vAlign w:val="bottom"/>
          </w:tcPr>
          <w:p w:rsidR="00F51090" w:rsidRPr="0092734B" w:rsidP="00E022EC" w14:paraId="570F2CDF" w14:textId="77777777">
            <w:pPr>
              <w:keepNext/>
              <w:keepLines/>
              <w:numPr>
                <w:ilvl w:val="12"/>
                <w:numId w:val="0"/>
              </w:numPr>
              <w:jc w:val="center"/>
              <w:rPr>
                <w:rFonts w:ascii="Times New Roman" w:hAnsi="Times New Roman"/>
                <w:bCs/>
                <w:sz w:val="22"/>
                <w:szCs w:val="22"/>
              </w:rPr>
            </w:pPr>
            <w:r w:rsidRPr="0092734B">
              <w:rPr>
                <w:rFonts w:ascii="Times New Roman" w:hAnsi="Times New Roman"/>
                <w:bCs/>
                <w:sz w:val="22"/>
                <w:szCs w:val="22"/>
              </w:rPr>
              <w:t>Total Burden</w:t>
            </w:r>
          </w:p>
        </w:tc>
      </w:tr>
      <w:tr w14:paraId="04D65013" w14:textId="77777777" w:rsidTr="00503D2B">
        <w:tblPrEx>
          <w:tblW w:w="9450" w:type="dxa"/>
          <w:tblInd w:w="175" w:type="dxa"/>
          <w:tblLayout w:type="fixed"/>
          <w:tblLook w:val="04A0"/>
        </w:tblPrEx>
        <w:tc>
          <w:tcPr>
            <w:tcW w:w="1617" w:type="dxa"/>
          </w:tcPr>
          <w:p w:rsidR="001529E7" w:rsidRPr="0092734B" w:rsidP="001529E7" w14:paraId="3C909053" w14:textId="4F10905A">
            <w:pPr>
              <w:keepNext/>
              <w:keepLines/>
              <w:numPr>
                <w:ilvl w:val="12"/>
                <w:numId w:val="0"/>
              </w:numPr>
              <w:jc w:val="center"/>
              <w:rPr>
                <w:rFonts w:ascii="Times New Roman" w:hAnsi="Times New Roman"/>
                <w:sz w:val="22"/>
                <w:szCs w:val="22"/>
              </w:rPr>
            </w:pPr>
            <w:r w:rsidRPr="0092734B">
              <w:rPr>
                <w:rFonts w:ascii="Times New Roman" w:hAnsi="Times New Roman"/>
              </w:rPr>
              <w:t>IRC § 401(a)(39)</w:t>
            </w:r>
            <w:r w:rsidRPr="0092734B" w:rsidR="00503D2B">
              <w:rPr>
                <w:rFonts w:ascii="Times New Roman" w:hAnsi="Times New Roman"/>
              </w:rPr>
              <w:t>(E)</w:t>
            </w:r>
          </w:p>
        </w:tc>
        <w:tc>
          <w:tcPr>
            <w:tcW w:w="1414" w:type="dxa"/>
          </w:tcPr>
          <w:p w:rsidR="001529E7" w:rsidRPr="0092734B" w:rsidP="001529E7" w14:paraId="10FD8983" w14:textId="3D041D21">
            <w:pPr>
              <w:keepNext/>
              <w:keepLines/>
              <w:numPr>
                <w:ilvl w:val="12"/>
                <w:numId w:val="0"/>
              </w:numPr>
              <w:jc w:val="center"/>
              <w:rPr>
                <w:rFonts w:ascii="Times New Roman" w:hAnsi="Times New Roman"/>
                <w:sz w:val="22"/>
                <w:szCs w:val="22"/>
              </w:rPr>
            </w:pPr>
            <w:r w:rsidRPr="0092734B">
              <w:rPr>
                <w:rFonts w:ascii="Times New Roman" w:hAnsi="Times New Roman"/>
              </w:rPr>
              <w:t>Form 1099-LPS</w:t>
            </w:r>
          </w:p>
        </w:tc>
        <w:tc>
          <w:tcPr>
            <w:tcW w:w="1341" w:type="dxa"/>
          </w:tcPr>
          <w:p w:rsidR="001529E7" w:rsidRPr="0092734B" w:rsidP="001529E7" w14:paraId="69911365" w14:textId="1AEBD56C">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75</w:t>
            </w:r>
          </w:p>
        </w:tc>
        <w:tc>
          <w:tcPr>
            <w:tcW w:w="1255" w:type="dxa"/>
          </w:tcPr>
          <w:p w:rsidR="001529E7" w:rsidRPr="0092734B" w:rsidP="001529E7" w14:paraId="7DA1FB5B" w14:textId="566A8F9B">
            <w:pPr>
              <w:keepNext/>
              <w:keepLines/>
              <w:numPr>
                <w:ilvl w:val="12"/>
                <w:numId w:val="0"/>
              </w:numPr>
              <w:jc w:val="center"/>
              <w:rPr>
                <w:rFonts w:ascii="Times New Roman" w:hAnsi="Times New Roman"/>
                <w:sz w:val="22"/>
                <w:szCs w:val="22"/>
              </w:rPr>
            </w:pPr>
            <w:r w:rsidRPr="0092734B">
              <w:rPr>
                <w:rFonts w:ascii="Times New Roman" w:hAnsi="Times New Roman"/>
              </w:rPr>
              <w:t>100</w:t>
            </w:r>
          </w:p>
        </w:tc>
        <w:tc>
          <w:tcPr>
            <w:tcW w:w="1316" w:type="dxa"/>
          </w:tcPr>
          <w:p w:rsidR="001529E7" w:rsidRPr="0092734B" w:rsidP="001529E7" w14:paraId="4A34C0F4" w14:textId="3BE71216">
            <w:pPr>
              <w:keepNext/>
              <w:keepLines/>
              <w:numPr>
                <w:ilvl w:val="12"/>
                <w:numId w:val="0"/>
              </w:numPr>
              <w:jc w:val="center"/>
              <w:rPr>
                <w:rFonts w:ascii="Times New Roman" w:hAnsi="Times New Roman"/>
                <w:sz w:val="22"/>
                <w:szCs w:val="22"/>
              </w:rPr>
            </w:pPr>
            <w:r w:rsidRPr="0092734B">
              <w:rPr>
                <w:rFonts w:ascii="Times New Roman" w:hAnsi="Times New Roman"/>
              </w:rPr>
              <w:t>7,500</w:t>
            </w:r>
          </w:p>
        </w:tc>
        <w:tc>
          <w:tcPr>
            <w:tcW w:w="1247" w:type="dxa"/>
          </w:tcPr>
          <w:p w:rsidR="001529E7" w:rsidRPr="0092734B" w:rsidP="001529E7" w14:paraId="64DB23E2" w14:textId="48561C19">
            <w:pPr>
              <w:keepNext/>
              <w:keepLines/>
              <w:numPr>
                <w:ilvl w:val="12"/>
                <w:numId w:val="0"/>
              </w:numPr>
              <w:jc w:val="center"/>
              <w:rPr>
                <w:rFonts w:ascii="Times New Roman" w:hAnsi="Times New Roman"/>
                <w:sz w:val="22"/>
                <w:szCs w:val="22"/>
              </w:rPr>
            </w:pPr>
            <w:r w:rsidRPr="0092734B">
              <w:rPr>
                <w:rFonts w:ascii="Times New Roman" w:hAnsi="Times New Roman"/>
              </w:rPr>
              <w:t>12 mins.</w:t>
            </w:r>
          </w:p>
        </w:tc>
        <w:tc>
          <w:tcPr>
            <w:tcW w:w="1260" w:type="dxa"/>
          </w:tcPr>
          <w:p w:rsidR="001529E7" w:rsidRPr="0092734B" w:rsidP="001529E7" w14:paraId="45FC8DBC" w14:textId="16F281A2">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1,500</w:t>
            </w:r>
          </w:p>
        </w:tc>
      </w:tr>
      <w:tr w14:paraId="3EFE4030" w14:textId="77777777" w:rsidTr="00503D2B">
        <w:tblPrEx>
          <w:tblW w:w="9450" w:type="dxa"/>
          <w:tblInd w:w="175" w:type="dxa"/>
          <w:tblLayout w:type="fixed"/>
          <w:tblLook w:val="04A0"/>
        </w:tblPrEx>
        <w:tc>
          <w:tcPr>
            <w:tcW w:w="1617" w:type="dxa"/>
            <w:vAlign w:val="bottom"/>
          </w:tcPr>
          <w:p w:rsidR="00F51090" w:rsidRPr="0092734B" w:rsidP="009B7BBF" w14:paraId="42699059" w14:textId="77777777">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Totals</w:t>
            </w:r>
          </w:p>
        </w:tc>
        <w:tc>
          <w:tcPr>
            <w:tcW w:w="1414" w:type="dxa"/>
            <w:vAlign w:val="bottom"/>
          </w:tcPr>
          <w:p w:rsidR="00F51090" w:rsidRPr="0092734B"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92734B" w:rsidP="009B7BBF" w14:paraId="5A02F400" w14:textId="4EA86F71">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75</w:t>
            </w:r>
          </w:p>
        </w:tc>
        <w:tc>
          <w:tcPr>
            <w:tcW w:w="1255" w:type="dxa"/>
            <w:vAlign w:val="bottom"/>
          </w:tcPr>
          <w:p w:rsidR="00F51090" w:rsidRPr="0092734B" w:rsidP="009B7BBF" w14:paraId="3E57942B" w14:textId="77777777">
            <w:pPr>
              <w:keepNext/>
              <w:keepLines/>
              <w:numPr>
                <w:ilvl w:val="12"/>
                <w:numId w:val="0"/>
              </w:numPr>
              <w:jc w:val="center"/>
              <w:rPr>
                <w:rFonts w:ascii="Times New Roman" w:hAnsi="Times New Roman"/>
                <w:sz w:val="22"/>
                <w:szCs w:val="22"/>
              </w:rPr>
            </w:pPr>
          </w:p>
        </w:tc>
        <w:tc>
          <w:tcPr>
            <w:tcW w:w="1316" w:type="dxa"/>
            <w:vAlign w:val="bottom"/>
          </w:tcPr>
          <w:p w:rsidR="00F51090" w:rsidRPr="0092734B" w:rsidP="009B7BBF" w14:paraId="40DC0C3D" w14:textId="590CC642">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7,500</w:t>
            </w:r>
          </w:p>
        </w:tc>
        <w:tc>
          <w:tcPr>
            <w:tcW w:w="1247" w:type="dxa"/>
            <w:vAlign w:val="bottom"/>
          </w:tcPr>
          <w:p w:rsidR="00F51090" w:rsidRPr="0092734B" w:rsidP="009B7BBF" w14:paraId="54CE5919" w14:textId="77777777">
            <w:pPr>
              <w:keepNext/>
              <w:keepLines/>
              <w:numPr>
                <w:ilvl w:val="12"/>
                <w:numId w:val="0"/>
              </w:numPr>
              <w:jc w:val="center"/>
              <w:rPr>
                <w:rFonts w:ascii="Times New Roman" w:hAnsi="Times New Roman"/>
                <w:sz w:val="22"/>
                <w:szCs w:val="22"/>
              </w:rPr>
            </w:pPr>
          </w:p>
        </w:tc>
        <w:tc>
          <w:tcPr>
            <w:tcW w:w="1260" w:type="dxa"/>
            <w:vAlign w:val="bottom"/>
          </w:tcPr>
          <w:p w:rsidR="00F51090" w:rsidRPr="006F1A5A" w:rsidP="009B7BBF" w14:paraId="0B3D053A" w14:textId="764A7F91">
            <w:pPr>
              <w:keepNext/>
              <w:keepLines/>
              <w:numPr>
                <w:ilvl w:val="12"/>
                <w:numId w:val="0"/>
              </w:numPr>
              <w:jc w:val="center"/>
              <w:rPr>
                <w:rFonts w:ascii="Times New Roman" w:hAnsi="Times New Roman"/>
                <w:sz w:val="22"/>
                <w:szCs w:val="22"/>
              </w:rPr>
            </w:pPr>
            <w:r w:rsidRPr="0092734B">
              <w:rPr>
                <w:rFonts w:ascii="Times New Roman" w:hAnsi="Times New Roman"/>
                <w:sz w:val="22"/>
                <w:szCs w:val="22"/>
              </w:rPr>
              <w:t>1,500</w:t>
            </w:r>
          </w:p>
        </w:tc>
      </w:tr>
    </w:tbl>
    <w:p w:rsidR="007D1C23" w:rsidP="00FC46F3" w14:paraId="716F3C4C" w14:textId="77777777">
      <w:pPr>
        <w:widowControl/>
        <w:tabs>
          <w:tab w:val="left" w:pos="-1440"/>
        </w:tabs>
        <w:ind w:left="720" w:hanging="720"/>
        <w:rPr>
          <w:rFonts w:ascii="Times New Roman" w:hAnsi="Times New Roman"/>
          <w:b/>
          <w:bCs/>
        </w:rPr>
      </w:pP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29B68CE8">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w:t>
      </w:r>
      <w:r w:rsidR="00FB3E13">
        <w:rPr>
          <w:rFonts w:ascii="Times New Roman" w:hAnsi="Times New Roman"/>
        </w:rPr>
        <w:t xml:space="preserve"> </w:t>
      </w:r>
      <w:r w:rsidRPr="00C31A4C" w:rsidR="00C31A4C">
        <w:rPr>
          <w:rFonts w:ascii="Times New Roman" w:hAnsi="Times New Roman"/>
        </w:rPr>
        <w:t>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812555" w:rsidP="006C5586" w14:paraId="543F6F6F" w14:textId="61BC57C1">
      <w:pPr>
        <w:widowControl/>
        <w:ind w:left="720"/>
        <w:rPr>
          <w:rFonts w:ascii="Times New Roman" w:hAnsi="Times New Roman"/>
        </w:rPr>
      </w:pPr>
      <w:r w:rsidRPr="006C5586">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w:t>
      </w:r>
      <w:r w:rsidR="00FB3E13">
        <w:rPr>
          <w:rFonts w:ascii="Times New Roman" w:hAnsi="Times New Roman"/>
        </w:rPr>
        <w:t xml:space="preserve"> </w:t>
      </w:r>
      <w:r w:rsidRPr="006C5586">
        <w:rPr>
          <w:rFonts w:ascii="Times New Roman" w:hAnsi="Times New Roman"/>
        </w:rPr>
        <w:t xml:space="preserve">The costs to the Federal government will vary depending on whether the IRS will incur printing or copying costs </w:t>
      </w:r>
      <w:r w:rsidRPr="006C5586">
        <w:rPr>
          <w:rFonts w:ascii="Times New Roman" w:hAnsi="Times New Roman"/>
        </w:rPr>
        <w:t>for all the materials.</w:t>
      </w:r>
      <w:r w:rsidR="00FB3E13">
        <w:rPr>
          <w:rFonts w:ascii="Times New Roman" w:hAnsi="Times New Roman"/>
        </w:rPr>
        <w:t xml:space="preserve"> </w:t>
      </w:r>
      <w:r w:rsidRPr="006C5586">
        <w:rPr>
          <w:rFonts w:ascii="Times New Roman" w:hAnsi="Times New Roman"/>
        </w:rPr>
        <w:t>These costs do not include any activities such as taxpayer assistance and enforcement. IRS estimates have determined that the cost of developing, printing, distribution and overhead for the form is $16,416.</w:t>
      </w:r>
    </w:p>
    <w:p w:rsidR="006C5586" w:rsidRPr="007B4A04" w:rsidP="006C5586" w14:paraId="3B969102" w14:textId="77777777">
      <w:pPr>
        <w:widowControl/>
        <w:ind w:left="720"/>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C25AEC" w:rsidP="00451146" w14:paraId="0C9CBE13" w14:textId="3F1BF69D">
      <w:pPr>
        <w:widowControl/>
        <w:ind w:left="720"/>
        <w:rPr>
          <w:rFonts w:ascii="Times New Roman" w:hAnsi="Times New Roman"/>
        </w:rPr>
      </w:pPr>
      <w:r>
        <w:rPr>
          <w:rFonts w:ascii="Times New Roman" w:hAnsi="Times New Roman"/>
        </w:rPr>
        <w:t>This is a new collection due to enactment of Section 334 of the SECURE 2.0 Act.</w:t>
      </w:r>
    </w:p>
    <w:p w:rsidR="00503D2B" w:rsidRPr="007B4A04" w:rsidP="00451146" w14:paraId="17FE1725"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17F745D">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w:t>
      </w:r>
      <w:r>
        <w:rPr>
          <w:rFonts w:ascii="Times New Roman" w:hAnsi="Times New Roman"/>
        </w:rPr>
        <w:t xml:space="preserve"> expire</w:t>
      </w:r>
      <w:r w:rsidR="00E75704">
        <w:rPr>
          <w:rFonts w:ascii="Times New Roman" w:hAnsi="Times New Roman"/>
        </w:rPr>
        <w:t>s</w:t>
      </w:r>
      <w:r>
        <w:rPr>
          <w:rFonts w:ascii="Times New Roman" w:hAnsi="Times New Roman"/>
        </w:rPr>
        <w:t xml:space="preserv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662C2"/>
    <w:rsid w:val="000668DE"/>
    <w:rsid w:val="000723F0"/>
    <w:rsid w:val="000B6456"/>
    <w:rsid w:val="000C012F"/>
    <w:rsid w:val="000C1A92"/>
    <w:rsid w:val="000C27C5"/>
    <w:rsid w:val="000C3DED"/>
    <w:rsid w:val="000C4DE2"/>
    <w:rsid w:val="000C74B9"/>
    <w:rsid w:val="000D306E"/>
    <w:rsid w:val="000D7631"/>
    <w:rsid w:val="000D7805"/>
    <w:rsid w:val="000E102C"/>
    <w:rsid w:val="000E5B66"/>
    <w:rsid w:val="000F5374"/>
    <w:rsid w:val="000F7719"/>
    <w:rsid w:val="00136B3A"/>
    <w:rsid w:val="00150E6A"/>
    <w:rsid w:val="00151BC1"/>
    <w:rsid w:val="001529E7"/>
    <w:rsid w:val="00154ACC"/>
    <w:rsid w:val="001658A5"/>
    <w:rsid w:val="00167DCF"/>
    <w:rsid w:val="0017781C"/>
    <w:rsid w:val="00181ECA"/>
    <w:rsid w:val="001900BD"/>
    <w:rsid w:val="001910B9"/>
    <w:rsid w:val="00196171"/>
    <w:rsid w:val="001C0C5A"/>
    <w:rsid w:val="001C0FE4"/>
    <w:rsid w:val="001D21B0"/>
    <w:rsid w:val="001E01C4"/>
    <w:rsid w:val="001E1DD1"/>
    <w:rsid w:val="001F22F5"/>
    <w:rsid w:val="002046CD"/>
    <w:rsid w:val="00205241"/>
    <w:rsid w:val="00222312"/>
    <w:rsid w:val="002227AE"/>
    <w:rsid w:val="00222D3E"/>
    <w:rsid w:val="002262D1"/>
    <w:rsid w:val="00231AB8"/>
    <w:rsid w:val="00245779"/>
    <w:rsid w:val="002503C0"/>
    <w:rsid w:val="00254F7D"/>
    <w:rsid w:val="00256AD6"/>
    <w:rsid w:val="00265384"/>
    <w:rsid w:val="00266598"/>
    <w:rsid w:val="00276ED4"/>
    <w:rsid w:val="002807C9"/>
    <w:rsid w:val="0028285B"/>
    <w:rsid w:val="00291663"/>
    <w:rsid w:val="00291AD0"/>
    <w:rsid w:val="00292929"/>
    <w:rsid w:val="002B2ED0"/>
    <w:rsid w:val="002D0FF6"/>
    <w:rsid w:val="002D55BF"/>
    <w:rsid w:val="002D77C5"/>
    <w:rsid w:val="002E1A54"/>
    <w:rsid w:val="002E4753"/>
    <w:rsid w:val="002E5505"/>
    <w:rsid w:val="002F1F88"/>
    <w:rsid w:val="002F6DC5"/>
    <w:rsid w:val="0031058C"/>
    <w:rsid w:val="003126F1"/>
    <w:rsid w:val="003169E1"/>
    <w:rsid w:val="0034555D"/>
    <w:rsid w:val="003459C5"/>
    <w:rsid w:val="0035309D"/>
    <w:rsid w:val="00355737"/>
    <w:rsid w:val="003668FC"/>
    <w:rsid w:val="00367393"/>
    <w:rsid w:val="00372C22"/>
    <w:rsid w:val="003747B4"/>
    <w:rsid w:val="00381597"/>
    <w:rsid w:val="0039000A"/>
    <w:rsid w:val="003A2047"/>
    <w:rsid w:val="003A2142"/>
    <w:rsid w:val="003A6B56"/>
    <w:rsid w:val="003B171E"/>
    <w:rsid w:val="003B17AB"/>
    <w:rsid w:val="003B3328"/>
    <w:rsid w:val="003D0A99"/>
    <w:rsid w:val="003D1E13"/>
    <w:rsid w:val="003D3CE3"/>
    <w:rsid w:val="003F49A4"/>
    <w:rsid w:val="003F4B56"/>
    <w:rsid w:val="003F7022"/>
    <w:rsid w:val="00406513"/>
    <w:rsid w:val="00411A08"/>
    <w:rsid w:val="00417051"/>
    <w:rsid w:val="00420573"/>
    <w:rsid w:val="004211B7"/>
    <w:rsid w:val="0042175A"/>
    <w:rsid w:val="00423E67"/>
    <w:rsid w:val="00433D0D"/>
    <w:rsid w:val="00435505"/>
    <w:rsid w:val="0043787B"/>
    <w:rsid w:val="00437FAD"/>
    <w:rsid w:val="00443626"/>
    <w:rsid w:val="00451146"/>
    <w:rsid w:val="00470E4F"/>
    <w:rsid w:val="00470E87"/>
    <w:rsid w:val="00477585"/>
    <w:rsid w:val="00484907"/>
    <w:rsid w:val="00491420"/>
    <w:rsid w:val="00492E32"/>
    <w:rsid w:val="00495D9B"/>
    <w:rsid w:val="004A7274"/>
    <w:rsid w:val="004B0156"/>
    <w:rsid w:val="004B0DF9"/>
    <w:rsid w:val="004E13E8"/>
    <w:rsid w:val="004F4E7C"/>
    <w:rsid w:val="004F504D"/>
    <w:rsid w:val="0050173F"/>
    <w:rsid w:val="00503D2B"/>
    <w:rsid w:val="00505FC7"/>
    <w:rsid w:val="0050792B"/>
    <w:rsid w:val="00507FDC"/>
    <w:rsid w:val="0051788E"/>
    <w:rsid w:val="00531241"/>
    <w:rsid w:val="00533529"/>
    <w:rsid w:val="00535187"/>
    <w:rsid w:val="005401DA"/>
    <w:rsid w:val="00540CD5"/>
    <w:rsid w:val="00543C72"/>
    <w:rsid w:val="005679E1"/>
    <w:rsid w:val="005769DA"/>
    <w:rsid w:val="0058228F"/>
    <w:rsid w:val="00584153"/>
    <w:rsid w:val="00593614"/>
    <w:rsid w:val="00596E0F"/>
    <w:rsid w:val="005A1CFC"/>
    <w:rsid w:val="005A4B68"/>
    <w:rsid w:val="005A70D9"/>
    <w:rsid w:val="005B0F0F"/>
    <w:rsid w:val="005C0B2C"/>
    <w:rsid w:val="005D0D93"/>
    <w:rsid w:val="005E4FA3"/>
    <w:rsid w:val="005E57FF"/>
    <w:rsid w:val="005F48AE"/>
    <w:rsid w:val="00601765"/>
    <w:rsid w:val="006207F2"/>
    <w:rsid w:val="006232FF"/>
    <w:rsid w:val="00642CF5"/>
    <w:rsid w:val="00651CA4"/>
    <w:rsid w:val="0065485E"/>
    <w:rsid w:val="00661732"/>
    <w:rsid w:val="00675735"/>
    <w:rsid w:val="00682831"/>
    <w:rsid w:val="0068305F"/>
    <w:rsid w:val="0069009F"/>
    <w:rsid w:val="006A6FF5"/>
    <w:rsid w:val="006C5586"/>
    <w:rsid w:val="006C5CE7"/>
    <w:rsid w:val="006D7C18"/>
    <w:rsid w:val="006E6377"/>
    <w:rsid w:val="006E7C92"/>
    <w:rsid w:val="006F15D5"/>
    <w:rsid w:val="006F1A5A"/>
    <w:rsid w:val="00702669"/>
    <w:rsid w:val="007043EB"/>
    <w:rsid w:val="007163C0"/>
    <w:rsid w:val="00721C54"/>
    <w:rsid w:val="00726E11"/>
    <w:rsid w:val="007273C1"/>
    <w:rsid w:val="00731EBD"/>
    <w:rsid w:val="00734809"/>
    <w:rsid w:val="0074626E"/>
    <w:rsid w:val="00747F02"/>
    <w:rsid w:val="00770548"/>
    <w:rsid w:val="00774D93"/>
    <w:rsid w:val="007775D0"/>
    <w:rsid w:val="00783DC8"/>
    <w:rsid w:val="007937F6"/>
    <w:rsid w:val="00794A63"/>
    <w:rsid w:val="007A3CBF"/>
    <w:rsid w:val="007B4A04"/>
    <w:rsid w:val="007B6890"/>
    <w:rsid w:val="007C01D1"/>
    <w:rsid w:val="007C41D0"/>
    <w:rsid w:val="007D1C23"/>
    <w:rsid w:val="007D3BD9"/>
    <w:rsid w:val="007E17FB"/>
    <w:rsid w:val="007E4B5D"/>
    <w:rsid w:val="007F2F19"/>
    <w:rsid w:val="00812555"/>
    <w:rsid w:val="008210F3"/>
    <w:rsid w:val="00822D1B"/>
    <w:rsid w:val="008312F2"/>
    <w:rsid w:val="00837A21"/>
    <w:rsid w:val="008432E0"/>
    <w:rsid w:val="00850119"/>
    <w:rsid w:val="0085089A"/>
    <w:rsid w:val="00850ED6"/>
    <w:rsid w:val="00851BB9"/>
    <w:rsid w:val="008658C5"/>
    <w:rsid w:val="00870E75"/>
    <w:rsid w:val="00872669"/>
    <w:rsid w:val="00873822"/>
    <w:rsid w:val="0089051C"/>
    <w:rsid w:val="00895A02"/>
    <w:rsid w:val="008B1645"/>
    <w:rsid w:val="008D184F"/>
    <w:rsid w:val="008D38F9"/>
    <w:rsid w:val="008D5F8A"/>
    <w:rsid w:val="008E205B"/>
    <w:rsid w:val="008E3C27"/>
    <w:rsid w:val="008E3D2F"/>
    <w:rsid w:val="008E44FB"/>
    <w:rsid w:val="008F2423"/>
    <w:rsid w:val="0090421C"/>
    <w:rsid w:val="009079F5"/>
    <w:rsid w:val="00910941"/>
    <w:rsid w:val="00910CE5"/>
    <w:rsid w:val="00923E4B"/>
    <w:rsid w:val="0092734B"/>
    <w:rsid w:val="00935993"/>
    <w:rsid w:val="009424C4"/>
    <w:rsid w:val="00942D47"/>
    <w:rsid w:val="0095095B"/>
    <w:rsid w:val="00951541"/>
    <w:rsid w:val="0095256B"/>
    <w:rsid w:val="00961FA1"/>
    <w:rsid w:val="009717E1"/>
    <w:rsid w:val="00977520"/>
    <w:rsid w:val="00981219"/>
    <w:rsid w:val="009820AB"/>
    <w:rsid w:val="009822C7"/>
    <w:rsid w:val="00983E73"/>
    <w:rsid w:val="00987234"/>
    <w:rsid w:val="009978F1"/>
    <w:rsid w:val="009A1C47"/>
    <w:rsid w:val="009A1F76"/>
    <w:rsid w:val="009A2DDD"/>
    <w:rsid w:val="009A4E2F"/>
    <w:rsid w:val="009B7BBF"/>
    <w:rsid w:val="009C200C"/>
    <w:rsid w:val="009C42CA"/>
    <w:rsid w:val="009C7797"/>
    <w:rsid w:val="009D3002"/>
    <w:rsid w:val="009D36E5"/>
    <w:rsid w:val="009F2875"/>
    <w:rsid w:val="00A001A9"/>
    <w:rsid w:val="00A00773"/>
    <w:rsid w:val="00A00C73"/>
    <w:rsid w:val="00A04C3D"/>
    <w:rsid w:val="00A14435"/>
    <w:rsid w:val="00A15A49"/>
    <w:rsid w:val="00A240EA"/>
    <w:rsid w:val="00A32F5A"/>
    <w:rsid w:val="00A3421B"/>
    <w:rsid w:val="00A501CE"/>
    <w:rsid w:val="00A673BF"/>
    <w:rsid w:val="00A74705"/>
    <w:rsid w:val="00A749EF"/>
    <w:rsid w:val="00A8436C"/>
    <w:rsid w:val="00A846A4"/>
    <w:rsid w:val="00A85A18"/>
    <w:rsid w:val="00AA3732"/>
    <w:rsid w:val="00AC7501"/>
    <w:rsid w:val="00AD183B"/>
    <w:rsid w:val="00AE7926"/>
    <w:rsid w:val="00AE7B2F"/>
    <w:rsid w:val="00B01ADB"/>
    <w:rsid w:val="00B21FCD"/>
    <w:rsid w:val="00B222E0"/>
    <w:rsid w:val="00B36FE1"/>
    <w:rsid w:val="00BA2CF3"/>
    <w:rsid w:val="00BA593A"/>
    <w:rsid w:val="00BB3BED"/>
    <w:rsid w:val="00BC4EDC"/>
    <w:rsid w:val="00BC5A75"/>
    <w:rsid w:val="00BD6D4E"/>
    <w:rsid w:val="00BD743B"/>
    <w:rsid w:val="00BE001B"/>
    <w:rsid w:val="00BF6F22"/>
    <w:rsid w:val="00C04821"/>
    <w:rsid w:val="00C10CD3"/>
    <w:rsid w:val="00C21434"/>
    <w:rsid w:val="00C22D2C"/>
    <w:rsid w:val="00C25AEC"/>
    <w:rsid w:val="00C2616C"/>
    <w:rsid w:val="00C31A4C"/>
    <w:rsid w:val="00C42847"/>
    <w:rsid w:val="00C50A9E"/>
    <w:rsid w:val="00C62232"/>
    <w:rsid w:val="00C66BAA"/>
    <w:rsid w:val="00C67916"/>
    <w:rsid w:val="00C721C0"/>
    <w:rsid w:val="00C90D02"/>
    <w:rsid w:val="00C9381A"/>
    <w:rsid w:val="00CA1F1A"/>
    <w:rsid w:val="00CA6123"/>
    <w:rsid w:val="00CC14F5"/>
    <w:rsid w:val="00CC3AE0"/>
    <w:rsid w:val="00CD1C06"/>
    <w:rsid w:val="00CD65F2"/>
    <w:rsid w:val="00CE2FF3"/>
    <w:rsid w:val="00CE7803"/>
    <w:rsid w:val="00CE7EB4"/>
    <w:rsid w:val="00CF2794"/>
    <w:rsid w:val="00CF4475"/>
    <w:rsid w:val="00D01E29"/>
    <w:rsid w:val="00D17CDF"/>
    <w:rsid w:val="00D305E2"/>
    <w:rsid w:val="00D3479B"/>
    <w:rsid w:val="00D42522"/>
    <w:rsid w:val="00D4490A"/>
    <w:rsid w:val="00D4545E"/>
    <w:rsid w:val="00D454BF"/>
    <w:rsid w:val="00D52924"/>
    <w:rsid w:val="00D562A5"/>
    <w:rsid w:val="00D56639"/>
    <w:rsid w:val="00D77511"/>
    <w:rsid w:val="00D822AF"/>
    <w:rsid w:val="00D86E61"/>
    <w:rsid w:val="00D916F0"/>
    <w:rsid w:val="00D97EAA"/>
    <w:rsid w:val="00DA37B7"/>
    <w:rsid w:val="00DB6B78"/>
    <w:rsid w:val="00DD35D0"/>
    <w:rsid w:val="00DE6952"/>
    <w:rsid w:val="00DF3138"/>
    <w:rsid w:val="00DF5A57"/>
    <w:rsid w:val="00E022EC"/>
    <w:rsid w:val="00E03952"/>
    <w:rsid w:val="00E03DC6"/>
    <w:rsid w:val="00E1262A"/>
    <w:rsid w:val="00E158A7"/>
    <w:rsid w:val="00E224C1"/>
    <w:rsid w:val="00E2425A"/>
    <w:rsid w:val="00E32268"/>
    <w:rsid w:val="00E4156C"/>
    <w:rsid w:val="00E42283"/>
    <w:rsid w:val="00E515A4"/>
    <w:rsid w:val="00E53958"/>
    <w:rsid w:val="00E6128C"/>
    <w:rsid w:val="00E75704"/>
    <w:rsid w:val="00E839C1"/>
    <w:rsid w:val="00E97B67"/>
    <w:rsid w:val="00EA4BC3"/>
    <w:rsid w:val="00EE05AB"/>
    <w:rsid w:val="00EE6049"/>
    <w:rsid w:val="00EE6052"/>
    <w:rsid w:val="00EF2D81"/>
    <w:rsid w:val="00EF7C9B"/>
    <w:rsid w:val="00F01F62"/>
    <w:rsid w:val="00F06CC4"/>
    <w:rsid w:val="00F12814"/>
    <w:rsid w:val="00F13CE2"/>
    <w:rsid w:val="00F21A9D"/>
    <w:rsid w:val="00F26197"/>
    <w:rsid w:val="00F437C8"/>
    <w:rsid w:val="00F50BD0"/>
    <w:rsid w:val="00F51090"/>
    <w:rsid w:val="00F543CC"/>
    <w:rsid w:val="00F5714D"/>
    <w:rsid w:val="00F6033E"/>
    <w:rsid w:val="00F63576"/>
    <w:rsid w:val="00F70F05"/>
    <w:rsid w:val="00F732B6"/>
    <w:rsid w:val="00F777B2"/>
    <w:rsid w:val="00F77A35"/>
    <w:rsid w:val="00F92C3F"/>
    <w:rsid w:val="00F94E87"/>
    <w:rsid w:val="00F971C0"/>
    <w:rsid w:val="00FB1F2E"/>
    <w:rsid w:val="00FB3E13"/>
    <w:rsid w:val="00FB457A"/>
    <w:rsid w:val="00FC362E"/>
    <w:rsid w:val="00FC46F3"/>
    <w:rsid w:val="00FD0A27"/>
    <w:rsid w:val="00FD722B"/>
    <w:rsid w:val="00FD76BF"/>
    <w:rsid w:val="00FD79F6"/>
    <w:rsid w:val="00FE5189"/>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7</cp:revision>
  <cp:lastPrinted>2014-11-30T15:15:00Z</cp:lastPrinted>
  <dcterms:created xsi:type="dcterms:W3CDTF">2026-02-27T19:27:00Z</dcterms:created>
  <dcterms:modified xsi:type="dcterms:W3CDTF">2026-06-17T17:55:00Z</dcterms:modified>
</cp:coreProperties>
</file>