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B1A00" w:rsidP="00A11C8B" w14:paraId="72729B2A" w14:textId="77777777">
      <w:pPr>
        <w:tabs>
          <w:tab w:val="center" w:pos="4680"/>
        </w:tabs>
        <w:jc w:val="center"/>
        <w:rPr>
          <w:rFonts w:ascii="Calibri" w:hAnsi="Calibri" w:cs="Calibri"/>
          <w:b/>
          <w:bCs/>
        </w:rPr>
      </w:pPr>
      <w:r>
        <w:rPr>
          <w:rFonts w:ascii="Calibri" w:hAnsi="Calibri" w:cs="Calibri"/>
          <w:b/>
          <w:bCs/>
        </w:rPr>
        <w:t>SUPPORTING STATEMENT</w:t>
      </w:r>
    </w:p>
    <w:p w:rsidR="000A0AC7" w:rsidP="00A11C8B" w14:paraId="31B78B2D" w14:textId="78B3E618">
      <w:pPr>
        <w:tabs>
          <w:tab w:val="center" w:pos="4680"/>
        </w:tabs>
        <w:jc w:val="center"/>
        <w:rPr>
          <w:rFonts w:ascii="Calibri" w:hAnsi="Calibri" w:cs="Calibri"/>
        </w:rPr>
      </w:pPr>
      <w:r>
        <w:rPr>
          <w:rFonts w:ascii="Calibri" w:hAnsi="Calibri" w:cs="Calibri"/>
        </w:rPr>
        <w:t>Internal Revenue Service</w:t>
      </w:r>
      <w:r w:rsidR="00306DFF">
        <w:rPr>
          <w:rFonts w:ascii="Calibri" w:hAnsi="Calibri" w:cs="Calibri"/>
        </w:rPr>
        <w:t xml:space="preserve"> (IRS)</w:t>
      </w:r>
    </w:p>
    <w:p w:rsidR="00082F4A" w:rsidP="00A11C8B" w14:paraId="3B0602F8" w14:textId="11921DF5">
      <w:pPr>
        <w:tabs>
          <w:tab w:val="center" w:pos="4680"/>
        </w:tabs>
        <w:jc w:val="center"/>
        <w:rPr>
          <w:rFonts w:ascii="Calibri" w:hAnsi="Calibri" w:cs="Calibri"/>
        </w:rPr>
      </w:pPr>
      <w:r>
        <w:rPr>
          <w:rFonts w:ascii="Calibri" w:hAnsi="Calibri" w:cs="Calibri"/>
        </w:rPr>
        <w:t>Revenue Procedure 2011-34</w:t>
      </w:r>
    </w:p>
    <w:p w:rsidR="00722B8B" w:rsidP="00A11C8B" w14:paraId="69630CFF" w14:textId="54F420F0">
      <w:pPr>
        <w:tabs>
          <w:tab w:val="center" w:pos="4680"/>
        </w:tabs>
        <w:jc w:val="center"/>
        <w:rPr>
          <w:rFonts w:ascii="Calibri" w:hAnsi="Calibri" w:cs="Calibri"/>
          <w:bCs/>
        </w:rPr>
      </w:pPr>
      <w:r>
        <w:rPr>
          <w:rFonts w:ascii="Calibri" w:hAnsi="Calibri" w:cs="Calibri"/>
          <w:bCs/>
        </w:rPr>
        <w:t xml:space="preserve">Rules for </w:t>
      </w:r>
      <w:r w:rsidR="00391C46">
        <w:rPr>
          <w:rFonts w:ascii="Calibri" w:hAnsi="Calibri" w:cs="Calibri"/>
          <w:bCs/>
        </w:rPr>
        <w:t>C</w:t>
      </w:r>
      <w:r>
        <w:rPr>
          <w:rFonts w:ascii="Calibri" w:hAnsi="Calibri" w:cs="Calibri"/>
          <w:bCs/>
        </w:rPr>
        <w:t xml:space="preserve">ertain </w:t>
      </w:r>
      <w:r w:rsidR="00391C46">
        <w:rPr>
          <w:rFonts w:ascii="Calibri" w:hAnsi="Calibri" w:cs="Calibri"/>
          <w:bCs/>
        </w:rPr>
        <w:t>R</w:t>
      </w:r>
      <w:r>
        <w:rPr>
          <w:rFonts w:ascii="Calibri" w:hAnsi="Calibri" w:cs="Calibri"/>
          <w:bCs/>
        </w:rPr>
        <w:t xml:space="preserve">ental </w:t>
      </w:r>
      <w:r w:rsidR="00391C46">
        <w:rPr>
          <w:rFonts w:ascii="Calibri" w:hAnsi="Calibri" w:cs="Calibri"/>
          <w:bCs/>
        </w:rPr>
        <w:t>R</w:t>
      </w:r>
      <w:r>
        <w:rPr>
          <w:rFonts w:ascii="Calibri" w:hAnsi="Calibri" w:cs="Calibri"/>
          <w:bCs/>
        </w:rPr>
        <w:t xml:space="preserve">eal </w:t>
      </w:r>
      <w:r w:rsidR="00391C46">
        <w:rPr>
          <w:rFonts w:ascii="Calibri" w:hAnsi="Calibri" w:cs="Calibri"/>
          <w:bCs/>
        </w:rPr>
        <w:t>E</w:t>
      </w:r>
      <w:r>
        <w:rPr>
          <w:rFonts w:ascii="Calibri" w:hAnsi="Calibri" w:cs="Calibri"/>
          <w:bCs/>
        </w:rPr>
        <w:t xml:space="preserve">state </w:t>
      </w:r>
      <w:r w:rsidR="00391C46">
        <w:rPr>
          <w:rFonts w:ascii="Calibri" w:hAnsi="Calibri" w:cs="Calibri"/>
          <w:bCs/>
        </w:rPr>
        <w:t>A</w:t>
      </w:r>
      <w:r>
        <w:rPr>
          <w:rFonts w:ascii="Calibri" w:hAnsi="Calibri" w:cs="Calibri"/>
          <w:bCs/>
        </w:rPr>
        <w:t>ctivities</w:t>
      </w:r>
    </w:p>
    <w:p w:rsidR="00A11C8B" w:rsidP="00A11C8B" w14:paraId="17F66FB3" w14:textId="12CD82A9">
      <w:pPr>
        <w:tabs>
          <w:tab w:val="center" w:pos="4680"/>
        </w:tabs>
        <w:jc w:val="center"/>
        <w:rPr>
          <w:rFonts w:ascii="Calibri" w:hAnsi="Calibri" w:cs="Calibri"/>
        </w:rPr>
      </w:pPr>
      <w:r>
        <w:rPr>
          <w:rFonts w:ascii="Calibri" w:hAnsi="Calibri" w:cs="Calibri"/>
        </w:rPr>
        <w:t>OMB</w:t>
      </w:r>
      <w:r w:rsidR="00391C46">
        <w:rPr>
          <w:rFonts w:ascii="Calibri" w:hAnsi="Calibri" w:cs="Calibri"/>
        </w:rPr>
        <w:t xml:space="preserve"> Control Number</w:t>
      </w:r>
      <w:r>
        <w:rPr>
          <w:rFonts w:ascii="Calibri" w:hAnsi="Calibri" w:cs="Calibri"/>
        </w:rPr>
        <w:t xml:space="preserve"> 1545-2194</w:t>
      </w:r>
    </w:p>
    <w:p w:rsidR="000B1A00" w14:paraId="6427F06E" w14:textId="77777777">
      <w:pPr>
        <w:rPr>
          <w:rFonts w:ascii="Calibri" w:hAnsi="Calibri" w:cs="Calibri"/>
          <w:b/>
          <w:bCs/>
        </w:rPr>
      </w:pPr>
    </w:p>
    <w:p w:rsidR="000B1A00" w14:paraId="6B3F93F6" w14:textId="77777777">
      <w:pPr>
        <w:pStyle w:val="Level1"/>
        <w:tabs>
          <w:tab w:val="left" w:pos="-1440"/>
          <w:tab w:val="num" w:pos="720"/>
        </w:tabs>
        <w:rPr>
          <w:rFonts w:ascii="Calibri" w:hAnsi="Calibri" w:cs="Calibri"/>
          <w:b/>
        </w:rPr>
      </w:pPr>
      <w:r>
        <w:rPr>
          <w:rFonts w:ascii="Calibri" w:hAnsi="Calibri" w:cs="Calibri"/>
          <w:b/>
        </w:rPr>
        <w:t xml:space="preserve"> </w:t>
      </w:r>
      <w:r>
        <w:rPr>
          <w:rFonts w:ascii="Calibri" w:hAnsi="Calibri" w:cs="Calibri"/>
          <w:b/>
          <w:u w:val="single"/>
        </w:rPr>
        <w:t>CIRCUMSTANCES NECESSITATING COLLECTION OF INFORMATION</w:t>
      </w:r>
    </w:p>
    <w:p w:rsidR="000B1A00" w14:paraId="011C22B5" w14:textId="77777777">
      <w:pPr>
        <w:rPr>
          <w:rFonts w:ascii="Calibri" w:hAnsi="Calibri" w:cs="Calibri"/>
        </w:rPr>
      </w:pPr>
    </w:p>
    <w:p w:rsidR="00722B8B" w:rsidP="00722B8B" w14:paraId="2F6C213E" w14:textId="60E215F4">
      <w:pPr>
        <w:ind w:left="720"/>
        <w:rPr>
          <w:rFonts w:ascii="Calibri" w:hAnsi="Calibri" w:cs="Calibri"/>
        </w:rPr>
      </w:pPr>
      <w:r>
        <w:rPr>
          <w:rFonts w:ascii="Calibri" w:hAnsi="Calibri" w:cs="Calibri"/>
        </w:rPr>
        <w:t>Section 469 of the Internal Revenue Code (IRC) generally imposes restrictions on the allowance of passive activity losses and credits in the case of individuals and certain other taxpayers.</w:t>
      </w:r>
    </w:p>
    <w:p w:rsidR="00722B8B" w:rsidP="00722B8B" w14:paraId="624416CC" w14:textId="77777777">
      <w:pPr>
        <w:ind w:left="720"/>
        <w:rPr>
          <w:rFonts w:ascii="Calibri" w:hAnsi="Calibri" w:cs="Calibri"/>
        </w:rPr>
      </w:pPr>
    </w:p>
    <w:p w:rsidR="00722B8B" w:rsidP="00722B8B" w14:paraId="204EA3AB" w14:textId="287B1700">
      <w:pPr>
        <w:ind w:left="720"/>
        <w:rPr>
          <w:rFonts w:ascii="Calibri" w:hAnsi="Calibri" w:cs="Calibri"/>
        </w:rPr>
      </w:pPr>
      <w:r>
        <w:rPr>
          <w:rFonts w:ascii="Calibri" w:hAnsi="Calibri" w:cs="Calibri"/>
        </w:rPr>
        <w:t>Revenue Procedure 2011-34 provides guidance under section 1.469-9(g) of the Income Tax Regulations allowing certain taxpayers to make late elections to treat all interests in rental real estate as a single rental real estate activity.</w:t>
      </w:r>
    </w:p>
    <w:p w:rsidR="00722B8B" w:rsidP="00722B8B" w14:paraId="03E9958A" w14:textId="77777777">
      <w:pPr>
        <w:ind w:left="720"/>
        <w:rPr>
          <w:rFonts w:ascii="Calibri" w:hAnsi="Calibri" w:cs="Calibri"/>
        </w:rPr>
      </w:pPr>
    </w:p>
    <w:p w:rsidR="001E2260" w:rsidP="00722B8B" w14:paraId="331A8E60" w14:textId="28D40F7F">
      <w:pPr>
        <w:ind w:left="720"/>
        <w:rPr>
          <w:rFonts w:ascii="Calibri" w:hAnsi="Calibri" w:cs="Calibri"/>
        </w:rPr>
      </w:pPr>
      <w:r>
        <w:rPr>
          <w:rFonts w:ascii="Calibri" w:hAnsi="Calibri" w:cs="Calibri"/>
        </w:rPr>
        <w:t xml:space="preserve">To make a late election the taxpayer must file the statement already required by section 1.469-9(g)(3) with the applicable service center.  This Revenue Procedure requires that the taxpayer also </w:t>
      </w:r>
      <w:r>
        <w:rPr>
          <w:rFonts w:ascii="Calibri" w:hAnsi="Calibri" w:cs="Calibri"/>
        </w:rPr>
        <w:t>include</w:t>
      </w:r>
      <w:r>
        <w:rPr>
          <w:rFonts w:ascii="Calibri" w:hAnsi="Calibri" w:cs="Calibri"/>
        </w:rPr>
        <w:t xml:space="preserve"> with the statement an explanation for why the taxpayer failed to file a timely election and must indicate that the statement is being filed pursuant to this Revenue Procedure.</w:t>
      </w:r>
    </w:p>
    <w:p w:rsidR="000B1A00" w14:paraId="1CD4B80B" w14:textId="77777777">
      <w:pPr>
        <w:rPr>
          <w:rFonts w:ascii="Calibri" w:hAnsi="Calibri" w:cs="Calibri"/>
        </w:rPr>
      </w:pPr>
    </w:p>
    <w:p w:rsidR="000B1A00" w14:paraId="27A53632" w14:textId="77777777">
      <w:pPr>
        <w:pStyle w:val="Level1"/>
        <w:tabs>
          <w:tab w:val="left" w:pos="-1440"/>
          <w:tab w:val="num" w:pos="720"/>
        </w:tabs>
        <w:rPr>
          <w:rFonts w:ascii="Calibri" w:hAnsi="Calibri" w:cs="Calibri"/>
          <w:b/>
        </w:rPr>
      </w:pPr>
      <w:r>
        <w:rPr>
          <w:rFonts w:ascii="Calibri" w:hAnsi="Calibri" w:cs="Calibri"/>
          <w:b/>
          <w:u w:val="single"/>
        </w:rPr>
        <w:t>USE OF DATA</w:t>
      </w:r>
      <w:r>
        <w:rPr>
          <w:rFonts w:ascii="Calibri" w:hAnsi="Calibri" w:cs="Calibri"/>
          <w:b/>
        </w:rPr>
        <w:t xml:space="preserve">              </w:t>
      </w:r>
    </w:p>
    <w:p w:rsidR="000B1A00" w14:paraId="081CD87C" w14:textId="77777777">
      <w:pPr>
        <w:rPr>
          <w:rFonts w:ascii="Calibri" w:hAnsi="Calibri" w:cs="Calibri"/>
        </w:rPr>
      </w:pPr>
    </w:p>
    <w:p w:rsidR="000B1A00" w:rsidP="001E2260" w14:paraId="55A9C8FD" w14:textId="6F895548">
      <w:pPr>
        <w:ind w:left="720"/>
        <w:rPr>
          <w:rFonts w:ascii="Calibri" w:hAnsi="Calibri" w:cs="Calibri"/>
        </w:rPr>
      </w:pPr>
      <w:r>
        <w:rPr>
          <w:rFonts w:ascii="Calibri" w:hAnsi="Calibri" w:cs="Calibri"/>
        </w:rPr>
        <w:t>The data will be used by the service center to determine whether the taxpayer has reasonable cause for failing to make a timely election under section 1.469-9(g).  If so, the taxpayer will be given an extension of time to make the election without requesting a letter ruling.</w:t>
      </w:r>
    </w:p>
    <w:p w:rsidR="001E2260" w14:paraId="6D9077BC" w14:textId="77777777">
      <w:pPr>
        <w:rPr>
          <w:rFonts w:ascii="Calibri" w:hAnsi="Calibri" w:cs="Calibri"/>
        </w:rPr>
      </w:pPr>
    </w:p>
    <w:p w:rsidR="000B1A00" w14:paraId="5A4E61BA" w14:textId="77777777">
      <w:pPr>
        <w:pStyle w:val="Level1"/>
        <w:tabs>
          <w:tab w:val="left" w:pos="-1440"/>
          <w:tab w:val="num" w:pos="720"/>
        </w:tabs>
        <w:rPr>
          <w:rFonts w:ascii="Calibri" w:hAnsi="Calibri" w:cs="Calibri"/>
          <w:b/>
        </w:rPr>
      </w:pPr>
      <w:r>
        <w:rPr>
          <w:rFonts w:ascii="Calibri" w:hAnsi="Calibri" w:cs="Calibri"/>
          <w:b/>
          <w:u w:val="single"/>
        </w:rPr>
        <w:t>USE OF IMPROVED INFORMATION TECHNOLOGY TO REDUCE BURDEN</w:t>
      </w:r>
    </w:p>
    <w:p w:rsidR="000B1A00" w14:paraId="0C081549" w14:textId="77777777">
      <w:pPr>
        <w:rPr>
          <w:rFonts w:ascii="Calibri" w:hAnsi="Calibri" w:cs="Calibri"/>
        </w:rPr>
      </w:pPr>
    </w:p>
    <w:p w:rsidR="000B1A00" w:rsidP="004759E4" w14:paraId="2D253689" w14:textId="7AD9938C">
      <w:pPr>
        <w:ind w:left="720"/>
        <w:rPr>
          <w:rFonts w:ascii="Calibri" w:hAnsi="Calibri" w:cs="Calibri"/>
        </w:rPr>
      </w:pPr>
      <w:r>
        <w:rPr>
          <w:rFonts w:ascii="Calibri" w:hAnsi="Calibri" w:cs="Calibri"/>
        </w:rPr>
        <w:t>IRS has no plans to offer electronic filing as this is a narrative statement required by section 1.469-9(g)(3) to be filed with an amended return for the most recent tax year and mail the amended return to the IRS service center where the taxpayer will file its current year tax return.</w:t>
      </w:r>
    </w:p>
    <w:p w:rsidR="000B1A00" w14:paraId="07A9F546" w14:textId="77777777">
      <w:pPr>
        <w:rPr>
          <w:rFonts w:ascii="Calibri" w:hAnsi="Calibri" w:cs="Calibri"/>
        </w:rPr>
      </w:pPr>
    </w:p>
    <w:p w:rsidR="000B1A00" w14:paraId="1E332731" w14:textId="77777777">
      <w:pPr>
        <w:pStyle w:val="Level1"/>
        <w:tabs>
          <w:tab w:val="left" w:pos="-1440"/>
          <w:tab w:val="num" w:pos="720"/>
        </w:tabs>
        <w:rPr>
          <w:rFonts w:ascii="Calibri" w:hAnsi="Calibri" w:cs="Calibri"/>
          <w:b/>
        </w:rPr>
      </w:pPr>
      <w:r>
        <w:rPr>
          <w:rFonts w:ascii="Calibri" w:hAnsi="Calibri" w:cs="Calibri"/>
          <w:b/>
          <w:u w:val="single"/>
        </w:rPr>
        <w:t>EFFORTS TO IDENTIFY DUPLICATION</w:t>
      </w:r>
    </w:p>
    <w:p w:rsidR="000B1A00" w14:paraId="2B735573" w14:textId="77777777">
      <w:pPr>
        <w:rPr>
          <w:rFonts w:ascii="Calibri" w:hAnsi="Calibri" w:cs="Calibri"/>
        </w:rPr>
      </w:pPr>
    </w:p>
    <w:p w:rsidR="000B1A00" w14:paraId="02A1DDAB" w14:textId="77777777">
      <w:pPr>
        <w:ind w:left="720"/>
        <w:rPr>
          <w:rFonts w:ascii="Calibri" w:hAnsi="Calibri" w:cs="Calibri"/>
        </w:rPr>
      </w:pPr>
      <w:r>
        <w:rPr>
          <w:rFonts w:ascii="Calibri" w:hAnsi="Calibri" w:cs="Calibri"/>
        </w:rPr>
        <w:t>The information obtained through this collection is unique and is not already available for use or adaptation from another source.</w:t>
      </w:r>
    </w:p>
    <w:p w:rsidR="000B1A00" w14:paraId="16C1A823" w14:textId="77777777">
      <w:pPr>
        <w:rPr>
          <w:rFonts w:ascii="Calibri" w:hAnsi="Calibri" w:cs="Calibri"/>
        </w:rPr>
      </w:pPr>
    </w:p>
    <w:p w:rsidR="000B1A00" w14:paraId="1E5C1758" w14:textId="6AFB79B6">
      <w:pPr>
        <w:pStyle w:val="Level1"/>
        <w:tabs>
          <w:tab w:val="left" w:pos="-1440"/>
          <w:tab w:val="num" w:pos="720"/>
        </w:tabs>
        <w:rPr>
          <w:rFonts w:ascii="Calibri" w:hAnsi="Calibri" w:cs="Calibri"/>
          <w:b/>
        </w:rPr>
      </w:pPr>
      <w:r>
        <w:rPr>
          <w:rFonts w:ascii="Calibri" w:hAnsi="Calibri" w:cs="Calibri"/>
          <w:b/>
          <w:u w:val="single"/>
        </w:rPr>
        <w:t>METHODS TO MINIMIZE BURDEN ON SMALL BUSINESSES OR OTHER</w:t>
      </w:r>
      <w:r w:rsidRPr="00254140">
        <w:rPr>
          <w:rFonts w:ascii="Calibri" w:hAnsi="Calibri" w:cs="Calibri"/>
          <w:b/>
          <w:u w:val="single"/>
        </w:rPr>
        <w:t xml:space="preserve"> </w:t>
      </w:r>
      <w:r>
        <w:rPr>
          <w:rFonts w:ascii="Calibri" w:hAnsi="Calibri" w:cs="Calibri"/>
          <w:b/>
          <w:u w:val="single"/>
        </w:rPr>
        <w:t>SMALL ENTITIES</w:t>
      </w:r>
    </w:p>
    <w:p w:rsidR="000B1A00" w14:paraId="4DF8402B" w14:textId="77777777">
      <w:pPr>
        <w:rPr>
          <w:rFonts w:ascii="Calibri" w:hAnsi="Calibri" w:cs="Calibri"/>
        </w:rPr>
      </w:pPr>
    </w:p>
    <w:p w:rsidR="000B1A00" w14:paraId="47C28A1C" w14:textId="61599924">
      <w:pPr>
        <w:ind w:left="720"/>
        <w:rPr>
          <w:rFonts w:ascii="Calibri" w:hAnsi="Calibri" w:cs="Calibri"/>
        </w:rPr>
      </w:pPr>
      <w:r>
        <w:rPr>
          <w:rFonts w:ascii="Calibri" w:hAnsi="Calibri" w:cs="Calibri"/>
        </w:rPr>
        <w:t>Th</w:t>
      </w:r>
      <w:r w:rsidR="00D847DB">
        <w:rPr>
          <w:rFonts w:ascii="Calibri" w:hAnsi="Calibri" w:cs="Calibri"/>
        </w:rPr>
        <w:t>is information collection will not have a</w:t>
      </w:r>
      <w:r w:rsidR="00107DBD">
        <w:rPr>
          <w:rFonts w:ascii="Calibri" w:hAnsi="Calibri" w:cs="Calibri"/>
        </w:rPr>
        <w:t xml:space="preserve"> significant</w:t>
      </w:r>
      <w:r w:rsidR="00063770">
        <w:rPr>
          <w:rFonts w:ascii="Calibri" w:hAnsi="Calibri" w:cs="Calibri"/>
        </w:rPr>
        <w:t xml:space="preserve"> economic impact on small </w:t>
      </w:r>
      <w:r w:rsidR="00063770">
        <w:rPr>
          <w:rFonts w:ascii="Calibri" w:hAnsi="Calibri" w:cs="Calibri"/>
        </w:rPr>
        <w:t xml:space="preserve">businesses or </w:t>
      </w:r>
      <w:r w:rsidR="00D847DB">
        <w:rPr>
          <w:rFonts w:ascii="Calibri" w:hAnsi="Calibri" w:cs="Calibri"/>
        </w:rPr>
        <w:t xml:space="preserve">other small </w:t>
      </w:r>
      <w:r w:rsidR="00063770">
        <w:rPr>
          <w:rFonts w:ascii="Calibri" w:hAnsi="Calibri" w:cs="Calibri"/>
        </w:rPr>
        <w:t>entities</w:t>
      </w:r>
      <w:r w:rsidR="00D847DB">
        <w:rPr>
          <w:rFonts w:ascii="Calibri" w:hAnsi="Calibri" w:cs="Calibri"/>
        </w:rPr>
        <w:t xml:space="preserve">. </w:t>
      </w:r>
    </w:p>
    <w:p w:rsidR="000B1A00" w14:paraId="0D3941DF" w14:textId="77777777">
      <w:pPr>
        <w:rPr>
          <w:rFonts w:ascii="Calibri" w:hAnsi="Calibri" w:cs="Calibri"/>
        </w:rPr>
      </w:pPr>
    </w:p>
    <w:p w:rsidR="000B1A00" w14:paraId="68A0B87D" w14:textId="77777777">
      <w:pPr>
        <w:pStyle w:val="Level1"/>
        <w:tabs>
          <w:tab w:val="left" w:pos="-1440"/>
          <w:tab w:val="num" w:pos="720"/>
        </w:tabs>
        <w:rPr>
          <w:rFonts w:ascii="Calibri" w:hAnsi="Calibri" w:cs="Calibri"/>
          <w:b/>
        </w:rPr>
      </w:pPr>
      <w:r>
        <w:rPr>
          <w:rFonts w:ascii="Calibri" w:hAnsi="Calibri" w:cs="Calibri"/>
          <w:b/>
          <w:u w:val="single"/>
        </w:rPr>
        <w:t>CONSEQUENCES OF LESS FREQUENT COLLECTION ON FEDERAL PROGRAMS OR POLICY ACTIVITIES</w:t>
      </w:r>
    </w:p>
    <w:p w:rsidR="000B1A00" w14:paraId="78D28140" w14:textId="77777777">
      <w:pPr>
        <w:rPr>
          <w:rFonts w:ascii="Calibri" w:hAnsi="Calibri" w:cs="Calibri"/>
        </w:rPr>
      </w:pPr>
    </w:p>
    <w:p w:rsidR="0012699F" w:rsidP="0012699F" w14:paraId="13FDE3DD" w14:textId="4384225F">
      <w:pPr>
        <w:ind w:left="720"/>
        <w:rPr>
          <w:rFonts w:ascii="Calibri" w:hAnsi="Calibri" w:cs="Calibri"/>
        </w:rPr>
      </w:pPr>
      <w:r>
        <w:rPr>
          <w:rFonts w:ascii="Calibri" w:hAnsi="Calibri" w:cs="Calibri"/>
        </w:rPr>
        <w:t xml:space="preserve">Consequences of less frequent collection </w:t>
      </w:r>
      <w:r w:rsidR="000353D6">
        <w:rPr>
          <w:rFonts w:ascii="Calibri" w:hAnsi="Calibri" w:cs="Calibri"/>
        </w:rPr>
        <w:t xml:space="preserve">would result in the IRS </w:t>
      </w:r>
      <w:r w:rsidR="000353D6">
        <w:rPr>
          <w:rFonts w:ascii="Calibri" w:hAnsi="Calibri" w:cs="Calibri"/>
        </w:rPr>
        <w:t>unable</w:t>
      </w:r>
      <w:r w:rsidR="000353D6">
        <w:rPr>
          <w:rFonts w:ascii="Calibri" w:hAnsi="Calibri" w:cs="Calibri"/>
        </w:rPr>
        <w:t xml:space="preserve"> to determine if the taxpayer made timely elections and in accordance with Internal Revenue Code 469 and will hinder the IRS from meeting its mission. </w:t>
      </w:r>
    </w:p>
    <w:p w:rsidR="000B1A00" w14:paraId="0E1B495D" w14:textId="77777777">
      <w:pPr>
        <w:rPr>
          <w:rFonts w:ascii="Calibri" w:hAnsi="Calibri" w:cs="Calibri"/>
        </w:rPr>
      </w:pPr>
    </w:p>
    <w:p w:rsidR="000B1A00" w14:paraId="47DA317A" w14:textId="6BB9DAC9">
      <w:pPr>
        <w:pStyle w:val="Level1"/>
        <w:tabs>
          <w:tab w:val="left" w:pos="-1440"/>
          <w:tab w:val="num" w:pos="720"/>
        </w:tabs>
        <w:rPr>
          <w:rFonts w:ascii="Calibri" w:hAnsi="Calibri" w:cs="Calibri"/>
          <w:b/>
        </w:rPr>
      </w:pPr>
      <w:r>
        <w:rPr>
          <w:rFonts w:ascii="Calibri" w:hAnsi="Calibri" w:cs="Calibri"/>
          <w:b/>
          <w:u w:val="single"/>
        </w:rPr>
        <w:t>SPECIAL CIRCUMSTANCES REQUIRING DATA COLLECTION TO BE</w:t>
      </w:r>
      <w:r w:rsidRPr="00254140">
        <w:rPr>
          <w:rFonts w:ascii="Calibri" w:hAnsi="Calibri" w:cs="Calibri"/>
          <w:b/>
          <w:u w:val="single"/>
        </w:rPr>
        <w:t xml:space="preserve"> </w:t>
      </w:r>
      <w:r>
        <w:rPr>
          <w:rFonts w:ascii="Calibri" w:hAnsi="Calibri" w:cs="Calibri"/>
          <w:b/>
          <w:u w:val="single"/>
        </w:rPr>
        <w:t>INCONSISTENT WITH GUIDELINES IN 5 CFR 1320.5(d)(2)</w:t>
      </w:r>
    </w:p>
    <w:p w:rsidR="000B1A00" w14:paraId="18A8F41B" w14:textId="77777777">
      <w:pPr>
        <w:rPr>
          <w:rFonts w:ascii="Calibri" w:hAnsi="Calibri" w:cs="Calibri"/>
        </w:rPr>
      </w:pPr>
    </w:p>
    <w:p w:rsidR="0012699F" w:rsidP="007723DD" w14:paraId="24A98108" w14:textId="77777777">
      <w:pPr>
        <w:ind w:left="720"/>
        <w:rPr>
          <w:rFonts w:ascii="Calibri" w:hAnsi="Calibri" w:cs="Calibri"/>
        </w:rPr>
      </w:pPr>
      <w:r>
        <w:rPr>
          <w:rFonts w:ascii="Calibri" w:hAnsi="Calibri" w:cs="Calibri"/>
        </w:rPr>
        <w:t>There are no special circumstances requiring data collection to be inconsistent with guidelines in 5 CFR 1320.5(d)(2).</w:t>
      </w:r>
    </w:p>
    <w:p w:rsidR="00282F86" w14:paraId="15C7E5DA" w14:textId="77777777">
      <w:pPr>
        <w:ind w:left="720"/>
        <w:rPr>
          <w:rFonts w:ascii="Calibri" w:hAnsi="Calibri" w:cs="Calibri"/>
        </w:rPr>
      </w:pPr>
    </w:p>
    <w:p w:rsidR="000B1A00" w14:paraId="30C99CC9" w14:textId="77777777">
      <w:pPr>
        <w:rPr>
          <w:rFonts w:ascii="Calibri" w:hAnsi="Calibri" w:cs="Calibri"/>
        </w:rPr>
        <w:sectPr>
          <w:pgSz w:w="12240" w:h="15840"/>
          <w:pgMar w:top="1440" w:right="1440" w:bottom="1440" w:left="1440" w:header="1440" w:footer="1440" w:gutter="0"/>
          <w:cols w:space="720"/>
          <w:noEndnote/>
        </w:sectPr>
      </w:pPr>
    </w:p>
    <w:p w:rsidR="000B1A00" w:rsidP="00282F86" w14:paraId="41909486" w14:textId="3BA920C1">
      <w:pPr>
        <w:pStyle w:val="Level1"/>
        <w:tabs>
          <w:tab w:val="left" w:pos="-1440"/>
        </w:tabs>
        <w:rPr>
          <w:rFonts w:ascii="Calibri" w:hAnsi="Calibri" w:cs="Calibri"/>
          <w:b/>
        </w:rPr>
      </w:pPr>
      <w:r>
        <w:rPr>
          <w:rFonts w:ascii="Calibri" w:hAnsi="Calibri" w:cs="Calibri"/>
          <w:b/>
          <w:u w:val="single"/>
        </w:rPr>
        <w:t>CONSULTATION WITH INDIVIDUALS OUTSIDE OF THE AGENCY ON</w:t>
      </w:r>
      <w:r w:rsidRPr="00254140">
        <w:rPr>
          <w:rFonts w:ascii="Calibri" w:hAnsi="Calibri" w:cs="Calibri"/>
          <w:b/>
          <w:u w:val="single"/>
        </w:rPr>
        <w:t xml:space="preserve"> </w:t>
      </w:r>
      <w:r>
        <w:rPr>
          <w:rFonts w:ascii="Calibri" w:hAnsi="Calibri" w:cs="Calibri"/>
          <w:b/>
          <w:u w:val="single"/>
        </w:rPr>
        <w:t>AVAILABILITY OF DATA, FREQUENCY OF COLLECTION, CLARITY</w:t>
      </w:r>
      <w:r w:rsidR="005B7FCC">
        <w:rPr>
          <w:rFonts w:ascii="Calibri" w:hAnsi="Calibri" w:cs="Calibri"/>
          <w:b/>
          <w:u w:val="single"/>
        </w:rPr>
        <w:t xml:space="preserve"> O</w:t>
      </w:r>
      <w:r>
        <w:rPr>
          <w:rFonts w:ascii="Calibri" w:hAnsi="Calibri" w:cs="Calibri"/>
          <w:b/>
          <w:u w:val="single"/>
        </w:rPr>
        <w:t>F INSTRUCTIONS AND FORMS, AND DATA ELEMENTS</w:t>
      </w:r>
    </w:p>
    <w:p w:rsidR="000B1A00" w14:paraId="629EB9C9" w14:textId="77777777">
      <w:pPr>
        <w:rPr>
          <w:rFonts w:ascii="Calibri" w:hAnsi="Calibri" w:cs="Calibri"/>
        </w:rPr>
      </w:pPr>
    </w:p>
    <w:p w:rsidR="00B02C4B" w:rsidP="00282F86" w14:paraId="16FFAFB2" w14:textId="7BF2A0FB">
      <w:pPr>
        <w:tabs>
          <w:tab w:val="center" w:pos="4680"/>
        </w:tabs>
        <w:ind w:left="720"/>
        <w:rPr>
          <w:rFonts w:ascii="Calibri" w:hAnsi="Calibri" w:cs="Calibri"/>
        </w:rPr>
      </w:pPr>
      <w:r>
        <w:rPr>
          <w:rFonts w:ascii="Calibri" w:hAnsi="Calibri" w:cs="Calibri"/>
        </w:rPr>
        <w:t xml:space="preserve">In response to the </w:t>
      </w:r>
      <w:r>
        <w:rPr>
          <w:rFonts w:ascii="Calibri" w:hAnsi="Calibri" w:cs="Calibri"/>
          <w:i/>
          <w:iCs/>
        </w:rPr>
        <w:t>Federal Register</w:t>
      </w:r>
      <w:r>
        <w:rPr>
          <w:rFonts w:ascii="Calibri" w:hAnsi="Calibri" w:cs="Calibri"/>
        </w:rPr>
        <w:t xml:space="preserve"> </w:t>
      </w:r>
      <w:r w:rsidR="00086BED">
        <w:rPr>
          <w:rFonts w:ascii="Calibri" w:hAnsi="Calibri" w:cs="Calibri"/>
        </w:rPr>
        <w:t>n</w:t>
      </w:r>
      <w:r>
        <w:rPr>
          <w:rFonts w:ascii="Calibri" w:hAnsi="Calibri" w:cs="Calibri"/>
        </w:rPr>
        <w:t>otice, dated February</w:t>
      </w:r>
      <w:r w:rsidR="00086BED">
        <w:rPr>
          <w:rFonts w:ascii="Calibri" w:hAnsi="Calibri" w:cs="Calibri"/>
        </w:rPr>
        <w:t xml:space="preserve"> </w:t>
      </w:r>
      <w:r>
        <w:rPr>
          <w:rFonts w:ascii="Calibri" w:hAnsi="Calibri" w:cs="Calibri"/>
        </w:rPr>
        <w:t>26</w:t>
      </w:r>
      <w:r w:rsidR="00063770">
        <w:rPr>
          <w:rFonts w:ascii="Calibri" w:hAnsi="Calibri" w:cs="Calibri"/>
        </w:rPr>
        <w:t>, 20</w:t>
      </w:r>
      <w:r w:rsidR="00086BED">
        <w:rPr>
          <w:rFonts w:ascii="Calibri" w:hAnsi="Calibri" w:cs="Calibri"/>
        </w:rPr>
        <w:t>2</w:t>
      </w:r>
      <w:r>
        <w:rPr>
          <w:rFonts w:ascii="Calibri" w:hAnsi="Calibri" w:cs="Calibri"/>
        </w:rPr>
        <w:t xml:space="preserve">6 (91 FR </w:t>
      </w:r>
      <w:r w:rsidRPr="00654E36">
        <w:rPr>
          <w:rFonts w:ascii="Calibri" w:hAnsi="Calibri" w:cs="Calibri"/>
        </w:rPr>
        <w:t>9694</w:t>
      </w:r>
      <w:r>
        <w:rPr>
          <w:rFonts w:ascii="Calibri" w:hAnsi="Calibri" w:cs="Calibri"/>
        </w:rPr>
        <w:t xml:space="preserve">), we received </w:t>
      </w:r>
      <w:r w:rsidR="008014F3">
        <w:rPr>
          <w:rFonts w:ascii="Calibri" w:hAnsi="Calibri" w:cs="Calibri"/>
        </w:rPr>
        <w:t>two</w:t>
      </w:r>
      <w:r>
        <w:rPr>
          <w:rFonts w:ascii="Calibri" w:hAnsi="Calibri" w:cs="Calibri"/>
        </w:rPr>
        <w:t xml:space="preserve"> comments during the comment period for Revenue Procedure</w:t>
      </w:r>
      <w:r w:rsidR="00BF0D4E">
        <w:rPr>
          <w:rFonts w:ascii="Calibri" w:hAnsi="Calibri" w:cs="Calibri"/>
        </w:rPr>
        <w:t xml:space="preserve"> 2011-34</w:t>
      </w:r>
      <w:r>
        <w:rPr>
          <w:rFonts w:ascii="Calibri" w:hAnsi="Calibri" w:cs="Calibri"/>
        </w:rPr>
        <w:t xml:space="preserve"> from Apex Ventures and </w:t>
      </w:r>
      <w:r w:rsidRPr="00B02C4B">
        <w:rPr>
          <w:rFonts w:ascii="Calibri" w:hAnsi="Calibri" w:cs="Calibri"/>
        </w:rPr>
        <w:t>Missoula Property Management</w:t>
      </w:r>
      <w:r>
        <w:rPr>
          <w:rFonts w:ascii="Calibri" w:hAnsi="Calibri" w:cs="Calibri"/>
        </w:rPr>
        <w:t xml:space="preserve">. </w:t>
      </w:r>
      <w:r w:rsidRPr="00B02C4B">
        <w:rPr>
          <w:rFonts w:ascii="Calibri" w:hAnsi="Calibri" w:cs="Calibri"/>
        </w:rPr>
        <w:t xml:space="preserve">The full comments will be included within submission to the Office of Management and Budget (OMB). </w:t>
      </w:r>
    </w:p>
    <w:p w:rsidR="00B02C4B" w:rsidP="00282F86" w14:paraId="34E6DA00" w14:textId="77777777">
      <w:pPr>
        <w:tabs>
          <w:tab w:val="center" w:pos="4680"/>
        </w:tabs>
        <w:ind w:left="720"/>
        <w:rPr>
          <w:rFonts w:ascii="Calibri" w:hAnsi="Calibri" w:cs="Calibri"/>
        </w:rPr>
      </w:pPr>
    </w:p>
    <w:p w:rsidR="00282F86" w:rsidP="00282F86" w14:paraId="7E4A3D71" w14:textId="6A03F54F">
      <w:pPr>
        <w:tabs>
          <w:tab w:val="center" w:pos="4680"/>
        </w:tabs>
        <w:ind w:left="720"/>
        <w:rPr>
          <w:rFonts w:ascii="Calibri" w:hAnsi="Calibri" w:cs="Calibri"/>
        </w:rPr>
      </w:pPr>
      <w:r w:rsidRPr="00B02C4B">
        <w:rPr>
          <w:rFonts w:ascii="Calibri" w:hAnsi="Calibri" w:cs="Calibri"/>
        </w:rPr>
        <w:t>The summary of the comments and the IRS responses are below:</w:t>
      </w:r>
    </w:p>
    <w:p w:rsidR="00B02C4B" w:rsidP="00282F86" w14:paraId="43FA8AB0" w14:textId="77777777">
      <w:pPr>
        <w:tabs>
          <w:tab w:val="center" w:pos="4680"/>
        </w:tabs>
        <w:ind w:left="720"/>
        <w:rPr>
          <w:rFonts w:ascii="Calibri" w:hAnsi="Calibri" w:cs="Calibri"/>
        </w:rPr>
      </w:pPr>
    </w:p>
    <w:p w:rsidR="00BF0D4E" w:rsidP="00BF0D4E" w14:paraId="76A590E0" w14:textId="0CEE7B5F">
      <w:pPr>
        <w:tabs>
          <w:tab w:val="center" w:pos="4680"/>
        </w:tabs>
        <w:jc w:val="center"/>
        <w:rPr>
          <w:rFonts w:ascii="Calibri" w:hAnsi="Calibri" w:cs="Calibri"/>
        </w:rPr>
      </w:pPr>
      <w:r>
        <w:rPr>
          <w:rFonts w:ascii="Calibri" w:hAnsi="Calibri" w:cs="Calibri"/>
        </w:rPr>
        <w:t>Jim Hodge, Principal Broker, Apex Ventures,</w:t>
      </w:r>
      <w:r w:rsidRPr="00B02C4B">
        <w:rPr>
          <w:rFonts w:ascii="Calibri" w:hAnsi="Calibri" w:cs="Calibri"/>
        </w:rPr>
        <w:t xml:space="preserve"> dated </w:t>
      </w:r>
      <w:r>
        <w:rPr>
          <w:rFonts w:ascii="Calibri" w:hAnsi="Calibri" w:cs="Calibri"/>
        </w:rPr>
        <w:t>April 6, 2026,</w:t>
      </w:r>
      <w:r w:rsidRPr="00B02C4B">
        <w:rPr>
          <w:rFonts w:ascii="Calibri" w:hAnsi="Calibri" w:cs="Calibri"/>
        </w:rPr>
        <w:t xml:space="preserve"> </w:t>
      </w:r>
      <w:r>
        <w:rPr>
          <w:rFonts w:ascii="Calibri" w:hAnsi="Calibri" w:cs="Calibri"/>
        </w:rPr>
        <w:t xml:space="preserve"> </w:t>
      </w:r>
    </w:p>
    <w:p w:rsidR="00BF0D4E" w:rsidP="00BF0D4E" w14:paraId="1AB78748" w14:textId="599CFD12">
      <w:pPr>
        <w:tabs>
          <w:tab w:val="center" w:pos="4680"/>
        </w:tabs>
        <w:jc w:val="center"/>
        <w:rPr>
          <w:rFonts w:ascii="Calibri" w:hAnsi="Calibri" w:cs="Calibri"/>
          <w:bCs/>
        </w:rPr>
      </w:pPr>
      <w:r>
        <w:rPr>
          <w:rFonts w:ascii="Calibri" w:hAnsi="Calibri" w:cs="Calibri"/>
          <w:bCs/>
        </w:rPr>
        <w:t>Rules for Certain Rental Real Estate Activities</w:t>
      </w:r>
    </w:p>
    <w:p w:rsidR="00B02C4B" w:rsidP="00B02C4B" w14:paraId="185354A6" w14:textId="0DCD8F61">
      <w:pPr>
        <w:tabs>
          <w:tab w:val="center" w:pos="4680"/>
        </w:tabs>
        <w:ind w:left="720"/>
        <w:jc w:val="center"/>
        <w:rPr>
          <w:rFonts w:ascii="Calibri" w:hAnsi="Calibri" w:cs="Calibri"/>
        </w:rPr>
      </w:pPr>
    </w:p>
    <w:tbl>
      <w:tblPr>
        <w:tblW w:w="4431" w:type="pct"/>
        <w:tblInd w:w="71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260"/>
        <w:gridCol w:w="3243"/>
        <w:gridCol w:w="3778"/>
      </w:tblGrid>
      <w:tr w14:paraId="1C7D2831" w14:textId="77777777" w:rsidTr="00BF0D4E">
        <w:tblPrEx>
          <w:tblW w:w="4431" w:type="pct"/>
          <w:tblInd w:w="71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hideMark/>
          </w:tcPr>
          <w:p w:rsidR="00B02C4B" w:rsidRPr="00E97F96" w:rsidP="00BF0D4E" w14:paraId="13FD6267" w14:textId="2849D827">
            <w:pPr>
              <w:jc w:val="center"/>
              <w:rPr>
                <w:rFonts w:ascii="Times New Roman" w:hAnsi="Times New Roman"/>
                <w:b/>
                <w:bCs/>
                <w:color w:val="000000"/>
                <w:sz w:val="22"/>
                <w:szCs w:val="22"/>
              </w:rPr>
            </w:pPr>
            <w:r>
              <w:rPr>
                <w:rFonts w:ascii="Times New Roman" w:hAnsi="Times New Roman"/>
                <w:b/>
                <w:bCs/>
                <w:color w:val="000000"/>
                <w:sz w:val="22"/>
                <w:szCs w:val="22"/>
              </w:rPr>
              <w:t>Comment Number</w:t>
            </w:r>
          </w:p>
        </w:tc>
        <w:tc>
          <w:tcPr>
            <w:tcW w:w="1958" w:type="pct"/>
            <w:tcBorders>
              <w:top w:val="outset" w:sz="6" w:space="0" w:color="auto"/>
              <w:left w:val="outset" w:sz="6" w:space="0" w:color="auto"/>
              <w:bottom w:val="outset" w:sz="6" w:space="0" w:color="auto"/>
              <w:right w:val="outset" w:sz="6" w:space="0" w:color="auto"/>
            </w:tcBorders>
            <w:vAlign w:val="center"/>
            <w:hideMark/>
          </w:tcPr>
          <w:p w:rsidR="00B02C4B" w:rsidRPr="00D27B77" w:rsidP="00270736" w14:paraId="7AB4B64C" w14:textId="3E8A7343">
            <w:pPr>
              <w:jc w:val="center"/>
              <w:rPr>
                <w:rFonts w:ascii="Times New Roman" w:hAnsi="Times New Roman"/>
                <w:b/>
                <w:bCs/>
                <w:color w:val="000000"/>
              </w:rPr>
            </w:pPr>
            <w:r>
              <w:rPr>
                <w:rFonts w:ascii="Times New Roman" w:hAnsi="Times New Roman"/>
                <w:b/>
                <w:bCs/>
                <w:color w:val="000000"/>
              </w:rPr>
              <w:t>Summary of Comment</w:t>
            </w:r>
          </w:p>
        </w:tc>
        <w:tc>
          <w:tcPr>
            <w:tcW w:w="2281" w:type="pct"/>
            <w:tcBorders>
              <w:top w:val="outset" w:sz="6" w:space="0" w:color="auto"/>
              <w:left w:val="outset" w:sz="6" w:space="0" w:color="auto"/>
              <w:bottom w:val="outset" w:sz="6" w:space="0" w:color="auto"/>
              <w:right w:val="outset" w:sz="6" w:space="0" w:color="auto"/>
            </w:tcBorders>
            <w:vAlign w:val="center"/>
            <w:hideMark/>
          </w:tcPr>
          <w:p w:rsidR="00B02C4B" w:rsidRPr="00D27B77" w:rsidP="00270736" w14:paraId="01C27A40" w14:textId="3EEDCEF4">
            <w:pPr>
              <w:jc w:val="center"/>
              <w:rPr>
                <w:rFonts w:ascii="Times New Roman" w:hAnsi="Times New Roman"/>
                <w:b/>
                <w:bCs/>
                <w:color w:val="000000"/>
              </w:rPr>
            </w:pPr>
            <w:r>
              <w:rPr>
                <w:rFonts w:ascii="Times New Roman" w:hAnsi="Times New Roman"/>
                <w:b/>
                <w:bCs/>
                <w:color w:val="000000"/>
              </w:rPr>
              <w:t>IRS Response</w:t>
            </w:r>
          </w:p>
        </w:tc>
      </w:tr>
      <w:tr w14:paraId="02CF6034" w14:textId="77777777" w:rsidTr="00BF0D4E">
        <w:tblPrEx>
          <w:tblW w:w="4431" w:type="pct"/>
          <w:tblInd w:w="712" w:type="dxa"/>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hideMark/>
          </w:tcPr>
          <w:p w:rsidR="00B02C4B" w:rsidRPr="00E97F96" w:rsidP="00270736" w14:paraId="087B9A06" w14:textId="07B24F41">
            <w:pPr>
              <w:rPr>
                <w:rFonts w:ascii="Times New Roman" w:hAnsi="Times New Roman"/>
                <w:color w:val="000000"/>
                <w:sz w:val="22"/>
                <w:szCs w:val="22"/>
              </w:rPr>
            </w:pPr>
            <w:r>
              <w:rPr>
                <w:rFonts w:ascii="Times New Roman" w:hAnsi="Times New Roman"/>
                <w:color w:val="000000"/>
                <w:sz w:val="22"/>
                <w:szCs w:val="22"/>
              </w:rPr>
              <w:t>1.</w:t>
            </w:r>
          </w:p>
        </w:tc>
        <w:tc>
          <w:tcPr>
            <w:tcW w:w="1958" w:type="pct"/>
            <w:tcBorders>
              <w:top w:val="outset" w:sz="6" w:space="0" w:color="auto"/>
              <w:left w:val="outset" w:sz="6" w:space="0" w:color="auto"/>
              <w:bottom w:val="outset" w:sz="6" w:space="0" w:color="auto"/>
              <w:right w:val="outset" w:sz="6" w:space="0" w:color="auto"/>
            </w:tcBorders>
            <w:vAlign w:val="center"/>
          </w:tcPr>
          <w:p w:rsidR="00B02C4B" w:rsidRPr="00D27B77" w:rsidP="00BF0D4E" w14:paraId="08D090D4" w14:textId="3ECFA93B">
            <w:pPr>
              <w:rPr>
                <w:rFonts w:ascii="Times New Roman" w:hAnsi="Times New Roman"/>
                <w:color w:val="000000"/>
              </w:rPr>
            </w:pPr>
            <w:r>
              <w:rPr>
                <w:rFonts w:ascii="Times New Roman" w:hAnsi="Times New Roman"/>
                <w:color w:val="000000"/>
              </w:rPr>
              <w:t>Simplifying this process makes a lot of sense.</w:t>
            </w:r>
          </w:p>
        </w:tc>
        <w:tc>
          <w:tcPr>
            <w:tcW w:w="2281" w:type="pct"/>
            <w:tcBorders>
              <w:top w:val="outset" w:sz="6" w:space="0" w:color="auto"/>
              <w:left w:val="outset" w:sz="6" w:space="0" w:color="auto"/>
              <w:bottom w:val="outset" w:sz="6" w:space="0" w:color="auto"/>
              <w:right w:val="outset" w:sz="6" w:space="0" w:color="auto"/>
            </w:tcBorders>
            <w:vAlign w:val="center"/>
          </w:tcPr>
          <w:p w:rsidR="00B02C4B" w:rsidRPr="00D27B77" w:rsidP="00BF0D4E" w14:paraId="4450D4C8" w14:textId="0D490C51">
            <w:pPr>
              <w:rPr>
                <w:rFonts w:ascii="Times New Roman" w:hAnsi="Times New Roman"/>
                <w:color w:val="000000"/>
              </w:rPr>
            </w:pPr>
            <w:r>
              <w:rPr>
                <w:rFonts w:ascii="Times New Roman" w:hAnsi="Times New Roman"/>
                <w:color w:val="000000"/>
              </w:rPr>
              <w:t>The IRS thanks the commenter for their response in support of Revenue Procedure 2011-34.</w:t>
            </w:r>
          </w:p>
        </w:tc>
      </w:tr>
    </w:tbl>
    <w:p w:rsidR="008014F3" w:rsidP="00282F86" w14:paraId="115823EF" w14:textId="77777777">
      <w:pPr>
        <w:tabs>
          <w:tab w:val="center" w:pos="4680"/>
        </w:tabs>
        <w:ind w:left="720"/>
        <w:rPr>
          <w:rFonts w:ascii="Calibri" w:hAnsi="Calibri" w:cs="Calibri"/>
        </w:rPr>
      </w:pPr>
    </w:p>
    <w:p w:rsidR="00BF0D4E" w:rsidP="00B02C4B" w14:paraId="6A5375CB" w14:textId="65764A5E">
      <w:pPr>
        <w:tabs>
          <w:tab w:val="center" w:pos="4680"/>
        </w:tabs>
        <w:ind w:left="720"/>
        <w:jc w:val="center"/>
        <w:rPr>
          <w:rFonts w:ascii="Calibri" w:hAnsi="Calibri" w:cs="Calibri"/>
        </w:rPr>
      </w:pPr>
      <w:r>
        <w:rPr>
          <w:rFonts w:ascii="Calibri" w:hAnsi="Calibri" w:cs="Calibri"/>
        </w:rPr>
        <w:t xml:space="preserve">Sherrie Featherly, President, </w:t>
      </w:r>
      <w:r w:rsidRPr="00BF0D4E">
        <w:rPr>
          <w:rFonts w:ascii="Calibri" w:hAnsi="Calibri" w:cs="Calibri"/>
        </w:rPr>
        <w:t>Missoula Property Management</w:t>
      </w:r>
      <w:r>
        <w:rPr>
          <w:rFonts w:ascii="Calibri" w:hAnsi="Calibri" w:cs="Calibri"/>
        </w:rPr>
        <w:t>,</w:t>
      </w:r>
      <w:r w:rsidRPr="00B02C4B" w:rsidR="00B02C4B">
        <w:rPr>
          <w:rFonts w:ascii="Calibri" w:hAnsi="Calibri" w:cs="Calibri"/>
        </w:rPr>
        <w:t xml:space="preserve"> dated </w:t>
      </w:r>
      <w:r>
        <w:rPr>
          <w:rFonts w:ascii="Calibri" w:hAnsi="Calibri" w:cs="Calibri"/>
        </w:rPr>
        <w:t>April 9, 2026</w:t>
      </w:r>
    </w:p>
    <w:p w:rsidR="00B02C4B" w:rsidP="00B02C4B" w14:paraId="40FFB847" w14:textId="7D70CBA0">
      <w:pPr>
        <w:tabs>
          <w:tab w:val="center" w:pos="4680"/>
        </w:tabs>
        <w:ind w:left="720"/>
        <w:jc w:val="center"/>
        <w:rPr>
          <w:rFonts w:ascii="Calibri" w:hAnsi="Calibri" w:cs="Calibri"/>
        </w:rPr>
      </w:pPr>
      <w:r w:rsidRPr="00BF0D4E">
        <w:rPr>
          <w:rFonts w:ascii="Calibri" w:hAnsi="Calibri" w:cs="Calibri"/>
        </w:rPr>
        <w:t>Rules for Certain Rental Real Estate Activities</w:t>
      </w:r>
    </w:p>
    <w:p w:rsidR="00B02C4B" w:rsidP="00B02C4B" w14:paraId="2D4D417A" w14:textId="77777777">
      <w:pPr>
        <w:tabs>
          <w:tab w:val="center" w:pos="4680"/>
        </w:tabs>
        <w:ind w:left="720"/>
        <w:rPr>
          <w:rFonts w:ascii="Calibri" w:hAnsi="Calibri" w:cs="Calibri"/>
        </w:rPr>
      </w:pPr>
    </w:p>
    <w:tbl>
      <w:tblPr>
        <w:tblW w:w="4431" w:type="pct"/>
        <w:tblInd w:w="71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260"/>
        <w:gridCol w:w="3243"/>
        <w:gridCol w:w="3778"/>
      </w:tblGrid>
      <w:tr w14:paraId="782917B1" w14:textId="77777777" w:rsidTr="00BF0D4E">
        <w:tblPrEx>
          <w:tblW w:w="4431" w:type="pct"/>
          <w:tblInd w:w="71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hideMark/>
          </w:tcPr>
          <w:p w:rsidR="00BF0D4E" w:rsidP="00BF0D4E" w14:paraId="49F67A85" w14:textId="77777777">
            <w:pPr>
              <w:jc w:val="center"/>
              <w:rPr>
                <w:rFonts w:ascii="Times New Roman" w:hAnsi="Times New Roman"/>
                <w:b/>
                <w:bCs/>
                <w:color w:val="000000"/>
                <w:sz w:val="22"/>
                <w:szCs w:val="22"/>
              </w:rPr>
            </w:pPr>
            <w:r>
              <w:rPr>
                <w:rFonts w:ascii="Times New Roman" w:hAnsi="Times New Roman"/>
                <w:b/>
                <w:bCs/>
                <w:color w:val="000000"/>
                <w:sz w:val="22"/>
                <w:szCs w:val="22"/>
              </w:rPr>
              <w:t>Comment</w:t>
            </w:r>
          </w:p>
          <w:p w:rsidR="00B02C4B" w:rsidRPr="00E97F96" w:rsidP="00BF0D4E" w14:paraId="07D5BC51" w14:textId="3DBE5603">
            <w:pPr>
              <w:jc w:val="center"/>
              <w:rPr>
                <w:rFonts w:ascii="Times New Roman" w:hAnsi="Times New Roman"/>
                <w:b/>
                <w:bCs/>
                <w:color w:val="000000"/>
                <w:sz w:val="22"/>
                <w:szCs w:val="22"/>
              </w:rPr>
            </w:pPr>
            <w:r>
              <w:rPr>
                <w:rFonts w:ascii="Times New Roman" w:hAnsi="Times New Roman"/>
                <w:b/>
                <w:bCs/>
                <w:color w:val="000000"/>
                <w:sz w:val="22"/>
                <w:szCs w:val="22"/>
              </w:rPr>
              <w:t xml:space="preserve"> Number</w:t>
            </w:r>
          </w:p>
        </w:tc>
        <w:tc>
          <w:tcPr>
            <w:tcW w:w="1958" w:type="pct"/>
            <w:tcBorders>
              <w:top w:val="outset" w:sz="6" w:space="0" w:color="auto"/>
              <w:left w:val="outset" w:sz="6" w:space="0" w:color="auto"/>
              <w:bottom w:val="outset" w:sz="6" w:space="0" w:color="auto"/>
              <w:right w:val="outset" w:sz="6" w:space="0" w:color="auto"/>
            </w:tcBorders>
            <w:vAlign w:val="center"/>
            <w:hideMark/>
          </w:tcPr>
          <w:p w:rsidR="00B02C4B" w:rsidRPr="00D27B77" w:rsidP="00270736" w14:paraId="2DA61E7B" w14:textId="4AA0CD1E">
            <w:pPr>
              <w:jc w:val="center"/>
              <w:rPr>
                <w:rFonts w:ascii="Times New Roman" w:hAnsi="Times New Roman"/>
                <w:b/>
                <w:bCs/>
                <w:color w:val="000000"/>
              </w:rPr>
            </w:pPr>
            <w:r>
              <w:rPr>
                <w:rFonts w:ascii="Times New Roman" w:hAnsi="Times New Roman"/>
                <w:b/>
                <w:bCs/>
                <w:color w:val="000000"/>
              </w:rPr>
              <w:t>Summary of Comment</w:t>
            </w:r>
          </w:p>
        </w:tc>
        <w:tc>
          <w:tcPr>
            <w:tcW w:w="2281" w:type="pct"/>
            <w:tcBorders>
              <w:top w:val="outset" w:sz="6" w:space="0" w:color="auto"/>
              <w:left w:val="outset" w:sz="6" w:space="0" w:color="auto"/>
              <w:bottom w:val="outset" w:sz="6" w:space="0" w:color="auto"/>
              <w:right w:val="outset" w:sz="6" w:space="0" w:color="auto"/>
            </w:tcBorders>
            <w:vAlign w:val="center"/>
            <w:hideMark/>
          </w:tcPr>
          <w:p w:rsidR="00B02C4B" w:rsidRPr="00D27B77" w:rsidP="00270736" w14:paraId="58EC3138" w14:textId="586EA305">
            <w:pPr>
              <w:jc w:val="center"/>
              <w:rPr>
                <w:rFonts w:ascii="Times New Roman" w:hAnsi="Times New Roman"/>
                <w:b/>
                <w:bCs/>
                <w:color w:val="000000"/>
              </w:rPr>
            </w:pPr>
            <w:r>
              <w:rPr>
                <w:rFonts w:ascii="Times New Roman" w:hAnsi="Times New Roman"/>
                <w:b/>
                <w:bCs/>
                <w:color w:val="000000"/>
              </w:rPr>
              <w:t>IRS Response</w:t>
            </w:r>
          </w:p>
        </w:tc>
      </w:tr>
      <w:tr w14:paraId="63E94194" w14:textId="77777777" w:rsidTr="00BF0D4E">
        <w:tblPrEx>
          <w:tblW w:w="4431" w:type="pct"/>
          <w:tblInd w:w="712" w:type="dxa"/>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hideMark/>
          </w:tcPr>
          <w:p w:rsidR="00B02C4B" w:rsidRPr="00E97F96" w:rsidP="00270736" w14:paraId="5B7EE626" w14:textId="2F9F7C15">
            <w:pPr>
              <w:rPr>
                <w:rFonts w:ascii="Times New Roman" w:hAnsi="Times New Roman"/>
                <w:color w:val="000000"/>
                <w:sz w:val="22"/>
                <w:szCs w:val="22"/>
              </w:rPr>
            </w:pPr>
            <w:r>
              <w:rPr>
                <w:rFonts w:ascii="Times New Roman" w:hAnsi="Times New Roman"/>
                <w:color w:val="000000"/>
                <w:sz w:val="22"/>
                <w:szCs w:val="22"/>
              </w:rPr>
              <w:t>1.</w:t>
            </w:r>
          </w:p>
        </w:tc>
        <w:tc>
          <w:tcPr>
            <w:tcW w:w="1958" w:type="pct"/>
            <w:tcBorders>
              <w:top w:val="outset" w:sz="6" w:space="0" w:color="auto"/>
              <w:left w:val="outset" w:sz="6" w:space="0" w:color="auto"/>
              <w:bottom w:val="outset" w:sz="6" w:space="0" w:color="auto"/>
              <w:right w:val="outset" w:sz="6" w:space="0" w:color="auto"/>
            </w:tcBorders>
            <w:vAlign w:val="center"/>
          </w:tcPr>
          <w:p w:rsidR="008058FF" w:rsidP="00BF0D4E" w14:paraId="376CE83E" w14:textId="4CA55FAD">
            <w:pPr>
              <w:rPr>
                <w:rFonts w:ascii="Times New Roman" w:hAnsi="Times New Roman"/>
                <w:color w:val="000000"/>
              </w:rPr>
            </w:pPr>
            <w:r>
              <w:rPr>
                <w:rFonts w:ascii="Times New Roman" w:hAnsi="Times New Roman"/>
                <w:color w:val="000000"/>
              </w:rPr>
              <w:t>Commenter supports</w:t>
            </w:r>
            <w:r>
              <w:rPr>
                <w:rFonts w:ascii="Times New Roman" w:hAnsi="Times New Roman"/>
                <w:color w:val="000000"/>
              </w:rPr>
              <w:t xml:space="preserve"> the continued</w:t>
            </w:r>
            <w:r w:rsidRPr="00B95A2E">
              <w:rPr>
                <w:rFonts w:ascii="Times New Roman" w:hAnsi="Times New Roman"/>
                <w:color w:val="000000"/>
              </w:rPr>
              <w:t xml:space="preserve"> availability of th</w:t>
            </w:r>
            <w:r>
              <w:rPr>
                <w:rFonts w:ascii="Times New Roman" w:hAnsi="Times New Roman"/>
                <w:color w:val="000000"/>
              </w:rPr>
              <w:t>e</w:t>
            </w:r>
            <w:r w:rsidRPr="00B95A2E">
              <w:rPr>
                <w:rFonts w:ascii="Times New Roman" w:hAnsi="Times New Roman"/>
                <w:color w:val="000000"/>
              </w:rPr>
              <w:t xml:space="preserve"> election</w:t>
            </w:r>
            <w:r>
              <w:rPr>
                <w:rFonts w:ascii="Times New Roman" w:hAnsi="Times New Roman"/>
                <w:color w:val="000000"/>
              </w:rPr>
              <w:t>.</w:t>
            </w:r>
            <w:r w:rsidRPr="00B95A2E">
              <w:rPr>
                <w:rFonts w:ascii="Times New Roman" w:hAnsi="Times New Roman"/>
                <w:color w:val="000000"/>
              </w:rPr>
              <w:t xml:space="preserve"> </w:t>
            </w:r>
          </w:p>
          <w:p w:rsidR="00BF0D4E" w:rsidRPr="00BF0D4E" w:rsidP="00BF0D4E" w14:paraId="44E61285" w14:textId="08AA9721">
            <w:pPr>
              <w:rPr>
                <w:rFonts w:ascii="Times New Roman" w:hAnsi="Times New Roman"/>
                <w:color w:val="000000"/>
              </w:rPr>
            </w:pPr>
            <w:r w:rsidRPr="00BF0D4E">
              <w:rPr>
                <w:rFonts w:ascii="Times New Roman" w:hAnsi="Times New Roman"/>
                <w:color w:val="000000"/>
              </w:rPr>
              <w:t>Practical Value of the Election</w:t>
            </w:r>
            <w:r>
              <w:rPr>
                <w:rFonts w:ascii="Times New Roman" w:hAnsi="Times New Roman"/>
                <w:color w:val="000000"/>
              </w:rPr>
              <w:t>:</w:t>
            </w:r>
          </w:p>
          <w:p w:rsidR="00B02C4B" w:rsidRPr="00D27B77" w:rsidP="00BF0D4E" w14:paraId="2E501B98" w14:textId="0DF804FF">
            <w:pPr>
              <w:rPr>
                <w:rFonts w:ascii="Times New Roman" w:hAnsi="Times New Roman"/>
                <w:color w:val="000000"/>
              </w:rPr>
            </w:pPr>
            <w:r w:rsidRPr="00BF0D4E">
              <w:rPr>
                <w:rFonts w:ascii="Times New Roman" w:hAnsi="Times New Roman"/>
                <w:color w:val="000000"/>
              </w:rPr>
              <w:t>The ability to treat multiple rental properties as a single activity is an important and practical tool for taxpayers. It helps simplify tax reporting and aligns with how rental portfolios are often managed in real-world operations.</w:t>
            </w:r>
          </w:p>
        </w:tc>
        <w:tc>
          <w:tcPr>
            <w:tcW w:w="2281" w:type="pct"/>
            <w:tcBorders>
              <w:top w:val="outset" w:sz="6" w:space="0" w:color="auto"/>
              <w:left w:val="outset" w:sz="6" w:space="0" w:color="auto"/>
              <w:bottom w:val="outset" w:sz="6" w:space="0" w:color="auto"/>
              <w:right w:val="outset" w:sz="6" w:space="0" w:color="auto"/>
            </w:tcBorders>
            <w:vAlign w:val="center"/>
          </w:tcPr>
          <w:p w:rsidR="00B02C4B" w:rsidRPr="00D27B77" w:rsidP="008058FF" w14:paraId="523F5D40" w14:textId="30AE2186">
            <w:pPr>
              <w:rPr>
                <w:rFonts w:ascii="Times New Roman" w:hAnsi="Times New Roman"/>
                <w:color w:val="000000"/>
              </w:rPr>
            </w:pPr>
            <w:r w:rsidRPr="008058FF">
              <w:rPr>
                <w:rFonts w:ascii="Times New Roman" w:hAnsi="Times New Roman"/>
                <w:color w:val="000000"/>
              </w:rPr>
              <w:t>The IRS thanks the commenter for their response in support of Revenue Procedure 2011-</w:t>
            </w:r>
            <w:r w:rsidR="00E17C0F">
              <w:rPr>
                <w:rFonts w:ascii="Times New Roman" w:hAnsi="Times New Roman"/>
                <w:color w:val="000000"/>
              </w:rPr>
              <w:t>3</w:t>
            </w:r>
            <w:r w:rsidRPr="008058FF">
              <w:rPr>
                <w:rFonts w:ascii="Times New Roman" w:hAnsi="Times New Roman"/>
                <w:color w:val="000000"/>
              </w:rPr>
              <w:t>4.</w:t>
            </w:r>
          </w:p>
        </w:tc>
      </w:tr>
      <w:tr w14:paraId="15501D61" w14:textId="77777777" w:rsidTr="00BF0D4E">
        <w:tblPrEx>
          <w:tblW w:w="4431" w:type="pct"/>
          <w:tblInd w:w="712" w:type="dxa"/>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hideMark/>
          </w:tcPr>
          <w:p w:rsidR="00B02C4B" w:rsidRPr="00E97F96" w:rsidP="00270736" w14:paraId="0685C919" w14:textId="68C69671">
            <w:pPr>
              <w:rPr>
                <w:rFonts w:ascii="Times New Roman" w:hAnsi="Times New Roman"/>
                <w:color w:val="000000"/>
                <w:sz w:val="22"/>
                <w:szCs w:val="22"/>
              </w:rPr>
            </w:pPr>
            <w:r>
              <w:rPr>
                <w:rFonts w:ascii="Times New Roman" w:hAnsi="Times New Roman"/>
                <w:color w:val="000000"/>
                <w:sz w:val="22"/>
                <w:szCs w:val="22"/>
              </w:rPr>
              <w:t>2</w:t>
            </w:r>
            <w:r w:rsidR="00BF0D4E">
              <w:rPr>
                <w:rFonts w:ascii="Times New Roman" w:hAnsi="Times New Roman"/>
                <w:color w:val="000000"/>
                <w:sz w:val="22"/>
                <w:szCs w:val="22"/>
              </w:rPr>
              <w:t>.</w:t>
            </w:r>
          </w:p>
        </w:tc>
        <w:tc>
          <w:tcPr>
            <w:tcW w:w="1958" w:type="pct"/>
            <w:tcBorders>
              <w:top w:val="outset" w:sz="6" w:space="0" w:color="auto"/>
              <w:left w:val="outset" w:sz="6" w:space="0" w:color="auto"/>
              <w:bottom w:val="outset" w:sz="6" w:space="0" w:color="auto"/>
              <w:right w:val="outset" w:sz="6" w:space="0" w:color="auto"/>
            </w:tcBorders>
            <w:vAlign w:val="center"/>
          </w:tcPr>
          <w:p w:rsidR="008058FF" w:rsidP="00BF0D4E" w14:paraId="5EA65B08" w14:textId="77777777">
            <w:pPr>
              <w:rPr>
                <w:rFonts w:ascii="Times New Roman" w:hAnsi="Times New Roman"/>
                <w:color w:val="000000"/>
              </w:rPr>
            </w:pPr>
            <w:r>
              <w:rPr>
                <w:rFonts w:ascii="Times New Roman" w:hAnsi="Times New Roman"/>
                <w:color w:val="000000"/>
              </w:rPr>
              <w:t xml:space="preserve">Commenter </w:t>
            </w:r>
            <w:r w:rsidRPr="008058FF">
              <w:rPr>
                <w:rFonts w:ascii="Times New Roman" w:hAnsi="Times New Roman"/>
                <w:color w:val="000000"/>
              </w:rPr>
              <w:t>encourages</w:t>
            </w:r>
            <w:r w:rsidRPr="008058FF">
              <w:rPr>
                <w:rFonts w:ascii="Times New Roman" w:hAnsi="Times New Roman"/>
                <w:color w:val="000000"/>
              </w:rPr>
              <w:t xml:space="preserve"> the IRS to streamline the process, reduce administrative burden, and improve clarity for small rental housing providers (as summarized below).</w:t>
            </w:r>
          </w:p>
          <w:p w:rsidR="008058FF" w:rsidP="00BF0D4E" w14:paraId="0D31308B" w14:textId="77777777">
            <w:pPr>
              <w:rPr>
                <w:rFonts w:ascii="Times New Roman" w:hAnsi="Times New Roman"/>
                <w:color w:val="000000"/>
              </w:rPr>
            </w:pPr>
          </w:p>
          <w:p w:rsidR="00BF0D4E" w:rsidRPr="00BF0D4E" w:rsidP="00BF0D4E" w14:paraId="71D7A90E" w14:textId="2EFF24BD">
            <w:pPr>
              <w:rPr>
                <w:rFonts w:ascii="Times New Roman" w:hAnsi="Times New Roman"/>
                <w:color w:val="000000"/>
              </w:rPr>
            </w:pPr>
            <w:r w:rsidRPr="00BF0D4E">
              <w:rPr>
                <w:rFonts w:ascii="Times New Roman" w:hAnsi="Times New Roman"/>
                <w:color w:val="000000"/>
              </w:rPr>
              <w:t>Paperwork Burden and Process Complexity</w:t>
            </w:r>
            <w:r>
              <w:rPr>
                <w:rFonts w:ascii="Times New Roman" w:hAnsi="Times New Roman"/>
                <w:color w:val="000000"/>
              </w:rPr>
              <w:t>:</w:t>
            </w:r>
          </w:p>
          <w:p w:rsidR="00BF0D4E" w:rsidRPr="00BF0D4E" w:rsidP="00BF0D4E" w14:paraId="797D68EE" w14:textId="48968FC3">
            <w:pPr>
              <w:rPr>
                <w:rFonts w:ascii="Times New Roman" w:hAnsi="Times New Roman"/>
                <w:color w:val="000000"/>
              </w:rPr>
            </w:pPr>
            <w:r>
              <w:rPr>
                <w:rFonts w:ascii="Times New Roman" w:hAnsi="Times New Roman"/>
                <w:color w:val="000000"/>
              </w:rPr>
              <w:t>T</w:t>
            </w:r>
            <w:r w:rsidRPr="00BF0D4E">
              <w:rPr>
                <w:rFonts w:ascii="Times New Roman" w:hAnsi="Times New Roman"/>
                <w:color w:val="000000"/>
              </w:rPr>
              <w:t>he election itself is valuable, the process for making a late election can be difficult to navigate</w:t>
            </w:r>
            <w:r w:rsidR="008058FF">
              <w:rPr>
                <w:rFonts w:ascii="Times New Roman" w:hAnsi="Times New Roman"/>
                <w:color w:val="000000"/>
              </w:rPr>
              <w:t>,</w:t>
            </w:r>
            <w:r w:rsidRPr="00BF0D4E">
              <w:rPr>
                <w:rFonts w:ascii="Times New Roman" w:hAnsi="Times New Roman"/>
                <w:color w:val="000000"/>
              </w:rPr>
              <w:t xml:space="preserve"> small property owners and managers are unaware of the option</w:t>
            </w:r>
            <w:r w:rsidR="008058FF">
              <w:rPr>
                <w:rFonts w:ascii="Times New Roman" w:hAnsi="Times New Roman"/>
                <w:color w:val="000000"/>
              </w:rPr>
              <w:t xml:space="preserve"> until after filing deadline,</w:t>
            </w:r>
            <w:r w:rsidRPr="00BF0D4E">
              <w:rPr>
                <w:rFonts w:ascii="Times New Roman" w:hAnsi="Times New Roman"/>
                <w:color w:val="000000"/>
              </w:rPr>
              <w:t xml:space="preserve"> and the procedural requirements can be confusing without professional tax assistance.</w:t>
            </w:r>
          </w:p>
          <w:p w:rsidR="00BF0D4E" w:rsidRPr="00BF0D4E" w:rsidP="00BF0D4E" w14:paraId="5B2F7390" w14:textId="6BFC2B75">
            <w:pPr>
              <w:rPr>
                <w:rFonts w:ascii="Times New Roman" w:hAnsi="Times New Roman"/>
                <w:color w:val="000000"/>
              </w:rPr>
            </w:pPr>
            <w:r>
              <w:rPr>
                <w:rFonts w:ascii="Times New Roman" w:hAnsi="Times New Roman"/>
                <w:color w:val="000000"/>
              </w:rPr>
              <w:t>R</w:t>
            </w:r>
            <w:r w:rsidRPr="00BF0D4E">
              <w:rPr>
                <w:rFonts w:ascii="Times New Roman" w:hAnsi="Times New Roman"/>
                <w:color w:val="000000"/>
              </w:rPr>
              <w:t>ecommend</w:t>
            </w:r>
            <w:r>
              <w:rPr>
                <w:rFonts w:ascii="Times New Roman" w:hAnsi="Times New Roman"/>
                <w:color w:val="000000"/>
              </w:rPr>
              <w:t>ation</w:t>
            </w:r>
            <w:r w:rsidRPr="00BF0D4E">
              <w:rPr>
                <w:rFonts w:ascii="Times New Roman" w:hAnsi="Times New Roman"/>
                <w:color w:val="000000"/>
              </w:rPr>
              <w:t>:</w:t>
            </w:r>
          </w:p>
          <w:p w:rsidR="00BF0D4E" w:rsidRPr="00BF0D4E" w:rsidP="00BF0D4E" w14:paraId="467133F4" w14:textId="5808489B">
            <w:pPr>
              <w:rPr>
                <w:rFonts w:ascii="Times New Roman" w:hAnsi="Times New Roman"/>
                <w:color w:val="000000"/>
              </w:rPr>
            </w:pPr>
            <w:r w:rsidRPr="00BF0D4E">
              <w:rPr>
                <w:rFonts w:ascii="Times New Roman" w:hAnsi="Times New Roman"/>
                <w:color w:val="000000"/>
              </w:rPr>
              <w:t>•</w:t>
            </w:r>
            <w:r w:rsidR="00B95A2E">
              <w:rPr>
                <w:rFonts w:ascii="Times New Roman" w:hAnsi="Times New Roman"/>
                <w:color w:val="000000"/>
              </w:rPr>
              <w:t xml:space="preserve"> </w:t>
            </w:r>
            <w:r w:rsidRPr="00BF0D4E">
              <w:rPr>
                <w:rFonts w:ascii="Times New Roman" w:hAnsi="Times New Roman"/>
                <w:color w:val="000000"/>
              </w:rPr>
              <w:t>Simplifying the instructions and eligibility criteria</w:t>
            </w:r>
          </w:p>
          <w:p w:rsidR="00BF0D4E" w:rsidRPr="00BF0D4E" w:rsidP="00BF0D4E" w14:paraId="7FE2ECE8" w14:textId="50D64B6F">
            <w:pPr>
              <w:rPr>
                <w:rFonts w:ascii="Times New Roman" w:hAnsi="Times New Roman"/>
                <w:color w:val="000000"/>
              </w:rPr>
            </w:pPr>
            <w:r w:rsidRPr="00BF0D4E">
              <w:rPr>
                <w:rFonts w:ascii="Times New Roman" w:hAnsi="Times New Roman"/>
                <w:color w:val="000000"/>
              </w:rPr>
              <w:t>•</w:t>
            </w:r>
            <w:r w:rsidR="00B95A2E">
              <w:rPr>
                <w:rFonts w:ascii="Times New Roman" w:hAnsi="Times New Roman"/>
                <w:color w:val="000000"/>
              </w:rPr>
              <w:t xml:space="preserve"> </w:t>
            </w:r>
            <w:r w:rsidRPr="00BF0D4E">
              <w:rPr>
                <w:rFonts w:ascii="Times New Roman" w:hAnsi="Times New Roman"/>
                <w:color w:val="000000"/>
              </w:rPr>
              <w:t>Providing clearer, more accessible guidance written for non-tax professionals</w:t>
            </w:r>
          </w:p>
          <w:p w:rsidR="00B02C4B" w:rsidRPr="00D27B77" w:rsidP="00BF0D4E" w14:paraId="558080FF" w14:textId="0EE537A8">
            <w:pPr>
              <w:rPr>
                <w:rFonts w:ascii="Times New Roman" w:hAnsi="Times New Roman"/>
                <w:color w:val="000000"/>
              </w:rPr>
            </w:pPr>
            <w:r w:rsidRPr="00BF0D4E">
              <w:rPr>
                <w:rFonts w:ascii="Times New Roman" w:hAnsi="Times New Roman"/>
                <w:color w:val="000000"/>
              </w:rPr>
              <w:t>•</w:t>
            </w:r>
            <w:r w:rsidR="00B95A2E">
              <w:rPr>
                <w:rFonts w:ascii="Times New Roman" w:hAnsi="Times New Roman"/>
                <w:color w:val="000000"/>
              </w:rPr>
              <w:t xml:space="preserve"> </w:t>
            </w:r>
            <w:r w:rsidRPr="00BF0D4E">
              <w:rPr>
                <w:rFonts w:ascii="Times New Roman" w:hAnsi="Times New Roman"/>
                <w:color w:val="000000"/>
              </w:rPr>
              <w:t>Offering standardized templates or examples for making the election</w:t>
            </w:r>
          </w:p>
        </w:tc>
        <w:tc>
          <w:tcPr>
            <w:tcW w:w="2281" w:type="pct"/>
            <w:tcBorders>
              <w:top w:val="outset" w:sz="6" w:space="0" w:color="auto"/>
              <w:left w:val="outset" w:sz="6" w:space="0" w:color="auto"/>
              <w:bottom w:val="outset" w:sz="6" w:space="0" w:color="auto"/>
              <w:right w:val="outset" w:sz="6" w:space="0" w:color="auto"/>
            </w:tcBorders>
            <w:vAlign w:val="center"/>
          </w:tcPr>
          <w:p w:rsidR="00B02C4B" w:rsidRPr="00D27B77" w:rsidP="00AA4362" w14:paraId="3DE1AA54" w14:textId="48DB013C">
            <w:pPr>
              <w:jc w:val="both"/>
              <w:rPr>
                <w:rFonts w:ascii="Times New Roman" w:hAnsi="Times New Roman"/>
                <w:color w:val="000000"/>
              </w:rPr>
            </w:pPr>
            <w:r w:rsidRPr="00AA4362">
              <w:rPr>
                <w:rFonts w:ascii="Times New Roman" w:hAnsi="Times New Roman"/>
                <w:color w:val="000000"/>
              </w:rPr>
              <w:t>The IRS will evaluate these suggestions for any published agency guidance developments, in conjunction with ongoing guidance projects, and balancing the needs of the Agency and any new legislative priorities.</w:t>
            </w:r>
          </w:p>
        </w:tc>
      </w:tr>
      <w:tr w14:paraId="47BDC159" w14:textId="77777777" w:rsidTr="00BF0D4E">
        <w:tblPrEx>
          <w:tblW w:w="4431" w:type="pct"/>
          <w:tblInd w:w="712" w:type="dxa"/>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tcPr>
          <w:p w:rsidR="00B95A2E" w:rsidP="00270736" w14:paraId="6786C290" w14:textId="2DC74E91">
            <w:pPr>
              <w:rPr>
                <w:rFonts w:ascii="Times New Roman" w:hAnsi="Times New Roman"/>
                <w:color w:val="000000"/>
                <w:sz w:val="22"/>
                <w:szCs w:val="22"/>
              </w:rPr>
            </w:pPr>
            <w:r>
              <w:rPr>
                <w:rFonts w:ascii="Times New Roman" w:hAnsi="Times New Roman"/>
                <w:color w:val="000000"/>
                <w:sz w:val="22"/>
                <w:szCs w:val="22"/>
              </w:rPr>
              <w:t>3.</w:t>
            </w:r>
          </w:p>
        </w:tc>
        <w:tc>
          <w:tcPr>
            <w:tcW w:w="1958" w:type="pct"/>
            <w:tcBorders>
              <w:top w:val="outset" w:sz="6" w:space="0" w:color="auto"/>
              <w:left w:val="outset" w:sz="6" w:space="0" w:color="auto"/>
              <w:bottom w:val="outset" w:sz="6" w:space="0" w:color="auto"/>
              <w:right w:val="outset" w:sz="6" w:space="0" w:color="auto"/>
            </w:tcBorders>
            <w:vAlign w:val="center"/>
          </w:tcPr>
          <w:p w:rsidR="00B95A2E" w:rsidRPr="00B95A2E" w:rsidP="00B95A2E" w14:paraId="3A4ACF57" w14:textId="6593F2E7">
            <w:pPr>
              <w:rPr>
                <w:rFonts w:ascii="Times New Roman" w:hAnsi="Times New Roman"/>
                <w:color w:val="000000"/>
              </w:rPr>
            </w:pPr>
            <w:r w:rsidRPr="00B95A2E">
              <w:rPr>
                <w:rFonts w:ascii="Times New Roman" w:hAnsi="Times New Roman"/>
                <w:color w:val="000000"/>
              </w:rPr>
              <w:t>Time Estimates</w:t>
            </w:r>
            <w:r>
              <w:rPr>
                <w:rFonts w:ascii="Times New Roman" w:hAnsi="Times New Roman"/>
                <w:color w:val="000000"/>
              </w:rPr>
              <w:t>:</w:t>
            </w:r>
          </w:p>
          <w:p w:rsidR="00B95A2E" w:rsidRPr="00BF0D4E" w:rsidP="00B95A2E" w14:paraId="37E2F963" w14:textId="2E2B3319">
            <w:pPr>
              <w:rPr>
                <w:rFonts w:ascii="Times New Roman" w:hAnsi="Times New Roman"/>
                <w:color w:val="000000"/>
              </w:rPr>
            </w:pPr>
            <w:r>
              <w:rPr>
                <w:rFonts w:ascii="Times New Roman" w:hAnsi="Times New Roman"/>
                <w:color w:val="000000"/>
              </w:rPr>
              <w:t>T</w:t>
            </w:r>
            <w:r w:rsidRPr="00B95A2E">
              <w:rPr>
                <w:rFonts w:ascii="Times New Roman" w:hAnsi="Times New Roman"/>
                <w:color w:val="000000"/>
              </w:rPr>
              <w:t>he time required to understand, prepare, and submit a late election is likely underestimated. Property owners often need to consult with accountants or legal professionals, which increases both time and cost burdens.</w:t>
            </w:r>
          </w:p>
        </w:tc>
        <w:tc>
          <w:tcPr>
            <w:tcW w:w="2281" w:type="pct"/>
            <w:tcBorders>
              <w:top w:val="outset" w:sz="6" w:space="0" w:color="auto"/>
              <w:left w:val="outset" w:sz="6" w:space="0" w:color="auto"/>
              <w:bottom w:val="outset" w:sz="6" w:space="0" w:color="auto"/>
              <w:right w:val="outset" w:sz="6" w:space="0" w:color="auto"/>
            </w:tcBorders>
            <w:vAlign w:val="center"/>
          </w:tcPr>
          <w:p w:rsidR="00B95A2E" w:rsidRPr="00D27B77" w:rsidP="00AA4362" w14:paraId="19861419" w14:textId="585C32CB">
            <w:pPr>
              <w:jc w:val="both"/>
              <w:rPr>
                <w:rFonts w:ascii="Times New Roman" w:hAnsi="Times New Roman"/>
                <w:color w:val="000000"/>
              </w:rPr>
            </w:pPr>
            <w:r w:rsidRPr="00AA4362">
              <w:rPr>
                <w:rFonts w:ascii="Times New Roman" w:hAnsi="Times New Roman"/>
                <w:color w:val="000000"/>
              </w:rPr>
              <w:t>The IRS will evaluate these suggestions for any published agency guidance developments, in conjunction with ongoing guidance projects, and balancing the needs of the Agency and any new legislative priorities.</w:t>
            </w:r>
          </w:p>
        </w:tc>
      </w:tr>
      <w:tr w14:paraId="3C657EEA" w14:textId="77777777" w:rsidTr="00BF0D4E">
        <w:tblPrEx>
          <w:tblW w:w="4431" w:type="pct"/>
          <w:tblInd w:w="712" w:type="dxa"/>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tcPr>
          <w:p w:rsidR="00B95A2E" w:rsidP="00270736" w14:paraId="03415D3E" w14:textId="5F7E69D9">
            <w:pPr>
              <w:rPr>
                <w:rFonts w:ascii="Times New Roman" w:hAnsi="Times New Roman"/>
                <w:color w:val="000000"/>
                <w:sz w:val="22"/>
                <w:szCs w:val="22"/>
              </w:rPr>
            </w:pPr>
            <w:r>
              <w:rPr>
                <w:rFonts w:ascii="Times New Roman" w:hAnsi="Times New Roman"/>
                <w:color w:val="000000"/>
                <w:sz w:val="22"/>
                <w:szCs w:val="22"/>
              </w:rPr>
              <w:t>4.</w:t>
            </w:r>
          </w:p>
        </w:tc>
        <w:tc>
          <w:tcPr>
            <w:tcW w:w="1958" w:type="pct"/>
            <w:tcBorders>
              <w:top w:val="outset" w:sz="6" w:space="0" w:color="auto"/>
              <w:left w:val="outset" w:sz="6" w:space="0" w:color="auto"/>
              <w:bottom w:val="outset" w:sz="6" w:space="0" w:color="auto"/>
              <w:right w:val="outset" w:sz="6" w:space="0" w:color="auto"/>
            </w:tcBorders>
            <w:vAlign w:val="center"/>
          </w:tcPr>
          <w:p w:rsidR="00B95A2E" w:rsidRPr="00B95A2E" w:rsidP="00B95A2E" w14:paraId="51089BAE" w14:textId="1C313B74">
            <w:pPr>
              <w:rPr>
                <w:rFonts w:ascii="Times New Roman" w:hAnsi="Times New Roman"/>
                <w:color w:val="000000"/>
              </w:rPr>
            </w:pPr>
            <w:r w:rsidRPr="00B95A2E">
              <w:rPr>
                <w:rFonts w:ascii="Times New Roman" w:hAnsi="Times New Roman"/>
                <w:color w:val="000000"/>
              </w:rPr>
              <w:t>Opportunities to Reduce Burden</w:t>
            </w:r>
          </w:p>
          <w:p w:rsidR="00B95A2E" w:rsidRPr="00B95A2E" w:rsidP="00B95A2E" w14:paraId="60ADF814" w14:textId="0A94E63A">
            <w:pPr>
              <w:rPr>
                <w:rFonts w:ascii="Times New Roman" w:hAnsi="Times New Roman"/>
                <w:color w:val="000000"/>
              </w:rPr>
            </w:pPr>
            <w:r w:rsidRPr="00B95A2E">
              <w:rPr>
                <w:rFonts w:ascii="Times New Roman" w:hAnsi="Times New Roman"/>
                <w:color w:val="000000"/>
              </w:rPr>
              <w:t>•</w:t>
            </w:r>
            <w:r>
              <w:rPr>
                <w:rFonts w:ascii="Times New Roman" w:hAnsi="Times New Roman"/>
                <w:color w:val="000000"/>
              </w:rPr>
              <w:t xml:space="preserve"> </w:t>
            </w:r>
            <w:r w:rsidRPr="00B95A2E">
              <w:rPr>
                <w:rFonts w:ascii="Times New Roman" w:hAnsi="Times New Roman"/>
                <w:color w:val="000000"/>
              </w:rPr>
              <w:t>Allowing electronic submission of late election requests</w:t>
            </w:r>
          </w:p>
          <w:p w:rsidR="00B95A2E" w:rsidRPr="00B95A2E" w:rsidP="00B95A2E" w14:paraId="0D130F87" w14:textId="7417064E">
            <w:pPr>
              <w:rPr>
                <w:rFonts w:ascii="Times New Roman" w:hAnsi="Times New Roman"/>
                <w:color w:val="000000"/>
              </w:rPr>
            </w:pPr>
            <w:r w:rsidRPr="00B95A2E">
              <w:rPr>
                <w:rFonts w:ascii="Times New Roman" w:hAnsi="Times New Roman"/>
                <w:color w:val="000000"/>
              </w:rPr>
              <w:t>•</w:t>
            </w:r>
            <w:r>
              <w:rPr>
                <w:rFonts w:ascii="Times New Roman" w:hAnsi="Times New Roman"/>
                <w:color w:val="000000"/>
              </w:rPr>
              <w:t xml:space="preserve">  </w:t>
            </w:r>
            <w:r w:rsidRPr="00B95A2E">
              <w:rPr>
                <w:rFonts w:ascii="Times New Roman" w:hAnsi="Times New Roman"/>
                <w:color w:val="000000"/>
              </w:rPr>
              <w:t>Integrating the election process more directly into standard tax filing workflows</w:t>
            </w:r>
          </w:p>
          <w:p w:rsidR="00B95A2E" w:rsidRPr="00B95A2E" w:rsidP="00B95A2E" w14:paraId="7DA2BC0E" w14:textId="1FDCE3DA">
            <w:pPr>
              <w:rPr>
                <w:rFonts w:ascii="Times New Roman" w:hAnsi="Times New Roman"/>
                <w:color w:val="000000"/>
              </w:rPr>
            </w:pPr>
            <w:r w:rsidRPr="00B95A2E">
              <w:rPr>
                <w:rFonts w:ascii="Times New Roman" w:hAnsi="Times New Roman"/>
                <w:color w:val="000000"/>
              </w:rPr>
              <w:t>•</w:t>
            </w:r>
            <w:r>
              <w:rPr>
                <w:rFonts w:ascii="Times New Roman" w:hAnsi="Times New Roman"/>
                <w:color w:val="000000"/>
              </w:rPr>
              <w:t xml:space="preserve"> P</w:t>
            </w:r>
            <w:r w:rsidRPr="00B95A2E">
              <w:rPr>
                <w:rFonts w:ascii="Times New Roman" w:hAnsi="Times New Roman"/>
                <w:color w:val="000000"/>
              </w:rPr>
              <w:t>roviding an automatic or simplified relief mechanism for qualifying small taxpayers</w:t>
            </w:r>
          </w:p>
        </w:tc>
        <w:tc>
          <w:tcPr>
            <w:tcW w:w="2281" w:type="pct"/>
            <w:tcBorders>
              <w:top w:val="outset" w:sz="6" w:space="0" w:color="auto"/>
              <w:left w:val="outset" w:sz="6" w:space="0" w:color="auto"/>
              <w:bottom w:val="outset" w:sz="6" w:space="0" w:color="auto"/>
              <w:right w:val="outset" w:sz="6" w:space="0" w:color="auto"/>
            </w:tcBorders>
            <w:vAlign w:val="center"/>
          </w:tcPr>
          <w:p w:rsidR="00B95A2E" w:rsidRPr="00D27B77" w:rsidP="00270736" w14:paraId="67156F8E" w14:textId="77777777">
            <w:pPr>
              <w:jc w:val="center"/>
              <w:rPr>
                <w:rFonts w:ascii="Times New Roman" w:hAnsi="Times New Roman"/>
                <w:color w:val="000000"/>
              </w:rPr>
            </w:pPr>
          </w:p>
        </w:tc>
      </w:tr>
      <w:tr w14:paraId="23232AAE" w14:textId="77777777" w:rsidTr="00BF0D4E">
        <w:tblPrEx>
          <w:tblW w:w="4431" w:type="pct"/>
          <w:tblInd w:w="712" w:type="dxa"/>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tcPr>
          <w:p w:rsidR="00B95A2E" w:rsidP="00270736" w14:paraId="0D662E0C" w14:textId="5FFB79DF">
            <w:pPr>
              <w:rPr>
                <w:rFonts w:ascii="Times New Roman" w:hAnsi="Times New Roman"/>
                <w:color w:val="000000"/>
                <w:sz w:val="22"/>
                <w:szCs w:val="22"/>
              </w:rPr>
            </w:pPr>
            <w:r>
              <w:rPr>
                <w:rFonts w:ascii="Times New Roman" w:hAnsi="Times New Roman"/>
                <w:color w:val="000000"/>
                <w:sz w:val="22"/>
                <w:szCs w:val="22"/>
              </w:rPr>
              <w:t>5.</w:t>
            </w:r>
          </w:p>
        </w:tc>
        <w:tc>
          <w:tcPr>
            <w:tcW w:w="1958" w:type="pct"/>
            <w:tcBorders>
              <w:top w:val="outset" w:sz="6" w:space="0" w:color="auto"/>
              <w:left w:val="outset" w:sz="6" w:space="0" w:color="auto"/>
              <w:bottom w:val="outset" w:sz="6" w:space="0" w:color="auto"/>
              <w:right w:val="outset" w:sz="6" w:space="0" w:color="auto"/>
            </w:tcBorders>
            <w:vAlign w:val="center"/>
          </w:tcPr>
          <w:p w:rsidR="00B95A2E" w:rsidRPr="00B95A2E" w:rsidP="00B95A2E" w14:paraId="04B11D84" w14:textId="5ACD56D7">
            <w:pPr>
              <w:rPr>
                <w:rFonts w:ascii="Times New Roman" w:hAnsi="Times New Roman"/>
                <w:color w:val="000000"/>
              </w:rPr>
            </w:pPr>
            <w:r w:rsidRPr="00B95A2E">
              <w:rPr>
                <w:rFonts w:ascii="Times New Roman" w:hAnsi="Times New Roman"/>
                <w:color w:val="000000"/>
              </w:rPr>
              <w:t>Impact on Small Property Owners</w:t>
            </w:r>
            <w:r>
              <w:rPr>
                <w:rFonts w:ascii="Times New Roman" w:hAnsi="Times New Roman"/>
                <w:color w:val="000000"/>
              </w:rPr>
              <w:t>:</w:t>
            </w:r>
          </w:p>
          <w:p w:rsidR="00B95A2E" w:rsidRPr="00B95A2E" w:rsidP="00B95A2E" w14:paraId="24013131" w14:textId="19C5F825">
            <w:pPr>
              <w:rPr>
                <w:rFonts w:ascii="Times New Roman" w:hAnsi="Times New Roman"/>
                <w:color w:val="000000"/>
              </w:rPr>
            </w:pPr>
            <w:r w:rsidRPr="00B95A2E">
              <w:rPr>
                <w:rFonts w:ascii="Times New Roman" w:hAnsi="Times New Roman"/>
                <w:color w:val="000000"/>
              </w:rPr>
              <w:t>Most rental housing providers are small, local owners—not large corporations. Reducing administrative complexity would meaningfully benefit these taxpayers, allowing them to focus more on maintaining housing and serving tenants.</w:t>
            </w:r>
          </w:p>
        </w:tc>
        <w:tc>
          <w:tcPr>
            <w:tcW w:w="2281" w:type="pct"/>
            <w:tcBorders>
              <w:top w:val="outset" w:sz="6" w:space="0" w:color="auto"/>
              <w:left w:val="outset" w:sz="6" w:space="0" w:color="auto"/>
              <w:bottom w:val="outset" w:sz="6" w:space="0" w:color="auto"/>
              <w:right w:val="outset" w:sz="6" w:space="0" w:color="auto"/>
            </w:tcBorders>
            <w:vAlign w:val="center"/>
          </w:tcPr>
          <w:p w:rsidR="00B95A2E" w:rsidRPr="00D27B77" w:rsidP="00AA4362" w14:paraId="5CC8EC6E" w14:textId="55964797">
            <w:pPr>
              <w:jc w:val="both"/>
              <w:rPr>
                <w:rFonts w:ascii="Times New Roman" w:hAnsi="Times New Roman"/>
                <w:color w:val="000000"/>
              </w:rPr>
            </w:pPr>
            <w:r w:rsidRPr="00AA4362">
              <w:rPr>
                <w:rFonts w:ascii="Times New Roman" w:hAnsi="Times New Roman"/>
                <w:color w:val="000000"/>
              </w:rPr>
              <w:t>The IRS will evaluate these suggestions for any published agency guidance developments, in conjunction with ongoing guidance projects, and balancing the needs of the Agency and any new legislative priorities.</w:t>
            </w:r>
          </w:p>
        </w:tc>
      </w:tr>
      <w:tr w14:paraId="780B26C2" w14:textId="77777777" w:rsidTr="00BF0D4E">
        <w:tblPrEx>
          <w:tblW w:w="4431" w:type="pct"/>
          <w:tblInd w:w="712" w:type="dxa"/>
          <w:tblCellMar>
            <w:top w:w="15" w:type="dxa"/>
            <w:left w:w="15" w:type="dxa"/>
            <w:bottom w:w="15" w:type="dxa"/>
            <w:right w:w="15" w:type="dxa"/>
          </w:tblCellMar>
          <w:tblLook w:val="04A0"/>
        </w:tblPrEx>
        <w:tc>
          <w:tcPr>
            <w:tcW w:w="761" w:type="pct"/>
            <w:tcBorders>
              <w:top w:val="outset" w:sz="6" w:space="0" w:color="auto"/>
              <w:left w:val="outset" w:sz="6" w:space="0" w:color="auto"/>
              <w:bottom w:val="outset" w:sz="6" w:space="0" w:color="auto"/>
              <w:right w:val="outset" w:sz="6" w:space="0" w:color="auto"/>
            </w:tcBorders>
            <w:vAlign w:val="center"/>
          </w:tcPr>
          <w:p w:rsidR="00B95A2E" w:rsidP="00270736" w14:paraId="342FFA2F" w14:textId="290E4180">
            <w:pPr>
              <w:rPr>
                <w:rFonts w:ascii="Times New Roman" w:hAnsi="Times New Roman"/>
                <w:color w:val="000000"/>
                <w:sz w:val="22"/>
                <w:szCs w:val="22"/>
              </w:rPr>
            </w:pPr>
            <w:r>
              <w:rPr>
                <w:rFonts w:ascii="Times New Roman" w:hAnsi="Times New Roman"/>
                <w:color w:val="000000"/>
                <w:sz w:val="22"/>
                <w:szCs w:val="22"/>
              </w:rPr>
              <w:t>6.</w:t>
            </w:r>
          </w:p>
        </w:tc>
        <w:tc>
          <w:tcPr>
            <w:tcW w:w="1958" w:type="pct"/>
            <w:tcBorders>
              <w:top w:val="outset" w:sz="6" w:space="0" w:color="auto"/>
              <w:left w:val="outset" w:sz="6" w:space="0" w:color="auto"/>
              <w:bottom w:val="outset" w:sz="6" w:space="0" w:color="auto"/>
              <w:right w:val="outset" w:sz="6" w:space="0" w:color="auto"/>
            </w:tcBorders>
            <w:vAlign w:val="center"/>
          </w:tcPr>
          <w:p w:rsidR="00B95A2E" w:rsidRPr="00B95A2E" w:rsidP="00B95A2E" w14:paraId="23843FE0" w14:textId="0A2EB0F2">
            <w:pPr>
              <w:rPr>
                <w:rFonts w:ascii="Times New Roman" w:hAnsi="Times New Roman"/>
                <w:color w:val="000000"/>
              </w:rPr>
            </w:pPr>
            <w:r w:rsidRPr="00B95A2E">
              <w:rPr>
                <w:rFonts w:ascii="Times New Roman" w:hAnsi="Times New Roman"/>
                <w:color w:val="000000"/>
              </w:rPr>
              <w:t>Clarity and Outreach</w:t>
            </w:r>
            <w:r>
              <w:rPr>
                <w:rFonts w:ascii="Times New Roman" w:hAnsi="Times New Roman"/>
                <w:color w:val="000000"/>
              </w:rPr>
              <w:t>:</w:t>
            </w:r>
          </w:p>
          <w:p w:rsidR="00B95A2E" w:rsidRPr="00B95A2E" w:rsidP="00B95A2E" w14:paraId="2F9DBDA8" w14:textId="3C46E8E4">
            <w:pPr>
              <w:rPr>
                <w:rFonts w:ascii="Times New Roman" w:hAnsi="Times New Roman"/>
                <w:color w:val="000000"/>
              </w:rPr>
            </w:pPr>
            <w:r w:rsidRPr="00B95A2E">
              <w:rPr>
                <w:rFonts w:ascii="Times New Roman" w:hAnsi="Times New Roman"/>
                <w:color w:val="000000"/>
              </w:rPr>
              <w:t xml:space="preserve">Additional outreach and education would improve compliance and awareness. </w:t>
            </w:r>
          </w:p>
        </w:tc>
        <w:tc>
          <w:tcPr>
            <w:tcW w:w="2281" w:type="pct"/>
            <w:tcBorders>
              <w:top w:val="outset" w:sz="6" w:space="0" w:color="auto"/>
              <w:left w:val="outset" w:sz="6" w:space="0" w:color="auto"/>
              <w:bottom w:val="outset" w:sz="6" w:space="0" w:color="auto"/>
              <w:right w:val="outset" w:sz="6" w:space="0" w:color="auto"/>
            </w:tcBorders>
            <w:vAlign w:val="center"/>
          </w:tcPr>
          <w:p w:rsidR="00B95A2E" w:rsidRPr="00D27B77" w:rsidP="00AA4362" w14:paraId="5181B50A" w14:textId="43A0A26D">
            <w:pPr>
              <w:jc w:val="both"/>
              <w:rPr>
                <w:rFonts w:ascii="Times New Roman" w:hAnsi="Times New Roman"/>
                <w:color w:val="000000"/>
              </w:rPr>
            </w:pPr>
            <w:r w:rsidRPr="00AA4362">
              <w:rPr>
                <w:rFonts w:ascii="Times New Roman" w:hAnsi="Times New Roman"/>
                <w:color w:val="000000"/>
              </w:rPr>
              <w:t>The IRS will evaluate these suggestions for any published agency guidance developments, in conjunction with ongoing guidance projects, and balancing the needs of the Agency and any new legislative priorities.</w:t>
            </w:r>
          </w:p>
        </w:tc>
      </w:tr>
    </w:tbl>
    <w:p w:rsidR="00063770" w:rsidP="00282F86" w14:paraId="012407B3" w14:textId="77777777">
      <w:pPr>
        <w:tabs>
          <w:tab w:val="center" w:pos="4680"/>
        </w:tabs>
        <w:ind w:left="720"/>
        <w:rPr>
          <w:rFonts w:ascii="Calibri" w:hAnsi="Calibri" w:cs="Calibri"/>
        </w:rPr>
      </w:pPr>
    </w:p>
    <w:p w:rsidR="003B5877" w:rsidP="00A433EA" w14:paraId="5E480404" w14:textId="77777777">
      <w:pPr>
        <w:numPr>
          <w:ilvl w:val="0"/>
          <w:numId w:val="1"/>
        </w:numPr>
        <w:rPr>
          <w:rFonts w:ascii="Calibri" w:hAnsi="Calibri" w:cs="Calibri"/>
          <w:b/>
          <w:u w:val="single"/>
        </w:rPr>
      </w:pPr>
      <w:r>
        <w:rPr>
          <w:rFonts w:ascii="Calibri" w:hAnsi="Calibri" w:cs="Calibri"/>
          <w:b/>
          <w:u w:val="single"/>
        </w:rPr>
        <w:t>EXPLANATION OF DECISION TO PROVIDE ANY PAYMENT OR GIFT TO</w:t>
      </w:r>
    </w:p>
    <w:p w:rsidR="001E2260" w:rsidP="003B5877" w14:paraId="0BCEEAD2" w14:textId="77777777">
      <w:pPr>
        <w:ind w:firstLine="720"/>
        <w:rPr>
          <w:rFonts w:ascii="Calibri" w:hAnsi="Calibri" w:cs="Calibri"/>
          <w:b/>
          <w:u w:val="single"/>
        </w:rPr>
      </w:pPr>
      <w:r>
        <w:rPr>
          <w:rFonts w:ascii="Calibri" w:hAnsi="Calibri" w:cs="Calibri"/>
          <w:b/>
          <w:u w:val="single"/>
        </w:rPr>
        <w:t>RESPONDENTS</w:t>
      </w:r>
    </w:p>
    <w:p w:rsidR="000B1A00" w14:paraId="1C131F4E" w14:textId="77777777">
      <w:pPr>
        <w:rPr>
          <w:rFonts w:ascii="Calibri" w:hAnsi="Calibri" w:cs="Calibri"/>
        </w:rPr>
      </w:pPr>
    </w:p>
    <w:p w:rsidR="000B1A00" w14:paraId="24A4C2D6" w14:textId="77777777">
      <w:pPr>
        <w:ind w:left="720"/>
        <w:rPr>
          <w:rFonts w:ascii="Calibri" w:hAnsi="Calibri" w:cs="Calibri"/>
        </w:rPr>
      </w:pPr>
      <w:r>
        <w:rPr>
          <w:rFonts w:ascii="Calibri" w:hAnsi="Calibri" w:cs="Calibri"/>
        </w:rPr>
        <w:t>No payment or gift has been provided to any respondents.</w:t>
      </w:r>
    </w:p>
    <w:p w:rsidR="000B1A00" w14:paraId="5FD35ADD" w14:textId="77777777">
      <w:pPr>
        <w:rPr>
          <w:rFonts w:ascii="Calibri" w:hAnsi="Calibri" w:cs="Calibri"/>
        </w:rPr>
      </w:pPr>
    </w:p>
    <w:p w:rsidR="000B1A00" w14:paraId="4A51C94B" w14:textId="77777777">
      <w:pPr>
        <w:pStyle w:val="Level1"/>
        <w:tabs>
          <w:tab w:val="left" w:pos="-1440"/>
          <w:tab w:val="num" w:pos="720"/>
        </w:tabs>
        <w:rPr>
          <w:rFonts w:ascii="Calibri" w:hAnsi="Calibri" w:cs="Calibri"/>
          <w:b/>
        </w:rPr>
      </w:pPr>
      <w:r>
        <w:rPr>
          <w:rFonts w:ascii="Calibri" w:hAnsi="Calibri" w:cs="Calibri"/>
          <w:b/>
          <w:u w:val="single"/>
        </w:rPr>
        <w:t>ASSURANCE OF CONFIDENTIALITY OF RESPONSES</w:t>
      </w:r>
    </w:p>
    <w:p w:rsidR="000B1A00" w14:paraId="3EA4297F" w14:textId="77777777">
      <w:pPr>
        <w:rPr>
          <w:rFonts w:ascii="Calibri" w:hAnsi="Calibri" w:cs="Calibri"/>
        </w:rPr>
      </w:pPr>
    </w:p>
    <w:p w:rsidR="000B1A00" w14:paraId="3AD8D284" w14:textId="77777777">
      <w:pPr>
        <w:ind w:left="720"/>
        <w:rPr>
          <w:rFonts w:ascii="Calibri" w:hAnsi="Calibri" w:cs="Calibri"/>
        </w:rPr>
      </w:pPr>
      <w:r>
        <w:rPr>
          <w:rFonts w:ascii="Calibri" w:hAnsi="Calibri" w:cs="Calibri"/>
        </w:rPr>
        <w:t>Generally, tax returns and tax return information are confidential as required by 26 USC 6103.</w:t>
      </w:r>
    </w:p>
    <w:p w:rsidR="000B1A00" w14:paraId="2B10E294" w14:textId="77777777">
      <w:pPr>
        <w:rPr>
          <w:rFonts w:ascii="Calibri" w:hAnsi="Calibri" w:cs="Calibri"/>
        </w:rPr>
      </w:pPr>
    </w:p>
    <w:p w:rsidR="00A433EA" w14:paraId="41D10C53" w14:textId="77777777">
      <w:pPr>
        <w:rPr>
          <w:rFonts w:ascii="Calibri" w:hAnsi="Calibri" w:cs="Calibri"/>
        </w:rPr>
        <w:sectPr>
          <w:headerReference w:type="default" r:id="rId4"/>
          <w:type w:val="continuous"/>
          <w:pgSz w:w="12240" w:h="15840"/>
          <w:pgMar w:top="1440" w:right="1440" w:bottom="1440" w:left="1440" w:header="1440" w:footer="1440" w:gutter="0"/>
          <w:cols w:space="720"/>
          <w:noEndnote/>
        </w:sectPr>
      </w:pPr>
    </w:p>
    <w:p w:rsidR="000B1A00" w14:paraId="0BD2ADB6" w14:textId="77777777">
      <w:pPr>
        <w:pStyle w:val="Level1"/>
        <w:tabs>
          <w:tab w:val="left" w:pos="-1440"/>
          <w:tab w:val="num" w:pos="720"/>
        </w:tabs>
        <w:rPr>
          <w:rFonts w:ascii="Calibri" w:hAnsi="Calibri" w:cs="Calibri"/>
          <w:b/>
          <w:u w:val="single"/>
        </w:rPr>
      </w:pPr>
      <w:r>
        <w:rPr>
          <w:rFonts w:ascii="Calibri" w:hAnsi="Calibri" w:cs="Calibri"/>
          <w:b/>
          <w:u w:val="single"/>
        </w:rPr>
        <w:t>JUSTIFICATION OF SENSITIVE QUESTIONS</w:t>
      </w:r>
    </w:p>
    <w:p w:rsidR="000B1A00" w14:paraId="2C5EE5A0" w14:textId="77777777">
      <w:pPr>
        <w:rPr>
          <w:rFonts w:ascii="Calibri" w:hAnsi="Calibri" w:cs="Calibri"/>
          <w:u w:val="single"/>
        </w:rPr>
      </w:pPr>
    </w:p>
    <w:p w:rsidR="00015FA9" w:rsidP="00015FA9" w14:paraId="4F9C020B" w14:textId="1A18B4B6">
      <w:pPr>
        <w:ind w:left="720"/>
        <w:rPr>
          <w:rFonts w:ascii="Calibri" w:hAnsi="Calibri" w:cs="Calibri"/>
        </w:rPr>
      </w:pPr>
      <w:r>
        <w:rPr>
          <w:rFonts w:ascii="Calibri" w:hAnsi="Calibri" w:cs="Calibri"/>
          <w:snapToGrid w:val="0"/>
        </w:rPr>
        <w:t>A privacy impact assessment (PIA) has been conducted for information collected under this request as part of the “Individual</w:t>
      </w:r>
      <w:r>
        <w:rPr>
          <w:rFonts w:ascii="Calibri" w:hAnsi="Calibri" w:cs="Calibri"/>
          <w:snapToGrid w:val="0"/>
          <w:color w:val="000000"/>
        </w:rPr>
        <w:t xml:space="preserve"> Master File (IMF)</w:t>
      </w:r>
      <w:r>
        <w:rPr>
          <w:rFonts w:ascii="Calibri" w:hAnsi="Calibri" w:cs="Calibri"/>
          <w:snapToGrid w:val="0"/>
        </w:rPr>
        <w:t xml:space="preserve">” system and a Privacy Act System of Records notice (SORN) has been issued for this system under IRS 24.030-CADE Individual Master File and IRS 34.037 IRS Audit Trail and Security Records System.  The </w:t>
      </w:r>
      <w:r>
        <w:rPr>
          <w:rFonts w:ascii="Calibri" w:hAnsi="Calibri" w:cs="Calibri"/>
          <w:snapToGrid w:val="0"/>
        </w:rPr>
        <w:t xml:space="preserve">Internal Revenue Service PIAs can be found at </w:t>
      </w:r>
      <w:hyperlink r:id="rId5" w:history="1">
        <w:r w:rsidR="00FA08A3">
          <w:rPr>
            <w:rStyle w:val="Hyperlink"/>
            <w:rFonts w:ascii="Calibri" w:hAnsi="Calibri" w:cs="Calibri"/>
            <w:snapToGrid w:val="0"/>
          </w:rPr>
          <w:t>https://www.irs.gov/uac/Privacy-Impact-Assessments-PIA</w:t>
        </w:r>
      </w:hyperlink>
      <w:r>
        <w:rPr>
          <w:rFonts w:ascii="Calibri" w:hAnsi="Calibri" w:cs="Calibri"/>
        </w:rPr>
        <w:t>.</w:t>
      </w:r>
    </w:p>
    <w:p w:rsidR="00015FA9" w:rsidP="00015FA9" w14:paraId="2F072E73" w14:textId="77777777">
      <w:pPr>
        <w:ind w:left="720"/>
        <w:rPr>
          <w:rFonts w:ascii="Calibri" w:hAnsi="Calibri" w:cs="Calibri"/>
        </w:rPr>
      </w:pPr>
    </w:p>
    <w:p w:rsidR="000B1A00" w14:paraId="418DAC12" w14:textId="77777777">
      <w:pPr>
        <w:ind w:left="720"/>
        <w:rPr>
          <w:rFonts w:ascii="Calibri" w:hAnsi="Calibri" w:cs="Calibri"/>
        </w:rPr>
      </w:pPr>
      <w:r>
        <w:rPr>
          <w:rFonts w:ascii="Calibri" w:hAnsi="Calibri" w:cs="Calibri"/>
        </w:rPr>
        <w:t>Title 26 USC 6109 requires inclusion of identifying numbers in returns, statements, or other documents for securing proper identification of persons required to make such returns, statements, or documents and is the authority for social security numbers (SSNs) in IRS systems. </w:t>
      </w:r>
    </w:p>
    <w:p w:rsidR="000B1A00" w14:paraId="730F1484" w14:textId="77777777">
      <w:pPr>
        <w:rPr>
          <w:rFonts w:ascii="Calibri" w:hAnsi="Calibri" w:cs="Calibri"/>
        </w:rPr>
      </w:pPr>
    </w:p>
    <w:p w:rsidR="000B1A00" w14:paraId="2492EDF6" w14:textId="77777777">
      <w:pPr>
        <w:pStyle w:val="Level1"/>
        <w:tabs>
          <w:tab w:val="left" w:pos="-1440"/>
          <w:tab w:val="num" w:pos="720"/>
        </w:tabs>
        <w:rPr>
          <w:rFonts w:ascii="Calibri" w:hAnsi="Calibri" w:cs="Calibri"/>
          <w:b/>
          <w:u w:val="single"/>
        </w:rPr>
      </w:pPr>
      <w:r>
        <w:rPr>
          <w:rFonts w:ascii="Calibri" w:hAnsi="Calibri" w:cs="Calibri"/>
          <w:b/>
          <w:u w:val="single"/>
        </w:rPr>
        <w:t>ESTIMATED BURDEN OF INFORMATION COLLECTION</w:t>
      </w:r>
    </w:p>
    <w:p w:rsidR="000B1A00" w14:paraId="33BFC053" w14:textId="40D97712">
      <w:pPr>
        <w:rPr>
          <w:rFonts w:ascii="Calibri" w:hAnsi="Calibri" w:cs="Calibri"/>
          <w:u w:val="single"/>
        </w:rPr>
      </w:pPr>
    </w:p>
    <w:p w:rsidR="00E84E09" w:rsidP="00FA08A3" w14:paraId="5BE102D1" w14:textId="2AC9D948">
      <w:pPr>
        <w:ind w:left="720"/>
        <w:rPr>
          <w:rFonts w:ascii="Calibri" w:hAnsi="Calibri" w:cs="Calibri"/>
        </w:rPr>
      </w:pPr>
      <w:r>
        <w:rPr>
          <w:rFonts w:ascii="Calibri" w:hAnsi="Calibri" w:cs="Calibri"/>
        </w:rPr>
        <w:t>This estimated total annual reporting burden for the taxable years in which this r</w:t>
      </w:r>
      <w:r w:rsidRPr="00FA08A3">
        <w:rPr>
          <w:rFonts w:ascii="Calibri" w:hAnsi="Calibri" w:cs="Calibri"/>
        </w:rPr>
        <w:t xml:space="preserve">evenue </w:t>
      </w:r>
      <w:r>
        <w:rPr>
          <w:rFonts w:ascii="Calibri" w:hAnsi="Calibri" w:cs="Calibri"/>
        </w:rPr>
        <w:t>p</w:t>
      </w:r>
      <w:r w:rsidRPr="00FA08A3">
        <w:rPr>
          <w:rFonts w:ascii="Calibri" w:hAnsi="Calibri" w:cs="Calibri"/>
        </w:rPr>
        <w:t xml:space="preserve">rocedure </w:t>
      </w:r>
      <w:r>
        <w:rPr>
          <w:rFonts w:ascii="Calibri" w:hAnsi="Calibri" w:cs="Calibri"/>
        </w:rPr>
        <w:t>applies is 1000 hours. The estimated annual burden per respondent for the taxable years in which this r</w:t>
      </w:r>
      <w:r w:rsidRPr="00FA08A3">
        <w:rPr>
          <w:rFonts w:ascii="Calibri" w:hAnsi="Calibri" w:cs="Calibri"/>
        </w:rPr>
        <w:t xml:space="preserve">evenue </w:t>
      </w:r>
      <w:r>
        <w:rPr>
          <w:rFonts w:ascii="Calibri" w:hAnsi="Calibri" w:cs="Calibri"/>
        </w:rPr>
        <w:t>p</w:t>
      </w:r>
      <w:r w:rsidRPr="00FA08A3">
        <w:rPr>
          <w:rFonts w:ascii="Calibri" w:hAnsi="Calibri" w:cs="Calibri"/>
        </w:rPr>
        <w:t xml:space="preserve">rocedure </w:t>
      </w:r>
      <w:r>
        <w:rPr>
          <w:rFonts w:ascii="Calibri" w:hAnsi="Calibri" w:cs="Calibri"/>
        </w:rPr>
        <w:t xml:space="preserve">applies varies from 15 minutes to 45 minutes, depending on individual circumstances, with an estimated average burden of 30 minutes. The estimated annual number of respondents for taxable years in which this revenue procedure applies is 2000. </w:t>
      </w:r>
    </w:p>
    <w:p w:rsidR="00C875FF" w:rsidP="00FA08A3" w14:paraId="1CA16F55" w14:textId="77777777">
      <w:pPr>
        <w:ind w:left="720"/>
        <w:rPr>
          <w:rFonts w:ascii="Calibri" w:hAnsi="Calibri" w:cs="Calibri"/>
        </w:rPr>
      </w:pP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1404"/>
        <w:gridCol w:w="1779"/>
        <w:gridCol w:w="1260"/>
        <w:gridCol w:w="1195"/>
        <w:gridCol w:w="1325"/>
      </w:tblGrid>
      <w:tr w14:paraId="71D8209D" w14:textId="77777777" w:rsidTr="00254140">
        <w:tblPrEx>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857" w:type="dxa"/>
            <w:vAlign w:val="center"/>
          </w:tcPr>
          <w:p w:rsidR="004759E4" w:rsidRPr="00254140" w:rsidP="00C93A75" w14:paraId="226176AB" w14:textId="77777777">
            <w:pPr>
              <w:keepNext/>
              <w:keepLines/>
              <w:numPr>
                <w:ilvl w:val="12"/>
                <w:numId w:val="0"/>
              </w:numPr>
              <w:jc w:val="center"/>
              <w:rPr>
                <w:rFonts w:ascii="Calibri" w:hAnsi="Calibri" w:cs="Calibri"/>
                <w:b/>
                <w:sz w:val="22"/>
                <w:szCs w:val="22"/>
              </w:rPr>
            </w:pPr>
            <w:r w:rsidRPr="00254140">
              <w:rPr>
                <w:rFonts w:ascii="Calibri" w:hAnsi="Calibri" w:cs="Calibri"/>
                <w:b/>
                <w:sz w:val="22"/>
                <w:szCs w:val="22"/>
              </w:rPr>
              <w:t>Description</w:t>
            </w:r>
          </w:p>
        </w:tc>
        <w:tc>
          <w:tcPr>
            <w:tcW w:w="1404" w:type="dxa"/>
            <w:vAlign w:val="center"/>
          </w:tcPr>
          <w:p w:rsidR="004759E4" w:rsidRPr="00254140" w:rsidP="00C93A75" w14:paraId="101249A7" w14:textId="77777777">
            <w:pPr>
              <w:keepNext/>
              <w:keepLines/>
              <w:numPr>
                <w:ilvl w:val="12"/>
                <w:numId w:val="0"/>
              </w:numPr>
              <w:jc w:val="center"/>
              <w:rPr>
                <w:rFonts w:ascii="Calibri" w:hAnsi="Calibri" w:cs="Calibri"/>
                <w:b/>
                <w:sz w:val="22"/>
                <w:szCs w:val="22"/>
              </w:rPr>
            </w:pPr>
            <w:r w:rsidRPr="00254140">
              <w:rPr>
                <w:rFonts w:ascii="Calibri" w:hAnsi="Calibri" w:cs="Calibri"/>
                <w:b/>
                <w:sz w:val="22"/>
                <w:szCs w:val="22"/>
              </w:rPr>
              <w:t># of Respondents</w:t>
            </w:r>
          </w:p>
        </w:tc>
        <w:tc>
          <w:tcPr>
            <w:tcW w:w="1779" w:type="dxa"/>
            <w:vAlign w:val="center"/>
          </w:tcPr>
          <w:p w:rsidR="004759E4" w:rsidRPr="00254140" w:rsidP="00C93A75" w14:paraId="28A042BE" w14:textId="77777777">
            <w:pPr>
              <w:keepNext/>
              <w:keepLines/>
              <w:numPr>
                <w:ilvl w:val="12"/>
                <w:numId w:val="0"/>
              </w:numPr>
              <w:jc w:val="center"/>
              <w:rPr>
                <w:rFonts w:ascii="Calibri" w:hAnsi="Calibri" w:cs="Calibri"/>
                <w:b/>
                <w:sz w:val="22"/>
                <w:szCs w:val="22"/>
              </w:rPr>
            </w:pPr>
            <w:r w:rsidRPr="00254140">
              <w:rPr>
                <w:rFonts w:ascii="Calibri" w:hAnsi="Calibri" w:cs="Calibri"/>
                <w:b/>
                <w:sz w:val="22"/>
                <w:szCs w:val="22"/>
              </w:rPr>
              <w:t># Responses per Respondent</w:t>
            </w:r>
          </w:p>
        </w:tc>
        <w:tc>
          <w:tcPr>
            <w:tcW w:w="1260" w:type="dxa"/>
            <w:vAlign w:val="center"/>
          </w:tcPr>
          <w:p w:rsidR="004759E4" w:rsidRPr="00254140" w:rsidP="00C93A75" w14:paraId="272D39E8" w14:textId="77777777">
            <w:pPr>
              <w:keepNext/>
              <w:keepLines/>
              <w:numPr>
                <w:ilvl w:val="12"/>
                <w:numId w:val="0"/>
              </w:numPr>
              <w:jc w:val="center"/>
              <w:rPr>
                <w:rFonts w:ascii="Calibri" w:hAnsi="Calibri" w:cs="Calibri"/>
                <w:b/>
                <w:sz w:val="22"/>
                <w:szCs w:val="22"/>
              </w:rPr>
            </w:pPr>
            <w:r w:rsidRPr="00254140">
              <w:rPr>
                <w:rFonts w:ascii="Calibri" w:hAnsi="Calibri" w:cs="Calibri"/>
                <w:b/>
                <w:sz w:val="22"/>
                <w:szCs w:val="22"/>
              </w:rPr>
              <w:t>Annual Responses</w:t>
            </w:r>
          </w:p>
        </w:tc>
        <w:tc>
          <w:tcPr>
            <w:tcW w:w="1195" w:type="dxa"/>
            <w:vAlign w:val="center"/>
          </w:tcPr>
          <w:p w:rsidR="004759E4" w:rsidRPr="00254140" w:rsidP="00C93A75" w14:paraId="0D134CAE" w14:textId="77777777">
            <w:pPr>
              <w:keepNext/>
              <w:keepLines/>
              <w:numPr>
                <w:ilvl w:val="12"/>
                <w:numId w:val="0"/>
              </w:numPr>
              <w:jc w:val="center"/>
              <w:rPr>
                <w:rFonts w:ascii="Calibri" w:hAnsi="Calibri" w:cs="Calibri"/>
                <w:b/>
                <w:sz w:val="22"/>
                <w:szCs w:val="22"/>
              </w:rPr>
            </w:pPr>
            <w:r w:rsidRPr="00254140">
              <w:rPr>
                <w:rFonts w:ascii="Calibri" w:hAnsi="Calibri" w:cs="Calibri"/>
                <w:b/>
                <w:sz w:val="22"/>
                <w:szCs w:val="22"/>
              </w:rPr>
              <w:t>Hours per Response</w:t>
            </w:r>
          </w:p>
        </w:tc>
        <w:tc>
          <w:tcPr>
            <w:tcW w:w="1325" w:type="dxa"/>
            <w:vAlign w:val="center"/>
          </w:tcPr>
          <w:p w:rsidR="004759E4" w:rsidRPr="00254140" w:rsidP="00C93A75" w14:paraId="3871690E" w14:textId="77777777">
            <w:pPr>
              <w:keepNext/>
              <w:keepLines/>
              <w:numPr>
                <w:ilvl w:val="12"/>
                <w:numId w:val="0"/>
              </w:numPr>
              <w:jc w:val="center"/>
              <w:rPr>
                <w:rFonts w:ascii="Calibri" w:hAnsi="Calibri" w:cs="Calibri"/>
                <w:b/>
                <w:sz w:val="22"/>
                <w:szCs w:val="22"/>
              </w:rPr>
            </w:pPr>
            <w:r w:rsidRPr="00254140">
              <w:rPr>
                <w:rFonts w:ascii="Calibri" w:hAnsi="Calibri" w:cs="Calibri"/>
                <w:b/>
                <w:sz w:val="22"/>
                <w:szCs w:val="22"/>
              </w:rPr>
              <w:t>Total Burden</w:t>
            </w:r>
          </w:p>
        </w:tc>
      </w:tr>
      <w:tr w14:paraId="5FC8697B" w14:textId="77777777" w:rsidTr="00254140">
        <w:tblPrEx>
          <w:tblW w:w="8820" w:type="dxa"/>
          <w:tblInd w:w="828" w:type="dxa"/>
          <w:tblLayout w:type="fixed"/>
          <w:tblLook w:val="04A0"/>
        </w:tblPrEx>
        <w:tc>
          <w:tcPr>
            <w:tcW w:w="1857" w:type="dxa"/>
            <w:vAlign w:val="bottom"/>
          </w:tcPr>
          <w:p w:rsidR="004759E4" w:rsidRPr="00254140" w:rsidP="00C93A75" w14:paraId="34E44A6C" w14:textId="77777777">
            <w:pPr>
              <w:keepNext/>
              <w:keepLines/>
              <w:numPr>
                <w:ilvl w:val="12"/>
                <w:numId w:val="0"/>
              </w:numPr>
              <w:jc w:val="center"/>
              <w:rPr>
                <w:rFonts w:ascii="Calibri" w:hAnsi="Calibri" w:cs="Calibri"/>
                <w:sz w:val="22"/>
                <w:szCs w:val="22"/>
              </w:rPr>
            </w:pPr>
            <w:r w:rsidRPr="00254140">
              <w:rPr>
                <w:rFonts w:ascii="Calibri" w:hAnsi="Calibri" w:cs="Calibri"/>
                <w:sz w:val="22"/>
                <w:szCs w:val="22"/>
              </w:rPr>
              <w:t>Rev. Proc 2011-34</w:t>
            </w:r>
          </w:p>
        </w:tc>
        <w:tc>
          <w:tcPr>
            <w:tcW w:w="1404" w:type="dxa"/>
            <w:vAlign w:val="bottom"/>
          </w:tcPr>
          <w:p w:rsidR="004759E4" w:rsidRPr="00254140" w:rsidP="00C93A75" w14:paraId="3507F27E" w14:textId="77777777">
            <w:pPr>
              <w:keepNext/>
              <w:keepLines/>
              <w:numPr>
                <w:ilvl w:val="12"/>
                <w:numId w:val="0"/>
              </w:numPr>
              <w:jc w:val="center"/>
              <w:rPr>
                <w:rFonts w:ascii="Calibri" w:hAnsi="Calibri" w:cs="Calibri"/>
                <w:sz w:val="22"/>
                <w:szCs w:val="22"/>
              </w:rPr>
            </w:pPr>
            <w:r w:rsidRPr="00254140">
              <w:rPr>
                <w:rFonts w:ascii="Calibri" w:hAnsi="Calibri" w:cs="Calibri"/>
                <w:sz w:val="22"/>
                <w:szCs w:val="22"/>
              </w:rPr>
              <w:t>2,000</w:t>
            </w:r>
          </w:p>
        </w:tc>
        <w:tc>
          <w:tcPr>
            <w:tcW w:w="1779" w:type="dxa"/>
            <w:vAlign w:val="bottom"/>
          </w:tcPr>
          <w:p w:rsidR="004759E4" w:rsidRPr="00254140" w:rsidP="00C93A75" w14:paraId="0CEE9CC6" w14:textId="77777777">
            <w:pPr>
              <w:keepNext/>
              <w:keepLines/>
              <w:numPr>
                <w:ilvl w:val="12"/>
                <w:numId w:val="0"/>
              </w:numPr>
              <w:jc w:val="center"/>
              <w:rPr>
                <w:rFonts w:ascii="Calibri" w:hAnsi="Calibri" w:cs="Calibri"/>
                <w:sz w:val="22"/>
                <w:szCs w:val="22"/>
              </w:rPr>
            </w:pPr>
            <w:r w:rsidRPr="00254140">
              <w:rPr>
                <w:rFonts w:ascii="Calibri" w:hAnsi="Calibri" w:cs="Calibri"/>
                <w:sz w:val="22"/>
                <w:szCs w:val="22"/>
              </w:rPr>
              <w:t>1</w:t>
            </w:r>
          </w:p>
        </w:tc>
        <w:tc>
          <w:tcPr>
            <w:tcW w:w="1260" w:type="dxa"/>
            <w:vAlign w:val="bottom"/>
          </w:tcPr>
          <w:p w:rsidR="004759E4" w:rsidRPr="00254140" w:rsidP="00C93A75" w14:paraId="390118F8" w14:textId="77777777">
            <w:pPr>
              <w:keepNext/>
              <w:keepLines/>
              <w:numPr>
                <w:ilvl w:val="12"/>
                <w:numId w:val="0"/>
              </w:numPr>
              <w:jc w:val="center"/>
              <w:rPr>
                <w:rFonts w:ascii="Calibri" w:hAnsi="Calibri" w:cs="Calibri"/>
                <w:sz w:val="22"/>
                <w:szCs w:val="22"/>
              </w:rPr>
            </w:pPr>
            <w:r w:rsidRPr="00254140">
              <w:rPr>
                <w:rFonts w:ascii="Calibri" w:hAnsi="Calibri" w:cs="Calibri"/>
                <w:sz w:val="22"/>
                <w:szCs w:val="22"/>
              </w:rPr>
              <w:t>2,000</w:t>
            </w:r>
          </w:p>
        </w:tc>
        <w:tc>
          <w:tcPr>
            <w:tcW w:w="1195" w:type="dxa"/>
            <w:vAlign w:val="bottom"/>
          </w:tcPr>
          <w:p w:rsidR="004759E4" w:rsidRPr="00254140" w:rsidP="00C93A75" w14:paraId="7A27AF0B" w14:textId="77777777">
            <w:pPr>
              <w:keepNext/>
              <w:keepLines/>
              <w:numPr>
                <w:ilvl w:val="12"/>
                <w:numId w:val="0"/>
              </w:numPr>
              <w:jc w:val="center"/>
              <w:rPr>
                <w:rFonts w:ascii="Calibri" w:hAnsi="Calibri" w:cs="Calibri"/>
                <w:sz w:val="22"/>
                <w:szCs w:val="22"/>
              </w:rPr>
            </w:pPr>
            <w:r w:rsidRPr="00254140">
              <w:rPr>
                <w:rFonts w:ascii="Calibri" w:hAnsi="Calibri" w:cs="Calibri"/>
                <w:sz w:val="22"/>
                <w:szCs w:val="22"/>
              </w:rPr>
              <w:t>.30</w:t>
            </w:r>
          </w:p>
        </w:tc>
        <w:tc>
          <w:tcPr>
            <w:tcW w:w="1325" w:type="dxa"/>
            <w:vAlign w:val="bottom"/>
          </w:tcPr>
          <w:p w:rsidR="004759E4" w:rsidRPr="00254140" w:rsidP="00C93A75" w14:paraId="5F7327BD" w14:textId="77777777">
            <w:pPr>
              <w:keepNext/>
              <w:keepLines/>
              <w:numPr>
                <w:ilvl w:val="12"/>
                <w:numId w:val="0"/>
              </w:numPr>
              <w:jc w:val="center"/>
              <w:rPr>
                <w:rFonts w:ascii="Calibri" w:hAnsi="Calibri" w:cs="Calibri"/>
                <w:sz w:val="22"/>
                <w:szCs w:val="22"/>
              </w:rPr>
            </w:pPr>
            <w:r w:rsidRPr="00254140">
              <w:rPr>
                <w:rFonts w:ascii="Calibri" w:hAnsi="Calibri" w:cs="Calibri"/>
                <w:sz w:val="22"/>
                <w:szCs w:val="22"/>
              </w:rPr>
              <w:t>1,000</w:t>
            </w:r>
          </w:p>
        </w:tc>
      </w:tr>
      <w:tr w14:paraId="7AC1A29B" w14:textId="77777777" w:rsidTr="00254140">
        <w:tblPrEx>
          <w:tblW w:w="8820" w:type="dxa"/>
          <w:tblInd w:w="828" w:type="dxa"/>
          <w:tblLayout w:type="fixed"/>
          <w:tblLook w:val="04A0"/>
        </w:tblPrEx>
        <w:tc>
          <w:tcPr>
            <w:tcW w:w="1857" w:type="dxa"/>
            <w:vAlign w:val="bottom"/>
          </w:tcPr>
          <w:p w:rsidR="004759E4" w:rsidRPr="00254140" w:rsidP="00C93A75" w14:paraId="1D3E0623" w14:textId="3499AA74">
            <w:pPr>
              <w:keepNext/>
              <w:keepLines/>
              <w:numPr>
                <w:ilvl w:val="12"/>
                <w:numId w:val="0"/>
              </w:numPr>
              <w:jc w:val="center"/>
              <w:rPr>
                <w:rFonts w:ascii="Calibri" w:hAnsi="Calibri" w:cs="Calibri"/>
                <w:b/>
                <w:bCs/>
                <w:sz w:val="22"/>
                <w:szCs w:val="22"/>
              </w:rPr>
            </w:pPr>
            <w:r w:rsidRPr="00254140">
              <w:rPr>
                <w:rFonts w:ascii="Calibri" w:hAnsi="Calibri" w:cs="Calibri"/>
                <w:b/>
                <w:bCs/>
                <w:sz w:val="22"/>
                <w:szCs w:val="22"/>
              </w:rPr>
              <w:t>Totals</w:t>
            </w:r>
          </w:p>
        </w:tc>
        <w:tc>
          <w:tcPr>
            <w:tcW w:w="1404" w:type="dxa"/>
            <w:vAlign w:val="bottom"/>
          </w:tcPr>
          <w:p w:rsidR="004759E4" w:rsidRPr="00254140" w:rsidP="00C93A75" w14:paraId="6F7E21C3" w14:textId="5AA86389">
            <w:pPr>
              <w:keepNext/>
              <w:keepLines/>
              <w:numPr>
                <w:ilvl w:val="12"/>
                <w:numId w:val="0"/>
              </w:numPr>
              <w:jc w:val="center"/>
              <w:rPr>
                <w:rFonts w:ascii="Calibri" w:hAnsi="Calibri" w:cs="Calibri"/>
                <w:b/>
                <w:bCs/>
                <w:sz w:val="22"/>
                <w:szCs w:val="22"/>
              </w:rPr>
            </w:pPr>
            <w:r w:rsidRPr="00254140">
              <w:rPr>
                <w:rFonts w:ascii="Calibri" w:hAnsi="Calibri" w:cs="Calibri"/>
                <w:b/>
                <w:bCs/>
                <w:sz w:val="22"/>
                <w:szCs w:val="22"/>
              </w:rPr>
              <w:t>2,000</w:t>
            </w:r>
          </w:p>
        </w:tc>
        <w:tc>
          <w:tcPr>
            <w:tcW w:w="1779" w:type="dxa"/>
            <w:vAlign w:val="bottom"/>
          </w:tcPr>
          <w:p w:rsidR="004759E4" w:rsidRPr="00254140" w:rsidP="00C93A75" w14:paraId="54E226C1" w14:textId="77777777">
            <w:pPr>
              <w:keepNext/>
              <w:keepLines/>
              <w:numPr>
                <w:ilvl w:val="12"/>
                <w:numId w:val="0"/>
              </w:numPr>
              <w:jc w:val="center"/>
              <w:rPr>
                <w:rFonts w:ascii="Calibri" w:hAnsi="Calibri" w:cs="Calibri"/>
                <w:b/>
                <w:bCs/>
                <w:sz w:val="22"/>
                <w:szCs w:val="22"/>
              </w:rPr>
            </w:pPr>
          </w:p>
        </w:tc>
        <w:tc>
          <w:tcPr>
            <w:tcW w:w="1260" w:type="dxa"/>
            <w:vAlign w:val="bottom"/>
          </w:tcPr>
          <w:p w:rsidR="004759E4" w:rsidRPr="00254140" w:rsidP="00C93A75" w14:paraId="02F5B021" w14:textId="2347F3A3">
            <w:pPr>
              <w:keepNext/>
              <w:keepLines/>
              <w:numPr>
                <w:ilvl w:val="12"/>
                <w:numId w:val="0"/>
              </w:numPr>
              <w:jc w:val="center"/>
              <w:rPr>
                <w:rFonts w:ascii="Calibri" w:hAnsi="Calibri" w:cs="Calibri"/>
                <w:b/>
                <w:bCs/>
                <w:sz w:val="22"/>
                <w:szCs w:val="22"/>
              </w:rPr>
            </w:pPr>
            <w:r w:rsidRPr="00254140">
              <w:rPr>
                <w:rFonts w:ascii="Calibri" w:hAnsi="Calibri" w:cs="Calibri"/>
                <w:b/>
                <w:bCs/>
                <w:sz w:val="22"/>
                <w:szCs w:val="22"/>
              </w:rPr>
              <w:t>2,000</w:t>
            </w:r>
          </w:p>
        </w:tc>
        <w:tc>
          <w:tcPr>
            <w:tcW w:w="1195" w:type="dxa"/>
            <w:vAlign w:val="bottom"/>
          </w:tcPr>
          <w:p w:rsidR="004759E4" w:rsidRPr="00254140" w:rsidP="00C93A75" w14:paraId="267298B0" w14:textId="4377B151">
            <w:pPr>
              <w:keepNext/>
              <w:keepLines/>
              <w:numPr>
                <w:ilvl w:val="12"/>
                <w:numId w:val="0"/>
              </w:numPr>
              <w:jc w:val="center"/>
              <w:rPr>
                <w:rFonts w:ascii="Calibri" w:hAnsi="Calibri" w:cs="Calibri"/>
                <w:b/>
                <w:bCs/>
                <w:sz w:val="22"/>
                <w:szCs w:val="22"/>
              </w:rPr>
            </w:pPr>
            <w:r w:rsidRPr="00254140">
              <w:rPr>
                <w:rFonts w:ascii="Calibri" w:hAnsi="Calibri" w:cs="Calibri"/>
                <w:b/>
                <w:bCs/>
                <w:sz w:val="22"/>
                <w:szCs w:val="22"/>
              </w:rPr>
              <w:t>.30</w:t>
            </w:r>
          </w:p>
        </w:tc>
        <w:tc>
          <w:tcPr>
            <w:tcW w:w="1325" w:type="dxa"/>
            <w:vAlign w:val="bottom"/>
          </w:tcPr>
          <w:p w:rsidR="004759E4" w:rsidRPr="00254140" w:rsidP="00C93A75" w14:paraId="15586259" w14:textId="5315DE0D">
            <w:pPr>
              <w:keepNext/>
              <w:keepLines/>
              <w:numPr>
                <w:ilvl w:val="12"/>
                <w:numId w:val="0"/>
              </w:numPr>
              <w:jc w:val="center"/>
              <w:rPr>
                <w:rFonts w:ascii="Calibri" w:hAnsi="Calibri" w:cs="Calibri"/>
                <w:b/>
                <w:bCs/>
                <w:sz w:val="22"/>
                <w:szCs w:val="22"/>
              </w:rPr>
            </w:pPr>
            <w:r w:rsidRPr="00254140">
              <w:rPr>
                <w:rFonts w:ascii="Calibri" w:hAnsi="Calibri" w:cs="Calibri"/>
                <w:b/>
                <w:bCs/>
                <w:sz w:val="22"/>
                <w:szCs w:val="22"/>
              </w:rPr>
              <w:t>1,000</w:t>
            </w:r>
          </w:p>
        </w:tc>
      </w:tr>
    </w:tbl>
    <w:p w:rsidR="000B1A00" w14:paraId="0BD85F4E" w14:textId="77777777">
      <w:pPr>
        <w:rPr>
          <w:rFonts w:ascii="Calibri" w:hAnsi="Calibri" w:cs="Calibri"/>
        </w:rPr>
      </w:pPr>
      <w:r>
        <w:rPr>
          <w:rFonts w:ascii="Calibri" w:hAnsi="Calibri" w:cs="Calibri"/>
        </w:rPr>
        <w:t xml:space="preserve">      </w:t>
      </w:r>
    </w:p>
    <w:p w:rsidR="000B1A00" w14:paraId="06CCE338" w14:textId="77777777">
      <w:pPr>
        <w:pStyle w:val="Level1"/>
        <w:tabs>
          <w:tab w:val="left" w:pos="-1440"/>
          <w:tab w:val="num" w:pos="720"/>
        </w:tabs>
        <w:rPr>
          <w:rFonts w:ascii="Calibri" w:hAnsi="Calibri" w:cs="Calibri"/>
          <w:b/>
        </w:rPr>
      </w:pPr>
      <w:r>
        <w:rPr>
          <w:rFonts w:ascii="Calibri" w:hAnsi="Calibri" w:cs="Calibri"/>
          <w:b/>
          <w:u w:val="single"/>
        </w:rPr>
        <w:t>ESTIMATED TOTAL ANNUAL COST BURDEN TO RESPONDENTS</w:t>
      </w:r>
    </w:p>
    <w:p w:rsidR="000B1A00" w14:paraId="7D359170" w14:textId="77777777">
      <w:pPr>
        <w:rPr>
          <w:rFonts w:ascii="Calibri" w:hAnsi="Calibri" w:cs="Calibri"/>
        </w:rPr>
      </w:pPr>
    </w:p>
    <w:p w:rsidR="000B1A00" w:rsidP="00063770" w14:paraId="0B197B70" w14:textId="77777777">
      <w:pPr>
        <w:ind w:left="720"/>
        <w:rPr>
          <w:rFonts w:ascii="Calibri" w:hAnsi="Calibri" w:cs="Calibri"/>
        </w:rPr>
      </w:pPr>
      <w:r>
        <w:rPr>
          <w:rFonts w:ascii="Calibri" w:hAnsi="Calibri" w:cs="Calibri"/>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p>
    <w:p w:rsidR="00063770" w:rsidP="00063770" w14:paraId="6BA13401" w14:textId="77777777">
      <w:pPr>
        <w:ind w:left="720"/>
        <w:rPr>
          <w:rFonts w:ascii="Calibri" w:hAnsi="Calibri" w:cs="Calibri"/>
        </w:rPr>
      </w:pPr>
    </w:p>
    <w:p w:rsidR="000B1A00" w14:paraId="2254ECAC" w14:textId="77777777">
      <w:pPr>
        <w:pStyle w:val="Level1"/>
        <w:tabs>
          <w:tab w:val="left" w:pos="-1440"/>
          <w:tab w:val="num" w:pos="720"/>
        </w:tabs>
        <w:rPr>
          <w:rFonts w:ascii="Calibri" w:hAnsi="Calibri" w:cs="Calibri"/>
          <w:b/>
        </w:rPr>
      </w:pPr>
      <w:r>
        <w:rPr>
          <w:rFonts w:ascii="Calibri" w:hAnsi="Calibri" w:cs="Calibri"/>
          <w:b/>
          <w:u w:val="single"/>
        </w:rPr>
        <w:t>ESTIMATED ANNUALIZED COST TO THE FEDERAL GOVERNMENT</w:t>
      </w:r>
    </w:p>
    <w:p w:rsidR="000B1A00" w14:paraId="2F0841F3" w14:textId="77777777">
      <w:pPr>
        <w:rPr>
          <w:rFonts w:ascii="Calibri" w:hAnsi="Calibri" w:cs="Calibri"/>
        </w:rPr>
      </w:pPr>
    </w:p>
    <w:p w:rsidR="000B1A00" w:rsidP="00063770" w14:paraId="6AD6DB58" w14:textId="77777777">
      <w:pPr>
        <w:ind w:left="720"/>
        <w:rPr>
          <w:rFonts w:ascii="Calibri" w:hAnsi="Calibri" w:cs="Calibri"/>
        </w:rPr>
      </w:pPr>
      <w:r>
        <w:rPr>
          <w:rFonts w:ascii="Calibri" w:hAnsi="Calibri" w:cs="Calibri"/>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p>
    <w:p w:rsidR="00063770" w:rsidP="00063770" w14:paraId="4FA9B787" w14:textId="77777777">
      <w:pPr>
        <w:ind w:left="720"/>
        <w:rPr>
          <w:rFonts w:ascii="Calibri" w:hAnsi="Calibri" w:cs="Calibri"/>
        </w:rPr>
      </w:pPr>
    </w:p>
    <w:p w:rsidR="000B1A00" w14:paraId="3CF299EC" w14:textId="77777777">
      <w:pPr>
        <w:pStyle w:val="Level1"/>
        <w:tabs>
          <w:tab w:val="left" w:pos="-1440"/>
          <w:tab w:val="num" w:pos="720"/>
        </w:tabs>
        <w:rPr>
          <w:rFonts w:ascii="Calibri" w:hAnsi="Calibri" w:cs="Calibri"/>
          <w:b/>
        </w:rPr>
      </w:pPr>
      <w:r>
        <w:rPr>
          <w:rFonts w:ascii="Calibri" w:hAnsi="Calibri" w:cs="Calibri"/>
          <w:b/>
          <w:u w:val="single"/>
        </w:rPr>
        <w:t>REASONS FOR CHANGE IN BURDEN</w:t>
      </w:r>
    </w:p>
    <w:p w:rsidR="000B1A00" w14:paraId="4207D172" w14:textId="77777777">
      <w:pPr>
        <w:rPr>
          <w:rFonts w:ascii="Calibri" w:hAnsi="Calibri" w:cs="Calibri"/>
        </w:rPr>
      </w:pPr>
    </w:p>
    <w:p w:rsidR="00962658" w:rsidP="00962658" w14:paraId="40FACCAB" w14:textId="31BEA607">
      <w:pPr>
        <w:ind w:left="720"/>
        <w:rPr>
          <w:rFonts w:ascii="Calibri" w:hAnsi="Calibri" w:cs="Calibri"/>
        </w:rPr>
      </w:pPr>
      <w:r>
        <w:rPr>
          <w:rFonts w:ascii="Calibri" w:hAnsi="Calibri" w:cs="Calibri"/>
        </w:rPr>
        <w:t>There is no change in the paperwork burden previously approved by OMB.  We are making this submission to renew the OMB approval.</w:t>
      </w:r>
    </w:p>
    <w:p w:rsidR="000B1A00" w14:paraId="708A962F" w14:textId="77777777">
      <w:pPr>
        <w:rPr>
          <w:rFonts w:ascii="Calibri" w:hAnsi="Calibri" w:cs="Calibri"/>
        </w:rPr>
      </w:pPr>
    </w:p>
    <w:p w:rsidR="000B1A00" w14:paraId="0FB06FA8" w14:textId="77777777">
      <w:pPr>
        <w:pStyle w:val="Level1"/>
        <w:tabs>
          <w:tab w:val="left" w:pos="-1440"/>
          <w:tab w:val="num" w:pos="720"/>
        </w:tabs>
        <w:rPr>
          <w:rFonts w:ascii="Calibri" w:hAnsi="Calibri" w:cs="Calibri"/>
          <w:b/>
        </w:rPr>
      </w:pPr>
      <w:r>
        <w:rPr>
          <w:rFonts w:ascii="Calibri" w:hAnsi="Calibri" w:cs="Calibri"/>
          <w:b/>
          <w:u w:val="single"/>
        </w:rPr>
        <w:t>PLANS FOR TABULATION, STATISTICAL ANALYSIS AND PUBLICATION</w:t>
      </w:r>
    </w:p>
    <w:p w:rsidR="000B1A00" w14:paraId="7EB826C4" w14:textId="77777777">
      <w:pPr>
        <w:rPr>
          <w:rFonts w:ascii="Calibri" w:hAnsi="Calibri" w:cs="Calibri"/>
        </w:rPr>
      </w:pPr>
    </w:p>
    <w:p w:rsidR="00A433EA" w14:paraId="79B429E1" w14:textId="79F42D7C">
      <w:pPr>
        <w:ind w:left="720"/>
        <w:rPr>
          <w:rFonts w:ascii="Calibri" w:hAnsi="Calibri" w:cs="Calibri"/>
        </w:rPr>
        <w:sectPr>
          <w:type w:val="continuous"/>
          <w:pgSz w:w="12240" w:h="15840"/>
          <w:pgMar w:top="1440" w:right="1440" w:bottom="1440" w:left="1440" w:header="1440" w:footer="1440" w:gutter="0"/>
          <w:cols w:space="720"/>
          <w:noEndnote/>
        </w:sectPr>
      </w:pPr>
      <w:r>
        <w:rPr>
          <w:rFonts w:ascii="Calibri" w:hAnsi="Calibri" w:cs="Calibri"/>
        </w:rPr>
        <w:t xml:space="preserve">There are no plans for tabulation, statistical analysis, </w:t>
      </w:r>
      <w:r>
        <w:rPr>
          <w:rFonts w:ascii="Calibri" w:hAnsi="Calibri" w:cs="Calibri"/>
        </w:rPr>
        <w:t>and</w:t>
      </w:r>
      <w:r>
        <w:rPr>
          <w:rFonts w:ascii="Calibri" w:hAnsi="Calibri" w:cs="Calibri"/>
        </w:rPr>
        <w:t xml:space="preserve"> publication</w:t>
      </w:r>
      <w:r w:rsidR="000B1A00">
        <w:rPr>
          <w:rFonts w:ascii="Calibri" w:hAnsi="Calibri" w:cs="Calibri"/>
        </w:rPr>
        <w:t>.</w:t>
      </w:r>
    </w:p>
    <w:p w:rsidR="003C59A9" w:rsidP="001E1866" w14:paraId="0FB7A689" w14:textId="77777777">
      <w:pPr>
        <w:pStyle w:val="Level1"/>
        <w:numPr>
          <w:ilvl w:val="0"/>
          <w:numId w:val="0"/>
        </w:numPr>
        <w:tabs>
          <w:tab w:val="left" w:pos="-1440"/>
        </w:tabs>
        <w:rPr>
          <w:rFonts w:ascii="Calibri" w:hAnsi="Calibri" w:cs="Calibri"/>
        </w:rPr>
      </w:pPr>
    </w:p>
    <w:p w:rsidR="000B1A00" w14:paraId="137C8ABF" w14:textId="6321052C">
      <w:pPr>
        <w:pStyle w:val="Level1"/>
        <w:tabs>
          <w:tab w:val="left" w:pos="-1440"/>
          <w:tab w:val="num" w:pos="720"/>
        </w:tabs>
        <w:rPr>
          <w:rFonts w:ascii="Calibri" w:hAnsi="Calibri" w:cs="Calibri"/>
          <w:b/>
        </w:rPr>
      </w:pPr>
      <w:r>
        <w:rPr>
          <w:rFonts w:ascii="Calibri" w:hAnsi="Calibri" w:cs="Calibri"/>
          <w:b/>
          <w:u w:val="single"/>
        </w:rPr>
        <w:t>REASONS WHY DISPLAYING THE OMB EXPIRATION DATE IS</w:t>
      </w:r>
      <w:r w:rsidR="00086BED">
        <w:rPr>
          <w:rFonts w:ascii="Calibri" w:hAnsi="Calibri" w:cs="Calibri"/>
          <w:b/>
          <w:u w:val="single"/>
        </w:rPr>
        <w:t xml:space="preserve"> </w:t>
      </w:r>
      <w:r>
        <w:rPr>
          <w:rFonts w:ascii="Calibri" w:hAnsi="Calibri" w:cs="Calibri"/>
          <w:b/>
          <w:u w:val="single"/>
        </w:rPr>
        <w:t>INAPPROPRIATE</w:t>
      </w:r>
    </w:p>
    <w:p w:rsidR="000B1A00" w14:paraId="2BE384F9" w14:textId="77777777">
      <w:pPr>
        <w:rPr>
          <w:rFonts w:ascii="Calibri" w:hAnsi="Calibri" w:cs="Calibri"/>
        </w:rPr>
      </w:pPr>
    </w:p>
    <w:p w:rsidR="000B1A00" w14:paraId="52711827" w14:textId="4FD48C48">
      <w:pPr>
        <w:ind w:left="720"/>
        <w:rPr>
          <w:rFonts w:ascii="Calibri" w:hAnsi="Calibri" w:cs="Calibri"/>
        </w:rPr>
      </w:pPr>
      <w:r>
        <w:rPr>
          <w:rFonts w:ascii="Calibri" w:hAnsi="Calibri" w:cs="Calibri"/>
        </w:rPr>
        <w:t>IRS believe</w:t>
      </w:r>
      <w:r w:rsidR="00247EE5">
        <w:rPr>
          <w:rFonts w:ascii="Calibri" w:hAnsi="Calibri" w:cs="Calibri"/>
        </w:rPr>
        <w:t>s</w:t>
      </w:r>
      <w:r>
        <w:rPr>
          <w:rFonts w:ascii="Calibri" w:hAnsi="Calibri" w:cs="Calibri"/>
        </w:rPr>
        <w:t xml:space="preserve"> that displaying the OMB expiration date is inappropriate because it could cause confusion by leading taxpayers to believe that the regulations </w:t>
      </w:r>
      <w:r>
        <w:rPr>
          <w:rFonts w:ascii="Calibri" w:hAnsi="Calibri" w:cs="Calibri"/>
        </w:rPr>
        <w:t>expires</w:t>
      </w:r>
      <w:r>
        <w:rPr>
          <w:rFonts w:ascii="Calibri" w:hAnsi="Calibri" w:cs="Calibri"/>
        </w:rPr>
        <w:t xml:space="preserve"> as of the expiration date.  Taxpayers are not likely to be aware that the Service intends to request renewal of the OMB approval and obtain a new expiration date before the old one expires.</w:t>
      </w:r>
    </w:p>
    <w:p w:rsidR="000B1A00" w14:paraId="57B865E3" w14:textId="77777777">
      <w:pPr>
        <w:rPr>
          <w:rFonts w:ascii="Calibri" w:hAnsi="Calibri" w:cs="Calibri"/>
        </w:rPr>
      </w:pPr>
    </w:p>
    <w:p w:rsidR="000B1A00" w14:paraId="58298783" w14:textId="77777777">
      <w:pPr>
        <w:pStyle w:val="Level1"/>
        <w:tabs>
          <w:tab w:val="left" w:pos="-1440"/>
          <w:tab w:val="num" w:pos="720"/>
        </w:tabs>
        <w:rPr>
          <w:rFonts w:ascii="Calibri" w:hAnsi="Calibri" w:cs="Calibri"/>
          <w:b/>
        </w:rPr>
      </w:pPr>
      <w:r>
        <w:rPr>
          <w:rFonts w:ascii="Calibri" w:hAnsi="Calibri" w:cs="Calibri"/>
          <w:b/>
          <w:u w:val="single"/>
        </w:rPr>
        <w:t>EXCEPTIONS TO THE CERTIFICATION STATEMENT</w:t>
      </w:r>
    </w:p>
    <w:p w:rsidR="000B1A00" w14:paraId="4C408275" w14:textId="77777777">
      <w:pPr>
        <w:rPr>
          <w:rFonts w:ascii="Calibri" w:hAnsi="Calibri" w:cs="Calibri"/>
        </w:rPr>
      </w:pPr>
    </w:p>
    <w:p w:rsidR="000B1A00" w14:paraId="61D9A27C" w14:textId="77777777">
      <w:pPr>
        <w:ind w:left="720"/>
        <w:rPr>
          <w:rFonts w:ascii="Calibri" w:hAnsi="Calibri" w:cs="Calibri"/>
        </w:rPr>
      </w:pPr>
      <w:r>
        <w:rPr>
          <w:rFonts w:ascii="Calibri" w:hAnsi="Calibri" w:cs="Calibri"/>
        </w:rPr>
        <w:t>There are no exceptions to the certification statement.</w:t>
      </w:r>
    </w:p>
    <w:p w:rsidR="000B1A00" w14:paraId="753B6308" w14:textId="77777777">
      <w:pPr>
        <w:rPr>
          <w:rFonts w:ascii="Calibri" w:hAnsi="Calibri" w:cs="Calibri"/>
        </w:rPr>
      </w:pPr>
    </w:p>
    <w:sectPr w:rsidSect="000B1A00">
      <w:type w:val="continuous"/>
      <w:pgSz w:w="12240" w:h="15840"/>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4F02" w14:paraId="759CF347" w14:textId="77777777">
    <w:pPr>
      <w:framePr w:w="9361" w:wrap="notBeside" w:vAnchor="text" w:hAnchor="text" w:x="1" w:y="1"/>
      <w:jc w:val="center"/>
      <w:rPr>
        <w:rFonts w:cs="Courier"/>
      </w:rPr>
    </w:pPr>
    <w:r>
      <w:rPr>
        <w:rFonts w:cs="Courier"/>
      </w:rPr>
      <w:fldChar w:fldCharType="begin"/>
    </w:r>
    <w:r>
      <w:rPr>
        <w:rFonts w:cs="Courier"/>
      </w:rPr>
      <w:instrText xml:space="preserve">PAGE </w:instrText>
    </w:r>
    <w:r>
      <w:rPr>
        <w:rFonts w:cs="Courier"/>
      </w:rPr>
      <w:fldChar w:fldCharType="separate"/>
    </w:r>
    <w:r w:rsidR="00B80264">
      <w:rPr>
        <w:rFonts w:cs="Courier"/>
        <w:noProof/>
      </w:rPr>
      <w:t>4</w:t>
    </w:r>
    <w:r>
      <w:rPr>
        <w:rFonts w:cs="Courier"/>
      </w:rPr>
      <w:fldChar w:fldCharType="end"/>
    </w:r>
  </w:p>
  <w:p w:rsidR="00EC4F02" w14:paraId="212DE933" w14:textId="77777777"/>
  <w:p w:rsidR="00EC4F02" w14:paraId="79580D7C"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626C18"/>
    <w:multiLevelType w:val="hybridMultilevel"/>
    <w:tmpl w:val="427020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C4931A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4B357E2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6E23768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23135958">
    <w:abstractNumId w:val="0"/>
    <w:lvlOverride w:ilvl="0">
      <w:lvl w:ilvl="0">
        <w:start w:val="1"/>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start w:val="0"/>
        <w:numFmt w:val="decimal"/>
        <w:lvlJc w:val="left"/>
      </w:lvl>
    </w:lvlOverride>
  </w:num>
  <w:num w:numId="2" w16cid:durableId="1643004152">
    <w:abstractNumId w:val="2"/>
  </w:num>
  <w:num w:numId="3" w16cid:durableId="941762037">
    <w:abstractNumId w:val="4"/>
  </w:num>
  <w:num w:numId="4" w16cid:durableId="1849714123">
    <w:abstractNumId w:val="3"/>
  </w:num>
  <w:num w:numId="5" w16cid:durableId="2007585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00"/>
    <w:rsid w:val="00003C36"/>
    <w:rsid w:val="00015FA9"/>
    <w:rsid w:val="000353D6"/>
    <w:rsid w:val="000609B0"/>
    <w:rsid w:val="00063770"/>
    <w:rsid w:val="00082F4A"/>
    <w:rsid w:val="00086BED"/>
    <w:rsid w:val="000A0AC7"/>
    <w:rsid w:val="000B1A00"/>
    <w:rsid w:val="000E2B23"/>
    <w:rsid w:val="00107DBD"/>
    <w:rsid w:val="0012545A"/>
    <w:rsid w:val="0012699F"/>
    <w:rsid w:val="0019661C"/>
    <w:rsid w:val="001C421E"/>
    <w:rsid w:val="001E1866"/>
    <w:rsid w:val="001E2260"/>
    <w:rsid w:val="002216CD"/>
    <w:rsid w:val="0024483D"/>
    <w:rsid w:val="00247EE5"/>
    <w:rsid w:val="00254140"/>
    <w:rsid w:val="00270736"/>
    <w:rsid w:val="00282F86"/>
    <w:rsid w:val="002B532C"/>
    <w:rsid w:val="002C59E3"/>
    <w:rsid w:val="00306DFF"/>
    <w:rsid w:val="003764CC"/>
    <w:rsid w:val="00381F1F"/>
    <w:rsid w:val="00391C46"/>
    <w:rsid w:val="00393E15"/>
    <w:rsid w:val="003B5877"/>
    <w:rsid w:val="003C59A9"/>
    <w:rsid w:val="0041128F"/>
    <w:rsid w:val="00472808"/>
    <w:rsid w:val="004759E4"/>
    <w:rsid w:val="004B481E"/>
    <w:rsid w:val="004E5CD0"/>
    <w:rsid w:val="005000F1"/>
    <w:rsid w:val="0054520F"/>
    <w:rsid w:val="005A477C"/>
    <w:rsid w:val="005B7FCC"/>
    <w:rsid w:val="005D3854"/>
    <w:rsid w:val="005D542C"/>
    <w:rsid w:val="00610CDA"/>
    <w:rsid w:val="00644F58"/>
    <w:rsid w:val="00654E36"/>
    <w:rsid w:val="00690E4E"/>
    <w:rsid w:val="006921EC"/>
    <w:rsid w:val="006B02DA"/>
    <w:rsid w:val="00722B8B"/>
    <w:rsid w:val="00726730"/>
    <w:rsid w:val="00760F6B"/>
    <w:rsid w:val="007723DD"/>
    <w:rsid w:val="007B0F71"/>
    <w:rsid w:val="007C1BA9"/>
    <w:rsid w:val="007D53F0"/>
    <w:rsid w:val="008014F3"/>
    <w:rsid w:val="008047DF"/>
    <w:rsid w:val="008058FF"/>
    <w:rsid w:val="0083498E"/>
    <w:rsid w:val="00891B4C"/>
    <w:rsid w:val="008A0EB5"/>
    <w:rsid w:val="008A12B6"/>
    <w:rsid w:val="008D4B6B"/>
    <w:rsid w:val="008E574D"/>
    <w:rsid w:val="00962658"/>
    <w:rsid w:val="00970ECF"/>
    <w:rsid w:val="00994FDD"/>
    <w:rsid w:val="009B3644"/>
    <w:rsid w:val="00A11C8B"/>
    <w:rsid w:val="00A30C99"/>
    <w:rsid w:val="00A34229"/>
    <w:rsid w:val="00A433EA"/>
    <w:rsid w:val="00AA4362"/>
    <w:rsid w:val="00B02C4B"/>
    <w:rsid w:val="00B16620"/>
    <w:rsid w:val="00B22CAD"/>
    <w:rsid w:val="00B67D2C"/>
    <w:rsid w:val="00B80264"/>
    <w:rsid w:val="00B95A2E"/>
    <w:rsid w:val="00B973C5"/>
    <w:rsid w:val="00BA3724"/>
    <w:rsid w:val="00BB7326"/>
    <w:rsid w:val="00BE4946"/>
    <w:rsid w:val="00BF0D4E"/>
    <w:rsid w:val="00C55D49"/>
    <w:rsid w:val="00C875FF"/>
    <w:rsid w:val="00C93A75"/>
    <w:rsid w:val="00CB110E"/>
    <w:rsid w:val="00CB7467"/>
    <w:rsid w:val="00D1002E"/>
    <w:rsid w:val="00D248B5"/>
    <w:rsid w:val="00D27B77"/>
    <w:rsid w:val="00D847DB"/>
    <w:rsid w:val="00DD299E"/>
    <w:rsid w:val="00E17C0F"/>
    <w:rsid w:val="00E7023B"/>
    <w:rsid w:val="00E84E09"/>
    <w:rsid w:val="00E97F96"/>
    <w:rsid w:val="00EC4F02"/>
    <w:rsid w:val="00EE38D9"/>
    <w:rsid w:val="00EE554A"/>
    <w:rsid w:val="00EF13A3"/>
    <w:rsid w:val="00EF4D62"/>
    <w:rsid w:val="00F55117"/>
    <w:rsid w:val="00F84750"/>
    <w:rsid w:val="00FA08A3"/>
    <w:rsid w:val="00FC79C6"/>
    <w:rsid w:val="00FD5D53"/>
    <w:rsid w:val="00FE52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5F5B2C79"/>
  <w15:chartTrackingRefBased/>
  <w15:docId w15:val="{8183CB4F-7027-4588-B1E6-57CC146B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0D4E"/>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character" w:styleId="Hyperlink">
    <w:name w:val="Hyperlink"/>
    <w:rsid w:val="00015FA9"/>
    <w:rPr>
      <w:color w:val="0000FF"/>
      <w:u w:val="single"/>
    </w:rPr>
  </w:style>
  <w:style w:type="character" w:styleId="UnresolvedMention">
    <w:name w:val="Unresolved Mention"/>
    <w:uiPriority w:val="99"/>
    <w:semiHidden/>
    <w:unhideWhenUsed/>
    <w:rsid w:val="00FA08A3"/>
    <w:rPr>
      <w:color w:val="605E5C"/>
      <w:shd w:val="clear" w:color="auto" w:fill="E1DFDD"/>
    </w:rPr>
  </w:style>
  <w:style w:type="paragraph" w:styleId="Revision">
    <w:name w:val="Revision"/>
    <w:hidden/>
    <w:uiPriority w:val="99"/>
    <w:semiHidden/>
    <w:rsid w:val="00FE52BA"/>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https://www.irs.gov/uac/Privacy-Impact-Assessments-PIA"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J11FB</dc:creator>
  <cp:lastModifiedBy>Garcia Andres</cp:lastModifiedBy>
  <cp:revision>6</cp:revision>
  <dcterms:created xsi:type="dcterms:W3CDTF">2026-07-21T13:19:00Z</dcterms:created>
  <dcterms:modified xsi:type="dcterms:W3CDTF">2026-07-21T15:12:00Z</dcterms:modified>
</cp:coreProperties>
</file>