
<file path=[Content_Types].xml><?xml version="1.0" encoding="utf-8"?>
<Types xmlns="http://schemas.openxmlformats.org/package/2006/content-types">
  <Default Extension="rels" ContentType="application/vnd.openxmlformats-package.relationships+xml"/>
  <Default Extension="xml" ContentType="application/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9A4E05" w14:paraId="59D33DDD" w14:textId="77777777">
      <w:pPr>
        <w:jc w:val="center"/>
        <w:rPr>
          <w:rFonts w:ascii="CG Times" w:hAnsi="CG Times" w:cs="CG Times"/>
          <w:sz w:val="24"/>
          <w:szCs w:val="24"/>
        </w:rPr>
      </w:pPr>
      <w:r>
        <w:rPr>
          <w:lang w:val="en-CA"/>
        </w:rPr>
        <w:fldChar w:fldCharType="begin"/>
      </w:r>
      <w:r>
        <w:rPr>
          <w:lang w:val="en-CA"/>
        </w:rPr>
        <w:instrText xml:space="preserve"> SEQ CHAPTER \h \r 1</w:instrText>
      </w:r>
      <w:r>
        <w:rPr>
          <w:lang w:val="en-CA"/>
        </w:rPr>
        <w:fldChar w:fldCharType="separate"/>
      </w:r>
      <w:r>
        <w:rPr>
          <w:lang w:val="en-CA"/>
        </w:rPr>
        <w:fldChar w:fldCharType="end"/>
      </w:r>
      <w:r>
        <w:rPr>
          <w:rFonts w:ascii="CG Times" w:hAnsi="CG Times" w:cs="CG Times"/>
          <w:sz w:val="24"/>
          <w:szCs w:val="24"/>
        </w:rPr>
        <w:t>SUPPORTING STATEMENT</w:t>
      </w:r>
    </w:p>
    <w:p w:rsidR="009A4E05" w14:paraId="17F9221A" w14:textId="3425DE73">
      <w:pPr>
        <w:jc w:val="center"/>
        <w:rPr>
          <w:rFonts w:ascii="CG Times" w:hAnsi="CG Times" w:cs="CG Times"/>
          <w:sz w:val="24"/>
          <w:szCs w:val="24"/>
        </w:rPr>
      </w:pPr>
      <w:r>
        <w:rPr>
          <w:rFonts w:ascii="CG Times" w:hAnsi="CG Times" w:cs="CG Times"/>
          <w:sz w:val="24"/>
          <w:szCs w:val="24"/>
        </w:rPr>
        <w:t>Internal Revenue Service</w:t>
      </w:r>
      <w:r w:rsidR="0014334E">
        <w:rPr>
          <w:rFonts w:ascii="CG Times" w:hAnsi="CG Times" w:cs="CG Times"/>
          <w:sz w:val="24"/>
          <w:szCs w:val="24"/>
        </w:rPr>
        <w:t xml:space="preserve"> (IRS)</w:t>
      </w:r>
    </w:p>
    <w:p w:rsidR="00580632" w14:paraId="23241FD6" w14:textId="1CD37C38">
      <w:pPr>
        <w:jc w:val="center"/>
        <w:rPr>
          <w:rFonts w:ascii="CG Times" w:hAnsi="CG Times" w:cs="CG Times"/>
          <w:sz w:val="24"/>
          <w:szCs w:val="24"/>
        </w:rPr>
      </w:pPr>
      <w:r>
        <w:rPr>
          <w:rFonts w:ascii="CG Times" w:hAnsi="CG Times" w:cs="CG Times"/>
          <w:sz w:val="24"/>
          <w:szCs w:val="24"/>
        </w:rPr>
        <w:t>Pre-Filing Registration for Elective Payment and Transfer Elections</w:t>
      </w:r>
    </w:p>
    <w:p w:rsidR="009A4E05" w14:paraId="69BB164F" w14:textId="1E29DC3E">
      <w:pPr>
        <w:jc w:val="center"/>
        <w:rPr>
          <w:rFonts w:ascii="CG Times" w:hAnsi="CG Times" w:cs="CG Times"/>
          <w:sz w:val="24"/>
          <w:szCs w:val="24"/>
        </w:rPr>
      </w:pPr>
      <w:r>
        <w:rPr>
          <w:rFonts w:ascii="CG Times" w:hAnsi="CG Times" w:cs="CG Times"/>
          <w:sz w:val="24"/>
          <w:szCs w:val="24"/>
        </w:rPr>
        <w:t>OMB Control Number 1545-</w:t>
      </w:r>
      <w:r w:rsidR="006E5B32">
        <w:rPr>
          <w:rFonts w:ascii="CG Times" w:hAnsi="CG Times" w:cs="CG Times"/>
          <w:sz w:val="24"/>
          <w:szCs w:val="24"/>
        </w:rPr>
        <w:t>2310</w:t>
      </w:r>
    </w:p>
    <w:p w:rsidR="009A4E05" w14:paraId="32676CE7" w14:textId="77777777">
      <w:pPr>
        <w:rPr>
          <w:rFonts w:ascii="Times New Roman" w:hAnsi="Times New Roman" w:cs="Times New Roman"/>
          <w:bCs/>
          <w:sz w:val="24"/>
          <w:szCs w:val="24"/>
        </w:rPr>
      </w:pPr>
    </w:p>
    <w:p w:rsidR="009A4E05" w14:paraId="44C9AED0"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CIRCUMSTANCES NECESSITATING COLLECTION OF INFORMATION</w:t>
      </w:r>
    </w:p>
    <w:p w:rsidR="009A4E05" w14:paraId="084433B0" w14:textId="77777777">
      <w:pPr>
        <w:numPr>
          <w:ilvl w:val="12"/>
          <w:numId w:val="0"/>
        </w:numPr>
        <w:rPr>
          <w:rFonts w:ascii="Times New Roman" w:hAnsi="Times New Roman" w:cs="Times New Roman"/>
          <w:bCs/>
          <w:sz w:val="24"/>
          <w:szCs w:val="24"/>
        </w:rPr>
      </w:pPr>
    </w:p>
    <w:p w:rsidR="00C95E14" w:rsidP="00580632" w14:paraId="16A7BB6E" w14:textId="3872BEAB">
      <w:pPr>
        <w:numPr>
          <w:ilvl w:val="12"/>
          <w:numId w:val="0"/>
        </w:numPr>
        <w:ind w:left="720"/>
        <w:rPr>
          <w:rFonts w:ascii="Times New Roman" w:hAnsi="Times New Roman" w:cs="Times New Roman"/>
          <w:bCs/>
          <w:sz w:val="24"/>
          <w:szCs w:val="24"/>
        </w:rPr>
      </w:pPr>
      <w:r>
        <w:rPr>
          <w:rFonts w:ascii="Times New Roman" w:hAnsi="Times New Roman" w:cs="Times New Roman"/>
          <w:bCs/>
          <w:sz w:val="24"/>
          <w:szCs w:val="24"/>
        </w:rPr>
        <w:t>Internal Revenue Code (</w:t>
      </w:r>
      <w:r w:rsidRPr="003419E8" w:rsidR="003419E8">
        <w:rPr>
          <w:rFonts w:ascii="Times New Roman" w:hAnsi="Times New Roman" w:cs="Times New Roman"/>
          <w:bCs/>
          <w:sz w:val="24"/>
          <w:szCs w:val="24"/>
        </w:rPr>
        <w:t>IRC</w:t>
      </w:r>
      <w:r>
        <w:rPr>
          <w:rFonts w:ascii="Times New Roman" w:hAnsi="Times New Roman" w:cs="Times New Roman"/>
          <w:bCs/>
          <w:sz w:val="24"/>
          <w:szCs w:val="24"/>
        </w:rPr>
        <w:t>)</w:t>
      </w:r>
      <w:r w:rsidRPr="003419E8" w:rsidR="003419E8">
        <w:rPr>
          <w:rFonts w:ascii="Times New Roman" w:hAnsi="Times New Roman" w:cs="Times New Roman"/>
          <w:bCs/>
          <w:sz w:val="24"/>
          <w:szCs w:val="24"/>
        </w:rPr>
        <w:t xml:space="preserve"> section 48D allows for </w:t>
      </w:r>
      <w:r w:rsidR="0042151F">
        <w:rPr>
          <w:rFonts w:ascii="Times New Roman" w:hAnsi="Times New Roman" w:cs="Times New Roman"/>
          <w:bCs/>
          <w:sz w:val="24"/>
          <w:szCs w:val="24"/>
        </w:rPr>
        <w:t>the advanced</w:t>
      </w:r>
      <w:r w:rsidRPr="003419E8" w:rsidR="003419E8">
        <w:rPr>
          <w:rFonts w:ascii="Times New Roman" w:hAnsi="Times New Roman" w:cs="Times New Roman"/>
          <w:bCs/>
          <w:sz w:val="24"/>
          <w:szCs w:val="24"/>
        </w:rPr>
        <w:t xml:space="preserve"> manufacturing </w:t>
      </w:r>
      <w:r w:rsidR="005842F5">
        <w:rPr>
          <w:rFonts w:ascii="Times New Roman" w:hAnsi="Times New Roman" w:cs="Times New Roman"/>
          <w:bCs/>
          <w:sz w:val="24"/>
          <w:szCs w:val="24"/>
        </w:rPr>
        <w:t xml:space="preserve">investment </w:t>
      </w:r>
      <w:r w:rsidRPr="003419E8" w:rsidR="003419E8">
        <w:rPr>
          <w:rFonts w:ascii="Times New Roman" w:hAnsi="Times New Roman" w:cs="Times New Roman"/>
          <w:bCs/>
          <w:sz w:val="24"/>
          <w:szCs w:val="24"/>
        </w:rPr>
        <w:t>credit</w:t>
      </w:r>
      <w:r w:rsidR="005842F5">
        <w:rPr>
          <w:rFonts w:ascii="Times New Roman" w:hAnsi="Times New Roman" w:cs="Times New Roman"/>
          <w:bCs/>
          <w:sz w:val="24"/>
          <w:szCs w:val="24"/>
        </w:rPr>
        <w:t xml:space="preserve"> for purposes of </w:t>
      </w:r>
      <w:r w:rsidR="000C5EEF">
        <w:rPr>
          <w:rFonts w:ascii="Times New Roman" w:hAnsi="Times New Roman" w:cs="Times New Roman"/>
          <w:bCs/>
          <w:sz w:val="24"/>
          <w:szCs w:val="24"/>
        </w:rPr>
        <w:t xml:space="preserve">investment credits outlined in IRC </w:t>
      </w:r>
      <w:r w:rsidR="00E85B7A">
        <w:rPr>
          <w:rFonts w:ascii="Times New Roman" w:hAnsi="Times New Roman" w:cs="Times New Roman"/>
          <w:bCs/>
          <w:sz w:val="24"/>
          <w:szCs w:val="24"/>
        </w:rPr>
        <w:t>section 46</w:t>
      </w:r>
      <w:r w:rsidRPr="003419E8" w:rsidR="003419E8">
        <w:rPr>
          <w:rFonts w:ascii="Times New Roman" w:hAnsi="Times New Roman" w:cs="Times New Roman"/>
          <w:bCs/>
          <w:sz w:val="24"/>
          <w:szCs w:val="24"/>
        </w:rPr>
        <w:t xml:space="preserve">. </w:t>
      </w:r>
      <w:r w:rsidR="00B36C35">
        <w:rPr>
          <w:rFonts w:ascii="Times New Roman" w:hAnsi="Times New Roman" w:cs="Times New Roman"/>
          <w:bCs/>
          <w:sz w:val="24"/>
          <w:szCs w:val="24"/>
        </w:rPr>
        <w:t>Eligible</w:t>
      </w:r>
      <w:r w:rsidR="00B67BC9">
        <w:rPr>
          <w:rFonts w:ascii="Times New Roman" w:hAnsi="Times New Roman" w:cs="Times New Roman"/>
          <w:bCs/>
          <w:sz w:val="24"/>
          <w:szCs w:val="24"/>
        </w:rPr>
        <w:t xml:space="preserve"> taxpayer</w:t>
      </w:r>
      <w:r w:rsidR="00B36C35">
        <w:rPr>
          <w:rFonts w:ascii="Times New Roman" w:hAnsi="Times New Roman" w:cs="Times New Roman"/>
          <w:bCs/>
          <w:sz w:val="24"/>
          <w:szCs w:val="24"/>
        </w:rPr>
        <w:t>s</w:t>
      </w:r>
      <w:r w:rsidR="00B67BC9">
        <w:rPr>
          <w:rFonts w:ascii="Times New Roman" w:hAnsi="Times New Roman" w:cs="Times New Roman"/>
          <w:bCs/>
          <w:sz w:val="24"/>
          <w:szCs w:val="24"/>
        </w:rPr>
        <w:t xml:space="preserve"> may </w:t>
      </w:r>
      <w:r w:rsidR="004605F8">
        <w:rPr>
          <w:rFonts w:ascii="Times New Roman" w:hAnsi="Times New Roman" w:cs="Times New Roman"/>
          <w:bCs/>
          <w:sz w:val="24"/>
          <w:szCs w:val="24"/>
        </w:rPr>
        <w:t>elect to treat the credit as making a payment</w:t>
      </w:r>
      <w:r w:rsidR="00113EAD">
        <w:rPr>
          <w:rFonts w:ascii="Times New Roman" w:hAnsi="Times New Roman" w:cs="Times New Roman"/>
          <w:bCs/>
          <w:sz w:val="24"/>
          <w:szCs w:val="24"/>
        </w:rPr>
        <w:t xml:space="preserve"> of tax. </w:t>
      </w:r>
      <w:r w:rsidR="00E85B7A">
        <w:rPr>
          <w:rFonts w:ascii="Times New Roman" w:hAnsi="Times New Roman" w:cs="Times New Roman"/>
          <w:bCs/>
          <w:sz w:val="24"/>
          <w:szCs w:val="24"/>
        </w:rPr>
        <w:t>IRC s</w:t>
      </w:r>
      <w:r w:rsidRPr="003419E8" w:rsidR="003419E8">
        <w:rPr>
          <w:rFonts w:ascii="Times New Roman" w:hAnsi="Times New Roman" w:cs="Times New Roman"/>
          <w:bCs/>
          <w:sz w:val="24"/>
          <w:szCs w:val="24"/>
        </w:rPr>
        <w:t xml:space="preserve">ection 6417 allows certain taxpayers to treat certain credits as a direct payment rather than a credit against their federal income tax liabilities. </w:t>
      </w:r>
      <w:r>
        <w:rPr>
          <w:rFonts w:ascii="Times New Roman" w:hAnsi="Times New Roman" w:cs="Times New Roman"/>
          <w:bCs/>
          <w:sz w:val="24"/>
          <w:szCs w:val="24"/>
        </w:rPr>
        <w:t>IRC s</w:t>
      </w:r>
      <w:r w:rsidRPr="003419E8" w:rsidR="003419E8">
        <w:rPr>
          <w:rFonts w:ascii="Times New Roman" w:hAnsi="Times New Roman" w:cs="Times New Roman"/>
          <w:bCs/>
          <w:sz w:val="24"/>
          <w:szCs w:val="24"/>
        </w:rPr>
        <w:t xml:space="preserve">ection 6418 permits eligible credits to </w:t>
      </w:r>
      <w:r w:rsidRPr="003419E8" w:rsidR="003419E8">
        <w:rPr>
          <w:rFonts w:ascii="Times New Roman" w:hAnsi="Times New Roman" w:cs="Times New Roman"/>
          <w:bCs/>
          <w:sz w:val="24"/>
          <w:szCs w:val="24"/>
        </w:rPr>
        <w:t>be transferred</w:t>
      </w:r>
      <w:r w:rsidRPr="003419E8" w:rsidR="003419E8">
        <w:rPr>
          <w:rFonts w:ascii="Times New Roman" w:hAnsi="Times New Roman" w:cs="Times New Roman"/>
          <w:bCs/>
          <w:sz w:val="24"/>
          <w:szCs w:val="24"/>
        </w:rPr>
        <w:t xml:space="preserve"> from eligible taxpayers to unrelated taxpayers. </w:t>
      </w:r>
    </w:p>
    <w:p w:rsidR="00C95E14" w:rsidP="00580632" w14:paraId="7903F3FB" w14:textId="77777777">
      <w:pPr>
        <w:numPr>
          <w:ilvl w:val="12"/>
          <w:numId w:val="0"/>
        </w:numPr>
        <w:ind w:left="720"/>
        <w:rPr>
          <w:rFonts w:ascii="Times New Roman" w:hAnsi="Times New Roman" w:cs="Times New Roman"/>
          <w:bCs/>
          <w:sz w:val="24"/>
          <w:szCs w:val="24"/>
        </w:rPr>
      </w:pPr>
    </w:p>
    <w:p w:rsidR="0069382E" w:rsidP="00580632" w14:paraId="5BEFA8B9" w14:textId="3C737799">
      <w:pPr>
        <w:numPr>
          <w:ilvl w:val="12"/>
          <w:numId w:val="0"/>
        </w:numPr>
        <w:ind w:left="720"/>
        <w:rPr>
          <w:rFonts w:ascii="Times New Roman" w:hAnsi="Times New Roman" w:cs="Times New Roman"/>
          <w:bCs/>
          <w:sz w:val="24"/>
          <w:szCs w:val="24"/>
        </w:rPr>
      </w:pPr>
      <w:r w:rsidRPr="003419E8">
        <w:rPr>
          <w:rFonts w:ascii="Times New Roman" w:hAnsi="Times New Roman" w:cs="Times New Roman"/>
          <w:bCs/>
          <w:sz w:val="24"/>
          <w:szCs w:val="24"/>
        </w:rPr>
        <w:t xml:space="preserve">Treasury Decisions (TD) 9988, 9989, and 9993 prescribe the procedures to register and make payment elections under </w:t>
      </w:r>
      <w:r w:rsidR="001300A4">
        <w:rPr>
          <w:rFonts w:ascii="Times New Roman" w:hAnsi="Times New Roman" w:cs="Times New Roman"/>
          <w:bCs/>
          <w:sz w:val="24"/>
          <w:szCs w:val="24"/>
        </w:rPr>
        <w:t>IRC</w:t>
      </w:r>
      <w:r w:rsidRPr="003419E8">
        <w:rPr>
          <w:rFonts w:ascii="Times New Roman" w:hAnsi="Times New Roman" w:cs="Times New Roman"/>
          <w:bCs/>
          <w:sz w:val="24"/>
          <w:szCs w:val="24"/>
        </w:rPr>
        <w:t xml:space="preserve"> sections 48D, 6417, and 6418.</w:t>
      </w:r>
      <w:r w:rsidR="00C27C81">
        <w:rPr>
          <w:rFonts w:ascii="Times New Roman" w:hAnsi="Times New Roman" w:cs="Times New Roman"/>
          <w:bCs/>
          <w:sz w:val="24"/>
          <w:szCs w:val="24"/>
        </w:rPr>
        <w:t xml:space="preserve"> </w:t>
      </w:r>
      <w:r w:rsidRPr="00C27C81" w:rsidR="00C27C81">
        <w:rPr>
          <w:rFonts w:ascii="Times New Roman" w:hAnsi="Times New Roman" w:cs="Times New Roman"/>
          <w:bCs/>
          <w:sz w:val="24"/>
          <w:szCs w:val="24"/>
        </w:rPr>
        <w:t xml:space="preserve">Before making </w:t>
      </w:r>
      <w:r w:rsidR="006B51F1">
        <w:rPr>
          <w:rFonts w:ascii="Times New Roman" w:hAnsi="Times New Roman" w:cs="Times New Roman"/>
          <w:bCs/>
          <w:sz w:val="24"/>
          <w:szCs w:val="24"/>
        </w:rPr>
        <w:t xml:space="preserve">elections or transfers </w:t>
      </w:r>
      <w:r w:rsidR="001300A4">
        <w:rPr>
          <w:rFonts w:ascii="Times New Roman" w:hAnsi="Times New Roman" w:cs="Times New Roman"/>
          <w:bCs/>
          <w:sz w:val="24"/>
          <w:szCs w:val="24"/>
        </w:rPr>
        <w:t>allowed by these sections</w:t>
      </w:r>
      <w:r w:rsidRPr="00C27C81" w:rsidR="00C27C81">
        <w:rPr>
          <w:rFonts w:ascii="Times New Roman" w:hAnsi="Times New Roman" w:cs="Times New Roman"/>
          <w:bCs/>
          <w:sz w:val="24"/>
          <w:szCs w:val="24"/>
        </w:rPr>
        <w:t>, taxpayers must complete a pre-election registration process through an IRS electronic portal</w:t>
      </w:r>
      <w:r w:rsidR="004E46E4">
        <w:rPr>
          <w:rFonts w:ascii="Times New Roman" w:hAnsi="Times New Roman" w:cs="Times New Roman"/>
          <w:bCs/>
          <w:sz w:val="24"/>
          <w:szCs w:val="24"/>
        </w:rPr>
        <w:t>.</w:t>
      </w:r>
      <w:r w:rsidR="00734DB1">
        <w:rPr>
          <w:rFonts w:ascii="Times New Roman" w:hAnsi="Times New Roman" w:cs="Times New Roman"/>
          <w:bCs/>
          <w:sz w:val="24"/>
          <w:szCs w:val="24"/>
        </w:rPr>
        <w:t xml:space="preserve"> IRS Publication 5884</w:t>
      </w:r>
      <w:r w:rsidR="008B0D1D">
        <w:rPr>
          <w:rFonts w:ascii="Times New Roman" w:hAnsi="Times New Roman" w:cs="Times New Roman"/>
          <w:bCs/>
          <w:sz w:val="24"/>
          <w:szCs w:val="24"/>
        </w:rPr>
        <w:t xml:space="preserve">, Elective Pay and Transfer Election Pre-Filing Registration User Guide, </w:t>
      </w:r>
      <w:r w:rsidR="00CF5145">
        <w:rPr>
          <w:rFonts w:ascii="Times New Roman" w:hAnsi="Times New Roman" w:cs="Times New Roman"/>
          <w:bCs/>
          <w:sz w:val="24"/>
          <w:szCs w:val="24"/>
        </w:rPr>
        <w:t>informs the taxpayer how to register using the online portal.</w:t>
      </w:r>
    </w:p>
    <w:p w:rsidR="00580632" w:rsidP="00580632" w14:paraId="7E50F274" w14:textId="77777777">
      <w:pPr>
        <w:numPr>
          <w:ilvl w:val="12"/>
          <w:numId w:val="0"/>
        </w:numPr>
        <w:ind w:left="720"/>
        <w:rPr>
          <w:rFonts w:ascii="Times New Roman" w:hAnsi="Times New Roman" w:cs="Times New Roman"/>
          <w:bCs/>
          <w:sz w:val="24"/>
          <w:szCs w:val="24"/>
        </w:rPr>
      </w:pPr>
    </w:p>
    <w:p w:rsidR="009A4E05" w14:paraId="441B97BA"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USE OF DATA</w:t>
      </w:r>
      <w:r>
        <w:rPr>
          <w:rFonts w:ascii="Times New Roman" w:hAnsi="Times New Roman" w:cs="Times New Roman"/>
          <w:b/>
          <w:bCs/>
        </w:rPr>
        <w:t xml:space="preserve"> </w:t>
      </w:r>
    </w:p>
    <w:p w:rsidR="009A4E05" w14:paraId="719897C7" w14:textId="77777777">
      <w:pPr>
        <w:numPr>
          <w:ilvl w:val="12"/>
          <w:numId w:val="0"/>
        </w:numPr>
        <w:rPr>
          <w:rFonts w:ascii="Times New Roman" w:hAnsi="Times New Roman" w:cs="Times New Roman"/>
          <w:bCs/>
          <w:sz w:val="24"/>
          <w:szCs w:val="24"/>
        </w:rPr>
      </w:pPr>
    </w:p>
    <w:p w:rsidR="009A4E05" w14:paraId="4F8C387D" w14:textId="7DB4BADA">
      <w:pPr>
        <w:numPr>
          <w:ilvl w:val="12"/>
          <w:numId w:val="0"/>
        </w:numPr>
        <w:ind w:left="720"/>
        <w:rPr>
          <w:rFonts w:ascii="Times New Roman" w:hAnsi="Times New Roman" w:cs="Times New Roman"/>
          <w:bCs/>
          <w:sz w:val="24"/>
          <w:szCs w:val="24"/>
        </w:rPr>
      </w:pPr>
      <w:r w:rsidRPr="00655A9E">
        <w:rPr>
          <w:rFonts w:ascii="Times New Roman" w:hAnsi="Times New Roman" w:cs="Times New Roman"/>
          <w:bCs/>
          <w:sz w:val="24"/>
          <w:szCs w:val="24"/>
        </w:rPr>
        <w:t xml:space="preserve">The information collected at registration will be used by the IRS for entity validation as guardrails for deterring fraud and duplication. </w:t>
      </w:r>
      <w:r w:rsidR="006C3FCC">
        <w:rPr>
          <w:rFonts w:ascii="Times New Roman" w:hAnsi="Times New Roman" w:cs="Times New Roman"/>
          <w:bCs/>
          <w:sz w:val="24"/>
          <w:szCs w:val="24"/>
        </w:rPr>
        <w:t xml:space="preserve"> </w:t>
      </w:r>
      <w:r w:rsidRPr="00655A9E">
        <w:rPr>
          <w:rFonts w:ascii="Times New Roman" w:hAnsi="Times New Roman" w:cs="Times New Roman"/>
          <w:bCs/>
          <w:sz w:val="24"/>
          <w:szCs w:val="24"/>
        </w:rPr>
        <w:t>An eligible taxpayer registering through the IRS electronic registration portal will receive a unique registration number from the IRS that will allow the IRS to track the transfer of the eligible credit to prevent duplication, fraud, and excessive credit transfers.</w:t>
      </w:r>
      <w:r w:rsidRPr="00DB64B7" w:rsidR="00F703B0">
        <w:rPr>
          <w:rFonts w:ascii="Times New Roman" w:hAnsi="Times New Roman" w:cs="Times New Roman"/>
          <w:bCs/>
          <w:sz w:val="24"/>
          <w:szCs w:val="24"/>
        </w:rPr>
        <w:t xml:space="preserve"> </w:t>
      </w:r>
    </w:p>
    <w:p w:rsidR="00655A9E" w14:paraId="3793D10F" w14:textId="3CC7F7C1">
      <w:pPr>
        <w:numPr>
          <w:ilvl w:val="12"/>
          <w:numId w:val="0"/>
        </w:numPr>
        <w:ind w:left="720"/>
        <w:rPr>
          <w:rFonts w:ascii="Times New Roman" w:hAnsi="Times New Roman" w:cs="Times New Roman"/>
          <w:bCs/>
          <w:sz w:val="24"/>
          <w:szCs w:val="24"/>
        </w:rPr>
      </w:pPr>
    </w:p>
    <w:p w:rsidR="00655A9E" w14:paraId="5E786FA4" w14:textId="258FE573">
      <w:pPr>
        <w:numPr>
          <w:ilvl w:val="12"/>
          <w:numId w:val="0"/>
        </w:numPr>
        <w:ind w:left="720"/>
        <w:rPr>
          <w:rFonts w:ascii="Times New Roman" w:hAnsi="Times New Roman" w:cs="Times New Roman"/>
          <w:bCs/>
          <w:sz w:val="24"/>
          <w:szCs w:val="24"/>
        </w:rPr>
      </w:pPr>
      <w:r w:rsidRPr="00655A9E">
        <w:rPr>
          <w:rFonts w:ascii="Times New Roman" w:hAnsi="Times New Roman" w:cs="Times New Roman"/>
          <w:bCs/>
          <w:sz w:val="24"/>
          <w:szCs w:val="24"/>
        </w:rPr>
        <w:t xml:space="preserve">The IRS will review the information and issue a registration number to each qualified property, and the manufacturer must report the registration number on the federal income tax return for the taxable year of the elective payment election with respect to such property. The registration number will enable the IRS to track the credit </w:t>
      </w:r>
      <w:r w:rsidR="00BD4FD8">
        <w:rPr>
          <w:rFonts w:ascii="Times New Roman" w:hAnsi="Times New Roman" w:cs="Times New Roman"/>
          <w:bCs/>
          <w:sz w:val="24"/>
          <w:szCs w:val="24"/>
        </w:rPr>
        <w:t xml:space="preserve">or transfer </w:t>
      </w:r>
      <w:r w:rsidRPr="00655A9E">
        <w:rPr>
          <w:rFonts w:ascii="Times New Roman" w:hAnsi="Times New Roman" w:cs="Times New Roman"/>
          <w:bCs/>
          <w:sz w:val="24"/>
          <w:szCs w:val="24"/>
        </w:rPr>
        <w:t>to avoid duplication, fraud, improper payments, and excessive payments.</w:t>
      </w:r>
    </w:p>
    <w:p w:rsidR="009A4E05" w14:paraId="55EA3578" w14:textId="77777777">
      <w:pPr>
        <w:numPr>
          <w:ilvl w:val="12"/>
          <w:numId w:val="0"/>
        </w:numPr>
        <w:rPr>
          <w:rFonts w:ascii="Times New Roman" w:hAnsi="Times New Roman" w:cs="Times New Roman"/>
          <w:bCs/>
          <w:sz w:val="24"/>
          <w:szCs w:val="24"/>
        </w:rPr>
      </w:pPr>
    </w:p>
    <w:p w:rsidR="009A4E05" w14:paraId="151222A6"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USE OF IMPROVED INFORMATION TECHNOLOGY TO REDUCE BURDEN</w:t>
      </w:r>
    </w:p>
    <w:p w:rsidR="009A4E05" w14:paraId="73C7FCEA" w14:textId="77777777">
      <w:pPr>
        <w:numPr>
          <w:ilvl w:val="12"/>
          <w:numId w:val="0"/>
        </w:numPr>
        <w:rPr>
          <w:rFonts w:ascii="Times New Roman" w:hAnsi="Times New Roman" w:cs="Times New Roman"/>
          <w:bCs/>
          <w:sz w:val="24"/>
          <w:szCs w:val="24"/>
        </w:rPr>
      </w:pPr>
    </w:p>
    <w:p w:rsidR="009A4E05" w:rsidP="00655A9E" w14:paraId="3BE33276" w14:textId="1C6224C0">
      <w:pPr>
        <w:numPr>
          <w:ilvl w:val="12"/>
          <w:numId w:val="0"/>
        </w:numPr>
        <w:ind w:left="720"/>
        <w:rPr>
          <w:rFonts w:ascii="Times New Roman" w:hAnsi="Times New Roman" w:cs="Times New Roman"/>
          <w:bCs/>
          <w:sz w:val="24"/>
          <w:szCs w:val="24"/>
        </w:rPr>
      </w:pPr>
      <w:r w:rsidRPr="00655A9E">
        <w:rPr>
          <w:rFonts w:ascii="Times New Roman" w:hAnsi="Times New Roman" w:cs="Times New Roman"/>
          <w:bCs/>
          <w:sz w:val="24"/>
          <w:szCs w:val="24"/>
        </w:rPr>
        <w:t xml:space="preserve">The IRS </w:t>
      </w:r>
      <w:r w:rsidR="009D6A6F">
        <w:rPr>
          <w:rFonts w:ascii="Times New Roman" w:hAnsi="Times New Roman" w:cs="Times New Roman"/>
          <w:bCs/>
          <w:sz w:val="24"/>
          <w:szCs w:val="24"/>
        </w:rPr>
        <w:t xml:space="preserve">utilizes an </w:t>
      </w:r>
      <w:r w:rsidRPr="00655A9E">
        <w:rPr>
          <w:rFonts w:ascii="Times New Roman" w:hAnsi="Times New Roman" w:cs="Times New Roman"/>
          <w:bCs/>
          <w:sz w:val="24"/>
          <w:szCs w:val="24"/>
        </w:rPr>
        <w:t xml:space="preserve">electronic registration portal </w:t>
      </w:r>
      <w:r w:rsidR="009D6A6F">
        <w:rPr>
          <w:rFonts w:ascii="Times New Roman" w:hAnsi="Times New Roman" w:cs="Times New Roman"/>
          <w:bCs/>
          <w:sz w:val="24"/>
          <w:szCs w:val="24"/>
        </w:rPr>
        <w:t>for this information collection</w:t>
      </w:r>
      <w:r w:rsidRPr="00655A9E">
        <w:rPr>
          <w:rFonts w:ascii="Times New Roman" w:hAnsi="Times New Roman" w:cs="Times New Roman"/>
          <w:bCs/>
          <w:sz w:val="24"/>
          <w:szCs w:val="24"/>
        </w:rPr>
        <w:t>.</w:t>
      </w:r>
    </w:p>
    <w:p w:rsidR="009A4E05" w14:paraId="0A3D7824" w14:textId="77777777">
      <w:pPr>
        <w:numPr>
          <w:ilvl w:val="12"/>
          <w:numId w:val="0"/>
        </w:numPr>
        <w:rPr>
          <w:rFonts w:ascii="Times New Roman" w:hAnsi="Times New Roman" w:cs="Times New Roman"/>
          <w:bCs/>
          <w:sz w:val="24"/>
          <w:szCs w:val="24"/>
        </w:rPr>
      </w:pPr>
    </w:p>
    <w:p w:rsidR="009A4E05" w14:paraId="40E86977"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EFFORTS TO IDENTIFY DUPLICATION</w:t>
      </w:r>
    </w:p>
    <w:p w:rsidR="009A4E05" w14:paraId="2F22D784" w14:textId="77777777">
      <w:pPr>
        <w:numPr>
          <w:ilvl w:val="12"/>
          <w:numId w:val="0"/>
        </w:numPr>
        <w:rPr>
          <w:rFonts w:ascii="Times New Roman" w:hAnsi="Times New Roman" w:cs="Times New Roman"/>
          <w:bCs/>
          <w:sz w:val="24"/>
          <w:szCs w:val="24"/>
        </w:rPr>
      </w:pPr>
    </w:p>
    <w:p w:rsidR="009A4E05" w14:paraId="66B2C243" w14:textId="77777777">
      <w:pPr>
        <w:numPr>
          <w:ilvl w:val="12"/>
          <w:numId w:val="0"/>
        </w:numPr>
        <w:ind w:left="720"/>
        <w:rPr>
          <w:rFonts w:ascii="Times New Roman" w:hAnsi="Times New Roman" w:cs="Times New Roman"/>
          <w:bCs/>
          <w:sz w:val="24"/>
          <w:szCs w:val="24"/>
        </w:rPr>
      </w:pPr>
      <w:r>
        <w:rPr>
          <w:rFonts w:ascii="Times New Roman" w:hAnsi="Times New Roman" w:cs="Times New Roman"/>
          <w:bCs/>
          <w:sz w:val="24"/>
          <w:szCs w:val="24"/>
        </w:rPr>
        <w:t xml:space="preserve">The information obtained through this collection is unique and is not already available for use or adaptation from another source.  </w:t>
      </w:r>
    </w:p>
    <w:p w:rsidR="009A4E05" w14:paraId="72D35FF9" w14:textId="77777777">
      <w:pPr>
        <w:numPr>
          <w:ilvl w:val="12"/>
          <w:numId w:val="0"/>
        </w:numPr>
        <w:rPr>
          <w:rFonts w:ascii="Times New Roman" w:hAnsi="Times New Roman" w:cs="Times New Roman"/>
          <w:bCs/>
          <w:sz w:val="24"/>
          <w:szCs w:val="24"/>
        </w:rPr>
      </w:pPr>
    </w:p>
    <w:p w:rsidR="009A4E05" w14:paraId="3215D948"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METHODS TO MINIMIZE BURDEN ON SMALL BUSINESSES OR OTHER SMALL ENTITIES</w:t>
      </w:r>
    </w:p>
    <w:p w:rsidR="009A4E05" w14:paraId="0B3D6285" w14:textId="77777777">
      <w:pPr>
        <w:numPr>
          <w:ilvl w:val="12"/>
          <w:numId w:val="0"/>
        </w:numPr>
        <w:rPr>
          <w:rFonts w:ascii="Times New Roman" w:hAnsi="Times New Roman" w:cs="Times New Roman"/>
          <w:bCs/>
          <w:sz w:val="24"/>
          <w:szCs w:val="24"/>
        </w:rPr>
      </w:pPr>
    </w:p>
    <w:p w:rsidR="009A4E05" w14:paraId="7A08C7CA" w14:textId="762C37BC">
      <w:pPr>
        <w:numPr>
          <w:ilvl w:val="12"/>
          <w:numId w:val="0"/>
        </w:numPr>
        <w:ind w:left="720"/>
        <w:rPr>
          <w:rFonts w:ascii="Times New Roman" w:hAnsi="Times New Roman" w:cs="Times New Roman"/>
          <w:bCs/>
          <w:sz w:val="24"/>
          <w:szCs w:val="24"/>
        </w:rPr>
      </w:pPr>
      <w:bookmarkStart w:id="0" w:name="_Hlk68439199"/>
      <w:bookmarkStart w:id="1" w:name="_Hlk70187874"/>
      <w:r>
        <w:rPr>
          <w:rFonts w:ascii="Times New Roman" w:hAnsi="Times New Roman" w:cs="Times New Roman"/>
          <w:bCs/>
          <w:sz w:val="24"/>
          <w:szCs w:val="24"/>
        </w:rPr>
        <w:t>The IRS proactively works with both internal and external stakeholders to minimize the burden on small businesses, while maintaining tax compliance. The Agency also seeks input regarding the burden estimates from the public via notices and tax product instructions. There will be minimal if any impact to small businesses.</w:t>
      </w:r>
      <w:bookmarkEnd w:id="0"/>
      <w:r>
        <w:rPr>
          <w:rFonts w:ascii="Times New Roman" w:hAnsi="Times New Roman" w:cs="Times New Roman"/>
          <w:bCs/>
          <w:sz w:val="24"/>
          <w:szCs w:val="24"/>
        </w:rPr>
        <w:t xml:space="preserve">  </w:t>
      </w:r>
      <w:r w:rsidR="00847563">
        <w:rPr>
          <w:rFonts w:ascii="Times New Roman" w:hAnsi="Times New Roman" w:cs="Times New Roman"/>
          <w:bCs/>
          <w:sz w:val="24"/>
          <w:szCs w:val="24"/>
        </w:rPr>
        <w:t>T</w:t>
      </w:r>
      <w:r w:rsidRPr="00847563" w:rsidR="00847563">
        <w:rPr>
          <w:rFonts w:ascii="Times New Roman" w:hAnsi="Times New Roman" w:cs="Times New Roman"/>
          <w:bCs/>
          <w:sz w:val="24"/>
          <w:szCs w:val="24"/>
        </w:rPr>
        <w:t>he IRS electronic registration portal</w:t>
      </w:r>
      <w:r w:rsidR="00982744">
        <w:rPr>
          <w:rFonts w:ascii="Times New Roman" w:hAnsi="Times New Roman" w:cs="Times New Roman"/>
          <w:bCs/>
          <w:sz w:val="24"/>
          <w:szCs w:val="24"/>
        </w:rPr>
        <w:t xml:space="preserve"> must</w:t>
      </w:r>
      <w:r>
        <w:rPr>
          <w:rFonts w:ascii="Times New Roman" w:hAnsi="Times New Roman" w:cs="Times New Roman"/>
          <w:bCs/>
          <w:sz w:val="24"/>
          <w:szCs w:val="24"/>
        </w:rPr>
        <w:t xml:space="preserve"> be filed electronically, which further reduces any burden to small businesses.</w:t>
      </w:r>
    </w:p>
    <w:bookmarkEnd w:id="1"/>
    <w:p w:rsidR="009A4E05" w14:paraId="1229B8E5" w14:textId="77777777">
      <w:pPr>
        <w:numPr>
          <w:ilvl w:val="12"/>
          <w:numId w:val="0"/>
        </w:numPr>
        <w:rPr>
          <w:rFonts w:ascii="Times New Roman" w:hAnsi="Times New Roman" w:cs="Times New Roman"/>
          <w:bCs/>
          <w:sz w:val="24"/>
          <w:szCs w:val="24"/>
        </w:rPr>
      </w:pPr>
    </w:p>
    <w:p w:rsidR="009A4E05" w14:paraId="65A6D3C0"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CONSEQUENCES OF LESS FREQUENT COLLECTION ON FEDERAL PROGRAMS OR POLICY ACTIVITIES</w:t>
      </w:r>
    </w:p>
    <w:p w:rsidR="009A4E05" w14:paraId="4C164D2F" w14:textId="77777777">
      <w:pPr>
        <w:numPr>
          <w:ilvl w:val="12"/>
          <w:numId w:val="0"/>
        </w:numPr>
        <w:ind w:left="720"/>
        <w:rPr>
          <w:rFonts w:ascii="Times New Roman" w:hAnsi="Times New Roman" w:cs="Times New Roman"/>
          <w:bCs/>
          <w:sz w:val="24"/>
          <w:szCs w:val="24"/>
        </w:rPr>
      </w:pPr>
    </w:p>
    <w:p w:rsidR="00791B32" w14:paraId="23EA4B27" w14:textId="77777777">
      <w:pPr>
        <w:numPr>
          <w:ilvl w:val="12"/>
          <w:numId w:val="0"/>
        </w:numPr>
        <w:ind w:left="720"/>
        <w:rPr>
          <w:rFonts w:ascii="Times New Roman" w:hAnsi="Times New Roman" w:cs="Times New Roman"/>
          <w:bCs/>
          <w:sz w:val="24"/>
          <w:szCs w:val="24"/>
        </w:rPr>
      </w:pPr>
      <w:r>
        <w:rPr>
          <w:rFonts w:ascii="Times New Roman" w:hAnsi="Times New Roman" w:cs="Times New Roman"/>
          <w:bCs/>
          <w:sz w:val="24"/>
          <w:szCs w:val="24"/>
        </w:rPr>
        <w:t xml:space="preserve">Consequences of less frequent collection on federal programs or policy activities would consist of decreased amount of taxes collected by the IRS, inaccurate and untimely filing of tax returns, and an increase in tax violations.  </w:t>
      </w:r>
      <w:r w:rsidRPr="00791B32">
        <w:rPr>
          <w:rFonts w:ascii="Times New Roman" w:hAnsi="Times New Roman" w:cs="Times New Roman"/>
          <w:bCs/>
          <w:sz w:val="24"/>
          <w:szCs w:val="24"/>
        </w:rPr>
        <w:tab/>
      </w:r>
    </w:p>
    <w:p w:rsidR="009A4E05" w14:paraId="0E9BD526" w14:textId="498A8097">
      <w:pPr>
        <w:numPr>
          <w:ilvl w:val="12"/>
          <w:numId w:val="0"/>
        </w:numPr>
        <w:ind w:left="720"/>
        <w:rPr>
          <w:rFonts w:ascii="Times New Roman" w:hAnsi="Times New Roman" w:cs="Times New Roman"/>
          <w:bCs/>
          <w:sz w:val="24"/>
          <w:szCs w:val="24"/>
        </w:rPr>
      </w:pPr>
      <w:r w:rsidRPr="00791B32">
        <w:rPr>
          <w:rFonts w:ascii="Times New Roman" w:hAnsi="Times New Roman" w:cs="Times New Roman"/>
          <w:bCs/>
          <w:sz w:val="24"/>
          <w:szCs w:val="24"/>
        </w:rPr>
        <w:t xml:space="preserve">The information collected through the IRS electronic registration portal will be used </w:t>
      </w:r>
      <w:r>
        <w:rPr>
          <w:rFonts w:ascii="Times New Roman" w:hAnsi="Times New Roman" w:cs="Times New Roman"/>
          <w:bCs/>
          <w:sz w:val="24"/>
          <w:szCs w:val="24"/>
        </w:rPr>
        <w:t xml:space="preserve">by the IRS </w:t>
      </w:r>
      <w:r w:rsidRPr="00791B32">
        <w:rPr>
          <w:rFonts w:ascii="Times New Roman" w:hAnsi="Times New Roman" w:cs="Times New Roman"/>
          <w:bCs/>
          <w:sz w:val="24"/>
          <w:szCs w:val="24"/>
        </w:rPr>
        <w:t>for entity validation</w:t>
      </w:r>
      <w:r>
        <w:rPr>
          <w:rFonts w:ascii="Times New Roman" w:hAnsi="Times New Roman" w:cs="Times New Roman"/>
          <w:bCs/>
          <w:sz w:val="24"/>
          <w:szCs w:val="24"/>
        </w:rPr>
        <w:t xml:space="preserve">, </w:t>
      </w:r>
      <w:r w:rsidRPr="00791B32">
        <w:rPr>
          <w:rFonts w:ascii="Times New Roman" w:hAnsi="Times New Roman" w:cs="Times New Roman"/>
          <w:bCs/>
          <w:sz w:val="24"/>
          <w:szCs w:val="24"/>
        </w:rPr>
        <w:t>to track transfers of eligible credits</w:t>
      </w:r>
      <w:r>
        <w:rPr>
          <w:rFonts w:ascii="Times New Roman" w:hAnsi="Times New Roman" w:cs="Times New Roman"/>
          <w:bCs/>
          <w:sz w:val="24"/>
          <w:szCs w:val="24"/>
        </w:rPr>
        <w:t xml:space="preserve">, </w:t>
      </w:r>
      <w:r w:rsidRPr="00791B32">
        <w:rPr>
          <w:rFonts w:ascii="Times New Roman" w:hAnsi="Times New Roman" w:cs="Times New Roman"/>
          <w:bCs/>
          <w:sz w:val="24"/>
          <w:szCs w:val="24"/>
        </w:rPr>
        <w:t>to prevent duplication</w:t>
      </w:r>
      <w:r>
        <w:rPr>
          <w:rFonts w:ascii="Times New Roman" w:hAnsi="Times New Roman" w:cs="Times New Roman"/>
          <w:bCs/>
          <w:sz w:val="24"/>
          <w:szCs w:val="24"/>
        </w:rPr>
        <w:t xml:space="preserve"> or </w:t>
      </w:r>
      <w:r w:rsidRPr="00791B32">
        <w:rPr>
          <w:rFonts w:ascii="Times New Roman" w:hAnsi="Times New Roman" w:cs="Times New Roman"/>
          <w:bCs/>
          <w:sz w:val="24"/>
          <w:szCs w:val="24"/>
        </w:rPr>
        <w:t>fraud, and excessive credit transfers</w:t>
      </w:r>
      <w:r w:rsidR="00383C2C">
        <w:rPr>
          <w:rFonts w:ascii="Times New Roman" w:hAnsi="Times New Roman" w:cs="Times New Roman"/>
          <w:bCs/>
          <w:sz w:val="24"/>
          <w:szCs w:val="24"/>
        </w:rPr>
        <w:t xml:space="preserve">.  </w:t>
      </w:r>
      <w:bookmarkStart w:id="2" w:name="_Hlk500777754"/>
      <w:r w:rsidR="00383C2C">
        <w:rPr>
          <w:rFonts w:ascii="Times New Roman" w:hAnsi="Times New Roman" w:cs="Times New Roman"/>
          <w:bCs/>
          <w:sz w:val="24"/>
          <w:szCs w:val="24"/>
        </w:rPr>
        <w:t xml:space="preserve">Failure of the IRS to obtain this information will hinder the IRS from meeting its mission.  </w:t>
      </w:r>
    </w:p>
    <w:p w:rsidR="009A4E05" w14:paraId="27EB8BFA" w14:textId="7632CC7F">
      <w:pPr>
        <w:numPr>
          <w:ilvl w:val="12"/>
          <w:numId w:val="0"/>
        </w:numPr>
        <w:ind w:left="720"/>
        <w:rPr>
          <w:rFonts w:ascii="Times New Roman" w:hAnsi="Times New Roman" w:cs="Times New Roman"/>
          <w:bCs/>
          <w:sz w:val="24"/>
          <w:szCs w:val="24"/>
        </w:rPr>
      </w:pPr>
    </w:p>
    <w:bookmarkEnd w:id="2"/>
    <w:p w:rsidR="009A4E05" w14:paraId="1E732665"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SPECIAL CIRCUMSTANCES REQUIRING DATA COLLECTION TO BE INCONSISTENT WITH GUIDELINES IN 5 CFR 1320.5(d)(2)</w:t>
      </w:r>
    </w:p>
    <w:p w:rsidR="009A4E05" w14:paraId="4294B972" w14:textId="77777777">
      <w:pPr>
        <w:numPr>
          <w:ilvl w:val="12"/>
          <w:numId w:val="0"/>
        </w:numPr>
        <w:rPr>
          <w:rFonts w:ascii="Times New Roman" w:hAnsi="Times New Roman" w:cs="Times New Roman"/>
          <w:bCs/>
          <w:sz w:val="24"/>
          <w:szCs w:val="24"/>
        </w:rPr>
      </w:pPr>
    </w:p>
    <w:p w:rsidR="009A4E05" w14:paraId="1EE3579B" w14:textId="7C28A786">
      <w:pPr>
        <w:numPr>
          <w:ilvl w:val="12"/>
          <w:numId w:val="0"/>
        </w:numPr>
        <w:ind w:left="720"/>
        <w:rPr>
          <w:rFonts w:ascii="Times New Roman" w:hAnsi="Times New Roman" w:cs="Times New Roman"/>
          <w:bCs/>
          <w:sz w:val="24"/>
          <w:szCs w:val="24"/>
        </w:rPr>
      </w:pPr>
      <w:r>
        <w:rPr>
          <w:rFonts w:ascii="Times New Roman" w:hAnsi="Times New Roman" w:cs="Times New Roman"/>
          <w:bCs/>
          <w:sz w:val="24"/>
          <w:szCs w:val="24"/>
        </w:rPr>
        <w:t xml:space="preserve">There are no special circumstances requiring data collection to be inconsistent with </w:t>
      </w:r>
      <w:r w:rsidR="00D40A61">
        <w:rPr>
          <w:rFonts w:ascii="Times New Roman" w:hAnsi="Times New Roman" w:cs="Times New Roman"/>
          <w:bCs/>
          <w:sz w:val="24"/>
          <w:szCs w:val="24"/>
        </w:rPr>
        <w:t>g</w:t>
      </w:r>
      <w:r>
        <w:rPr>
          <w:rFonts w:ascii="Times New Roman" w:hAnsi="Times New Roman" w:cs="Times New Roman"/>
          <w:bCs/>
          <w:sz w:val="24"/>
          <w:szCs w:val="24"/>
        </w:rPr>
        <w:t>uidelines in 5 CFR 1320.5(d)(2).</w:t>
      </w:r>
    </w:p>
    <w:p w:rsidR="00D91CAF" w14:paraId="67DE3D3E" w14:textId="77777777">
      <w:pPr>
        <w:numPr>
          <w:ilvl w:val="12"/>
          <w:numId w:val="0"/>
        </w:numPr>
        <w:ind w:left="720"/>
        <w:rPr>
          <w:rFonts w:ascii="Times New Roman" w:hAnsi="Times New Roman" w:cs="Times New Roman"/>
          <w:bCs/>
          <w:sz w:val="24"/>
          <w:szCs w:val="24"/>
        </w:rPr>
      </w:pPr>
    </w:p>
    <w:p w:rsidR="009A4E05" w14:paraId="3F700207"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CONSULTATION WITH INDIVIDUALS OUTSIDE OF THE AGENCY ON AVAILABILITY OF DATA, FREQUENCY OF COLLECTION, CLARITY OF INSTRUCTIONS AND FORMS, AND DATA ELEMENTS</w:t>
      </w:r>
    </w:p>
    <w:p w:rsidR="009A4E05" w14:paraId="470A8F9A" w14:textId="77777777">
      <w:pPr>
        <w:numPr>
          <w:ilvl w:val="12"/>
          <w:numId w:val="0"/>
        </w:numPr>
        <w:rPr>
          <w:rFonts w:ascii="Times New Roman" w:hAnsi="Times New Roman" w:cs="Times New Roman"/>
          <w:bCs/>
          <w:sz w:val="24"/>
          <w:szCs w:val="24"/>
        </w:rPr>
      </w:pPr>
    </w:p>
    <w:p w:rsidR="00FC0F29" w:rsidP="00F23DDE" w14:paraId="0A13FFD4" w14:textId="49C630EF">
      <w:pPr>
        <w:ind w:left="720"/>
        <w:rPr>
          <w:rFonts w:ascii="Times New Roman" w:hAnsi="Times New Roman" w:cs="Times New Roman"/>
          <w:sz w:val="24"/>
          <w:szCs w:val="24"/>
        </w:rPr>
      </w:pPr>
      <w:r>
        <w:rPr>
          <w:rFonts w:ascii="Times New Roman" w:hAnsi="Times New Roman" w:cs="Times New Roman"/>
          <w:sz w:val="24"/>
          <w:szCs w:val="24"/>
        </w:rPr>
        <w:t xml:space="preserve">In response to the Federal Register notice </w:t>
      </w:r>
      <w:r w:rsidR="00617F8B">
        <w:rPr>
          <w:rFonts w:ascii="Times New Roman" w:hAnsi="Times New Roman" w:cs="Times New Roman"/>
          <w:sz w:val="24"/>
          <w:szCs w:val="24"/>
        </w:rPr>
        <w:t>dated May 20, 2026, 91 FR 29522, we</w:t>
      </w:r>
      <w:r>
        <w:rPr>
          <w:rFonts w:ascii="Times New Roman" w:hAnsi="Times New Roman" w:cs="Times New Roman"/>
          <w:sz w:val="24"/>
          <w:szCs w:val="24"/>
        </w:rPr>
        <w:t xml:space="preserve"> receive</w:t>
      </w:r>
      <w:r w:rsidR="00617F8B">
        <w:rPr>
          <w:rFonts w:ascii="Times New Roman" w:hAnsi="Times New Roman" w:cs="Times New Roman"/>
          <w:sz w:val="24"/>
          <w:szCs w:val="24"/>
        </w:rPr>
        <w:t>d no</w:t>
      </w:r>
      <w:r>
        <w:rPr>
          <w:rFonts w:ascii="Times New Roman" w:hAnsi="Times New Roman" w:cs="Times New Roman"/>
          <w:sz w:val="24"/>
          <w:szCs w:val="24"/>
        </w:rPr>
        <w:t xml:space="preserve"> public comments</w:t>
      </w:r>
      <w:r w:rsidR="00617F8B">
        <w:rPr>
          <w:rFonts w:ascii="Times New Roman" w:hAnsi="Times New Roman" w:cs="Times New Roman"/>
          <w:sz w:val="24"/>
          <w:szCs w:val="24"/>
        </w:rPr>
        <w:t xml:space="preserve"> during the comment period regarding </w:t>
      </w:r>
      <w:r w:rsidRPr="00617F8B" w:rsidR="00617F8B">
        <w:rPr>
          <w:rFonts w:ascii="Times New Roman" w:hAnsi="Times New Roman" w:cs="Times New Roman"/>
          <w:sz w:val="24"/>
          <w:szCs w:val="24"/>
        </w:rPr>
        <w:t>Pre-Filing Registration for Elective Payment and Transfer Elections</w:t>
      </w:r>
      <w:r>
        <w:rPr>
          <w:rFonts w:ascii="Times New Roman" w:hAnsi="Times New Roman" w:cs="Times New Roman"/>
          <w:sz w:val="24"/>
          <w:szCs w:val="24"/>
        </w:rPr>
        <w:t xml:space="preserve">.  </w:t>
      </w:r>
    </w:p>
    <w:p w:rsidR="00791B32" w:rsidP="00DE402E" w14:paraId="67CACC55" w14:textId="77777777">
      <w:pPr>
        <w:ind w:left="720"/>
        <w:rPr>
          <w:rFonts w:ascii="Times New Roman" w:hAnsi="Times New Roman" w:cs="Times New Roman"/>
          <w:sz w:val="24"/>
          <w:szCs w:val="24"/>
        </w:rPr>
      </w:pPr>
    </w:p>
    <w:p w:rsidR="009A4E05" w14:paraId="49906B92"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EXPLANATION OF DECISION TO PROVIDE ANY PAYMENT OR GIFT TO</w:t>
      </w:r>
      <w:r>
        <w:rPr>
          <w:rFonts w:ascii="Times New Roman" w:hAnsi="Times New Roman" w:cs="Times New Roman"/>
          <w:b/>
          <w:bCs/>
        </w:rPr>
        <w:t xml:space="preserve">     </w:t>
      </w:r>
      <w:r>
        <w:rPr>
          <w:rFonts w:ascii="Times New Roman" w:hAnsi="Times New Roman" w:cs="Times New Roman"/>
          <w:b/>
          <w:bCs/>
          <w:u w:val="single"/>
        </w:rPr>
        <w:t>RESPONDENTS</w:t>
      </w:r>
    </w:p>
    <w:p w:rsidR="009A4E05" w14:paraId="447B9409" w14:textId="77777777">
      <w:pPr>
        <w:numPr>
          <w:ilvl w:val="12"/>
          <w:numId w:val="0"/>
        </w:numPr>
        <w:rPr>
          <w:rFonts w:ascii="Times New Roman" w:hAnsi="Times New Roman" w:cs="Times New Roman"/>
          <w:bCs/>
          <w:sz w:val="24"/>
          <w:szCs w:val="24"/>
        </w:rPr>
      </w:pPr>
    </w:p>
    <w:p w:rsidR="009A4E05" w:rsidP="00DB64B7" w14:paraId="53EAE87F" w14:textId="77777777">
      <w:pPr>
        <w:numPr>
          <w:ilvl w:val="12"/>
          <w:numId w:val="0"/>
        </w:numPr>
        <w:ind w:left="720"/>
        <w:rPr>
          <w:rFonts w:ascii="Times New Roman" w:hAnsi="Times New Roman" w:cs="Times New Roman"/>
          <w:bCs/>
          <w:sz w:val="24"/>
          <w:szCs w:val="24"/>
        </w:rPr>
      </w:pPr>
      <w:r>
        <w:rPr>
          <w:rFonts w:ascii="Times New Roman" w:hAnsi="Times New Roman" w:cs="Times New Roman"/>
          <w:bCs/>
          <w:sz w:val="24"/>
          <w:szCs w:val="24"/>
        </w:rPr>
        <w:t>No payment or gift has been provided to any respondents.</w:t>
      </w:r>
    </w:p>
    <w:p w:rsidR="009A4E05" w14:paraId="75E6380F" w14:textId="77777777">
      <w:pPr>
        <w:numPr>
          <w:ilvl w:val="12"/>
          <w:numId w:val="0"/>
        </w:numPr>
        <w:rPr>
          <w:rFonts w:ascii="Times New Roman" w:hAnsi="Times New Roman" w:cs="Times New Roman"/>
          <w:bCs/>
          <w:sz w:val="24"/>
          <w:szCs w:val="24"/>
        </w:rPr>
      </w:pPr>
    </w:p>
    <w:p w:rsidR="009A4E05" w14:paraId="1C01952E"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ASSURANCE OF CONFIDENTIALITY OF RESPONSES</w:t>
      </w:r>
    </w:p>
    <w:p w:rsidR="009A4E05" w14:paraId="03C4D7C3" w14:textId="77777777">
      <w:pPr>
        <w:numPr>
          <w:ilvl w:val="12"/>
          <w:numId w:val="0"/>
        </w:numPr>
        <w:rPr>
          <w:rFonts w:ascii="Times New Roman" w:hAnsi="Times New Roman" w:cs="Times New Roman"/>
          <w:bCs/>
          <w:sz w:val="24"/>
          <w:szCs w:val="24"/>
        </w:rPr>
      </w:pPr>
    </w:p>
    <w:p w:rsidR="009A4E05" w14:paraId="31960358" w14:textId="0AD87E3B">
      <w:pPr>
        <w:numPr>
          <w:ilvl w:val="12"/>
          <w:numId w:val="0"/>
        </w:numPr>
        <w:ind w:left="720"/>
        <w:rPr>
          <w:rFonts w:ascii="Times New Roman" w:hAnsi="Times New Roman" w:cs="Times New Roman"/>
          <w:bCs/>
          <w:sz w:val="24"/>
          <w:szCs w:val="24"/>
        </w:rPr>
      </w:pPr>
      <w:r>
        <w:rPr>
          <w:rFonts w:ascii="Times New Roman" w:hAnsi="Times New Roman" w:cs="Times New Roman"/>
          <w:bCs/>
          <w:sz w:val="24"/>
          <w:szCs w:val="24"/>
        </w:rPr>
        <w:t>Generally, tax returns and tax return information are confidential as required by 26 U</w:t>
      </w:r>
      <w:r w:rsidR="009B73F9">
        <w:rPr>
          <w:rFonts w:ascii="Times New Roman" w:hAnsi="Times New Roman" w:cs="Times New Roman"/>
          <w:bCs/>
          <w:sz w:val="24"/>
          <w:szCs w:val="24"/>
        </w:rPr>
        <w:t>.</w:t>
      </w:r>
      <w:r>
        <w:rPr>
          <w:rFonts w:ascii="Times New Roman" w:hAnsi="Times New Roman" w:cs="Times New Roman"/>
          <w:bCs/>
          <w:sz w:val="24"/>
          <w:szCs w:val="24"/>
        </w:rPr>
        <w:t>S</w:t>
      </w:r>
      <w:r w:rsidR="009B73F9">
        <w:rPr>
          <w:rFonts w:ascii="Times New Roman" w:hAnsi="Times New Roman" w:cs="Times New Roman"/>
          <w:bCs/>
          <w:sz w:val="24"/>
          <w:szCs w:val="24"/>
        </w:rPr>
        <w:t>.</w:t>
      </w:r>
      <w:r>
        <w:rPr>
          <w:rFonts w:ascii="Times New Roman" w:hAnsi="Times New Roman" w:cs="Times New Roman"/>
          <w:bCs/>
          <w:sz w:val="24"/>
          <w:szCs w:val="24"/>
        </w:rPr>
        <w:t>C</w:t>
      </w:r>
      <w:r w:rsidR="009B73F9">
        <w:rPr>
          <w:rFonts w:ascii="Times New Roman" w:hAnsi="Times New Roman" w:cs="Times New Roman"/>
          <w:bCs/>
          <w:sz w:val="24"/>
          <w:szCs w:val="24"/>
        </w:rPr>
        <w:t>.</w:t>
      </w:r>
      <w:r>
        <w:rPr>
          <w:rFonts w:ascii="Times New Roman" w:hAnsi="Times New Roman" w:cs="Times New Roman"/>
          <w:bCs/>
          <w:sz w:val="24"/>
          <w:szCs w:val="24"/>
        </w:rPr>
        <w:t xml:space="preserve"> 6103.</w:t>
      </w:r>
    </w:p>
    <w:p w:rsidR="009A4E05" w14:paraId="630B26F3" w14:textId="77777777">
      <w:pPr>
        <w:numPr>
          <w:ilvl w:val="12"/>
          <w:numId w:val="0"/>
        </w:numPr>
        <w:rPr>
          <w:rFonts w:ascii="Times New Roman" w:hAnsi="Times New Roman" w:cs="Times New Roman"/>
          <w:bCs/>
          <w:sz w:val="24"/>
          <w:szCs w:val="24"/>
        </w:rPr>
      </w:pPr>
    </w:p>
    <w:p w:rsidR="009A4E05" w14:paraId="3DE22C44" w14:textId="77777777">
      <w:pPr>
        <w:pStyle w:val="Level1"/>
        <w:numPr>
          <w:ilvl w:val="0"/>
          <w:numId w:val="1"/>
        </w:numPr>
        <w:tabs>
          <w:tab w:val="left" w:pos="720"/>
        </w:tabs>
        <w:ind w:left="720" w:hanging="720"/>
        <w:jc w:val="left"/>
        <w:rPr>
          <w:rFonts w:ascii="Times New Roman" w:hAnsi="Times New Roman" w:cs="Times New Roman"/>
          <w:b/>
          <w:bCs/>
          <w:u w:val="single"/>
        </w:rPr>
      </w:pPr>
      <w:r>
        <w:rPr>
          <w:rFonts w:ascii="Times New Roman" w:hAnsi="Times New Roman" w:cs="Times New Roman"/>
          <w:b/>
          <w:bCs/>
          <w:u w:val="single"/>
        </w:rPr>
        <w:t>JUSTIFICATION OF SENSITIVE QUESTIONS</w:t>
      </w:r>
    </w:p>
    <w:p w:rsidR="009A4E05" w14:paraId="28C90D70" w14:textId="77777777">
      <w:pPr>
        <w:numPr>
          <w:ilvl w:val="12"/>
          <w:numId w:val="0"/>
        </w:numPr>
        <w:rPr>
          <w:rFonts w:ascii="Times New Roman" w:hAnsi="Times New Roman" w:cs="Times New Roman"/>
          <w:bCs/>
          <w:sz w:val="24"/>
          <w:szCs w:val="24"/>
          <w:u w:val="single"/>
        </w:rPr>
      </w:pPr>
    </w:p>
    <w:p w:rsidR="009A4E05" w14:paraId="00A628AA" w14:textId="04F0C43F">
      <w:pPr>
        <w:numPr>
          <w:ilvl w:val="12"/>
          <w:numId w:val="0"/>
        </w:numPr>
        <w:ind w:left="720"/>
        <w:rPr>
          <w:rFonts w:ascii="Times New Roman" w:hAnsi="Times New Roman" w:cs="Times New Roman"/>
          <w:bCs/>
          <w:sz w:val="24"/>
          <w:szCs w:val="24"/>
        </w:rPr>
      </w:pPr>
      <w:bookmarkStart w:id="3" w:name="_Hlk70362291"/>
      <w:r>
        <w:rPr>
          <w:rFonts w:ascii="Times New Roman" w:hAnsi="Times New Roman" w:cs="Times New Roman"/>
          <w:bCs/>
          <w:sz w:val="24"/>
          <w:szCs w:val="24"/>
        </w:rPr>
        <w:t xml:space="preserve">A privacy impact assessment (PIA) has been conducted for information collected under                  this request as part of the “Business Master File (BMF)” system and a Privacy Act System of Records notice (SORN) has been issued for this system under IRS 24.046-Customer Account Data Engine Business Master File.  The Internal Revenue Service PIAs can be found at </w:t>
      </w:r>
      <w:hyperlink r:id="rId4" w:history="1">
        <w:r>
          <w:rPr>
            <w:rStyle w:val="Hyperlink"/>
            <w:rFonts w:ascii="Times New Roman" w:hAnsi="Times New Roman" w:cs="Times New Roman"/>
            <w:bCs/>
            <w:sz w:val="24"/>
            <w:szCs w:val="24"/>
          </w:rPr>
          <w:t>https://www.irs.gov/uac/Privacy-Impact-Assessments-PIA</w:t>
        </w:r>
      </w:hyperlink>
      <w:r>
        <w:rPr>
          <w:rFonts w:ascii="Times New Roman" w:hAnsi="Times New Roman" w:cs="Times New Roman"/>
          <w:bCs/>
          <w:sz w:val="24"/>
          <w:szCs w:val="24"/>
        </w:rPr>
        <w:t>.</w:t>
      </w:r>
    </w:p>
    <w:p w:rsidR="009A4E05" w14:paraId="0172A0A2" w14:textId="77777777">
      <w:pPr>
        <w:numPr>
          <w:ilvl w:val="12"/>
          <w:numId w:val="0"/>
        </w:numPr>
        <w:rPr>
          <w:rFonts w:ascii="Times New Roman" w:hAnsi="Times New Roman" w:cs="Times New Roman"/>
          <w:bCs/>
          <w:sz w:val="24"/>
          <w:szCs w:val="24"/>
        </w:rPr>
      </w:pPr>
    </w:p>
    <w:p w:rsidR="00DE402E" w:rsidP="00DE402E" w14:paraId="257E2DCF" w14:textId="0CA6FBAA">
      <w:pPr>
        <w:numPr>
          <w:ilvl w:val="12"/>
          <w:numId w:val="0"/>
        </w:numPr>
        <w:ind w:left="720"/>
        <w:rPr>
          <w:rFonts w:ascii="Times New Roman" w:hAnsi="Times New Roman" w:cs="Times New Roman"/>
          <w:bCs/>
          <w:sz w:val="24"/>
          <w:szCs w:val="24"/>
        </w:rPr>
      </w:pPr>
      <w:r>
        <w:rPr>
          <w:rFonts w:ascii="Times New Roman" w:hAnsi="Times New Roman" w:cs="Times New Roman"/>
          <w:bCs/>
          <w:sz w:val="24"/>
          <w:szCs w:val="24"/>
        </w:rPr>
        <w:t>Title 26 U</w:t>
      </w:r>
      <w:r w:rsidR="009B73F9">
        <w:rPr>
          <w:rFonts w:ascii="Times New Roman" w:hAnsi="Times New Roman" w:cs="Times New Roman"/>
          <w:bCs/>
          <w:sz w:val="24"/>
          <w:szCs w:val="24"/>
        </w:rPr>
        <w:t>.</w:t>
      </w:r>
      <w:r>
        <w:rPr>
          <w:rFonts w:ascii="Times New Roman" w:hAnsi="Times New Roman" w:cs="Times New Roman"/>
          <w:bCs/>
          <w:sz w:val="24"/>
          <w:szCs w:val="24"/>
        </w:rPr>
        <w:t>S</w:t>
      </w:r>
      <w:r w:rsidR="009B73F9">
        <w:rPr>
          <w:rFonts w:ascii="Times New Roman" w:hAnsi="Times New Roman" w:cs="Times New Roman"/>
          <w:bCs/>
          <w:sz w:val="24"/>
          <w:szCs w:val="24"/>
        </w:rPr>
        <w:t>.</w:t>
      </w:r>
      <w:r>
        <w:rPr>
          <w:rFonts w:ascii="Times New Roman" w:hAnsi="Times New Roman" w:cs="Times New Roman"/>
          <w:bCs/>
          <w:sz w:val="24"/>
          <w:szCs w:val="24"/>
        </w:rPr>
        <w:t>C</w:t>
      </w:r>
      <w:r w:rsidR="009B73F9">
        <w:rPr>
          <w:rFonts w:ascii="Times New Roman" w:hAnsi="Times New Roman" w:cs="Times New Roman"/>
          <w:bCs/>
          <w:sz w:val="24"/>
          <w:szCs w:val="24"/>
        </w:rPr>
        <w:t>.</w:t>
      </w:r>
      <w:r>
        <w:rPr>
          <w:rFonts w:ascii="Times New Roman" w:hAnsi="Times New Roman" w:cs="Times New Roman"/>
          <w:bCs/>
          <w:sz w:val="24"/>
          <w:szCs w:val="24"/>
        </w:rPr>
        <w:t xml:space="preserve"> 6109 requires inclusion of identifying numbers in returns, statements, or other documents for securing proper identification of persons required to make such returns, statements, or documents and is the authority for social security numbers (SSNs) in IRS systems.</w:t>
      </w:r>
      <w:bookmarkEnd w:id="3"/>
    </w:p>
    <w:p w:rsidR="00D91CAF" w14:paraId="340BF2D5" w14:textId="496FB151">
      <w:pPr>
        <w:numPr>
          <w:ilvl w:val="12"/>
          <w:numId w:val="0"/>
        </w:numPr>
        <w:rPr>
          <w:rFonts w:ascii="Times New Roman" w:hAnsi="Times New Roman" w:cs="Times New Roman"/>
          <w:bCs/>
          <w:sz w:val="24"/>
          <w:szCs w:val="24"/>
        </w:rPr>
      </w:pPr>
    </w:p>
    <w:p w:rsidR="009A4E05" w14:paraId="027F2316" w14:textId="77777777">
      <w:pPr>
        <w:pStyle w:val="Level1"/>
        <w:numPr>
          <w:ilvl w:val="0"/>
          <w:numId w:val="1"/>
        </w:numPr>
        <w:tabs>
          <w:tab w:val="left" w:pos="720"/>
        </w:tabs>
        <w:ind w:left="720" w:hanging="720"/>
        <w:jc w:val="left"/>
        <w:rPr>
          <w:rFonts w:ascii="CG Times" w:hAnsi="CG Times" w:cs="CG Times"/>
          <w:b/>
          <w:bCs/>
          <w:u w:val="single"/>
        </w:rPr>
      </w:pPr>
      <w:r>
        <w:rPr>
          <w:rFonts w:ascii="CG Times" w:hAnsi="CG Times" w:cs="CG Times"/>
          <w:b/>
          <w:bCs/>
          <w:u w:val="single"/>
        </w:rPr>
        <w:t>ESTIMATED BURDEN OF INFORMATION COLLECTION</w:t>
      </w:r>
    </w:p>
    <w:p w:rsidR="009A4E05" w14:paraId="6271AA07" w14:textId="77777777">
      <w:pPr>
        <w:tabs>
          <w:tab w:val="left" w:pos="720"/>
        </w:tabs>
        <w:rPr>
          <w:rFonts w:ascii="Times New Roman" w:hAnsi="Times New Roman" w:cs="Times New Roman"/>
          <w:bCs/>
          <w:sz w:val="24"/>
          <w:szCs w:val="24"/>
        </w:rPr>
      </w:pPr>
    </w:p>
    <w:p w:rsidR="009A4E05" w14:paraId="3D94C0BD" w14:textId="53E0518F">
      <w:pPr>
        <w:numPr>
          <w:ilvl w:val="12"/>
          <w:numId w:val="0"/>
        </w:numPr>
        <w:tabs>
          <w:tab w:val="left" w:pos="720"/>
        </w:tabs>
        <w:ind w:left="720" w:hanging="720"/>
        <w:rPr>
          <w:rFonts w:ascii="Times New Roman" w:hAnsi="Times New Roman" w:cs="Times New Roman"/>
          <w:bCs/>
          <w:sz w:val="24"/>
          <w:szCs w:val="24"/>
        </w:rPr>
      </w:pPr>
      <w:r>
        <w:rPr>
          <w:rFonts w:ascii="Times New Roman" w:hAnsi="Times New Roman" w:cs="Times New Roman"/>
          <w:bCs/>
          <w:sz w:val="24"/>
          <w:szCs w:val="24"/>
        </w:rPr>
        <w:tab/>
        <w:t>Burden associated with specific elections are identified on the attached burden table and the total burden identified is:</w:t>
      </w:r>
    </w:p>
    <w:p w:rsidR="009A4E05" w14:paraId="0EB2D640" w14:textId="77777777">
      <w:pPr>
        <w:numPr>
          <w:ilvl w:val="12"/>
          <w:numId w:val="0"/>
        </w:numPr>
        <w:tabs>
          <w:tab w:val="left" w:pos="720"/>
        </w:tabs>
        <w:ind w:left="720" w:hanging="720"/>
      </w:pPr>
      <w:r>
        <w:rPr>
          <w:rFonts w:ascii="Times New Roman" w:hAnsi="Times New Roman" w:cs="Times New Roman"/>
          <w:bCs/>
          <w:sz w:val="24"/>
          <w:szCs w:val="24"/>
        </w:rPr>
        <w:tab/>
      </w:r>
    </w:p>
    <w:tbl>
      <w:tblPr>
        <w:tblW w:w="864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58"/>
        <w:gridCol w:w="1415"/>
        <w:gridCol w:w="1329"/>
        <w:gridCol w:w="1182"/>
        <w:gridCol w:w="1097"/>
        <w:gridCol w:w="1259"/>
      </w:tblGrid>
      <w:tr w14:paraId="5DE8BAD8" w14:textId="77777777" w:rsidTr="00687ACF">
        <w:tblPrEx>
          <w:tblW w:w="864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358" w:type="dxa"/>
            <w:vAlign w:val="center"/>
          </w:tcPr>
          <w:p w:rsidR="009A4E05" w:rsidP="00DB64B7" w14:paraId="7DD20294" w14:textId="77777777">
            <w:pPr>
              <w:numPr>
                <w:ilvl w:val="12"/>
                <w:numId w:val="0"/>
              </w:numPr>
              <w:jc w:val="center"/>
              <w:rPr>
                <w:rFonts w:ascii="Times New Roman" w:hAnsi="Times New Roman" w:cs="Times New Roman"/>
                <w:b/>
                <w:sz w:val="22"/>
                <w:szCs w:val="22"/>
              </w:rPr>
            </w:pPr>
          </w:p>
          <w:p w:rsidR="009A4E05" w:rsidP="00DB64B7" w14:paraId="7CB9E3D8" w14:textId="689549A6">
            <w:pPr>
              <w:numPr>
                <w:ilvl w:val="12"/>
                <w:numId w:val="0"/>
              </w:numPr>
              <w:jc w:val="center"/>
              <w:rPr>
                <w:rFonts w:ascii="Times New Roman" w:hAnsi="Times New Roman" w:cs="Times New Roman"/>
                <w:b/>
                <w:sz w:val="22"/>
                <w:szCs w:val="22"/>
              </w:rPr>
            </w:pPr>
            <w:r>
              <w:rPr>
                <w:rFonts w:ascii="Times New Roman" w:hAnsi="Times New Roman" w:cs="Times New Roman"/>
                <w:b/>
                <w:sz w:val="22"/>
                <w:szCs w:val="22"/>
              </w:rPr>
              <w:t>Form</w:t>
            </w:r>
            <w:r w:rsidR="009A27E8">
              <w:rPr>
                <w:rFonts w:ascii="Times New Roman" w:hAnsi="Times New Roman" w:cs="Times New Roman"/>
                <w:b/>
                <w:sz w:val="22"/>
                <w:szCs w:val="22"/>
              </w:rPr>
              <w:t>/Reg.</w:t>
            </w:r>
          </w:p>
        </w:tc>
        <w:tc>
          <w:tcPr>
            <w:tcW w:w="1415" w:type="dxa"/>
            <w:vAlign w:val="center"/>
          </w:tcPr>
          <w:p w:rsidR="009A4E05" w:rsidP="00DB64B7" w14:paraId="0266CDE2" w14:textId="77777777">
            <w:pPr>
              <w:numPr>
                <w:ilvl w:val="12"/>
                <w:numId w:val="0"/>
              </w:numPr>
              <w:jc w:val="center"/>
              <w:rPr>
                <w:rFonts w:ascii="Times New Roman" w:hAnsi="Times New Roman" w:cs="Times New Roman"/>
                <w:b/>
                <w:sz w:val="22"/>
                <w:szCs w:val="22"/>
              </w:rPr>
            </w:pPr>
            <w:r>
              <w:rPr>
                <w:rFonts w:ascii="Times New Roman" w:hAnsi="Times New Roman" w:cs="Times New Roman"/>
                <w:b/>
                <w:sz w:val="22"/>
                <w:szCs w:val="22"/>
              </w:rPr>
              <w:t># Respondents</w:t>
            </w:r>
          </w:p>
        </w:tc>
        <w:tc>
          <w:tcPr>
            <w:tcW w:w="1329" w:type="dxa"/>
            <w:vAlign w:val="center"/>
          </w:tcPr>
          <w:p w:rsidR="009A4E05" w:rsidP="00DB64B7" w14:paraId="3CF506AE" w14:textId="77777777">
            <w:pPr>
              <w:numPr>
                <w:ilvl w:val="12"/>
                <w:numId w:val="0"/>
              </w:numPr>
              <w:jc w:val="center"/>
              <w:rPr>
                <w:rFonts w:ascii="Times New Roman" w:hAnsi="Times New Roman" w:cs="Times New Roman"/>
                <w:b/>
                <w:sz w:val="22"/>
                <w:szCs w:val="22"/>
              </w:rPr>
            </w:pPr>
            <w:r>
              <w:rPr>
                <w:rFonts w:ascii="Times New Roman" w:hAnsi="Times New Roman" w:cs="Times New Roman"/>
                <w:b/>
                <w:sz w:val="22"/>
                <w:szCs w:val="22"/>
              </w:rPr>
              <w:t># Responses Per Respondent</w:t>
            </w:r>
          </w:p>
        </w:tc>
        <w:tc>
          <w:tcPr>
            <w:tcW w:w="1182" w:type="dxa"/>
            <w:vAlign w:val="center"/>
          </w:tcPr>
          <w:p w:rsidR="009A4E05" w:rsidP="00DB64B7" w14:paraId="1F0E282B" w14:textId="77777777">
            <w:pPr>
              <w:numPr>
                <w:ilvl w:val="12"/>
                <w:numId w:val="0"/>
              </w:numPr>
              <w:jc w:val="center"/>
              <w:rPr>
                <w:rFonts w:ascii="Times New Roman" w:hAnsi="Times New Roman" w:cs="Times New Roman"/>
                <w:b/>
                <w:sz w:val="22"/>
                <w:szCs w:val="22"/>
              </w:rPr>
            </w:pPr>
            <w:r>
              <w:rPr>
                <w:rFonts w:ascii="Times New Roman" w:hAnsi="Times New Roman" w:cs="Times New Roman"/>
                <w:b/>
                <w:sz w:val="22"/>
                <w:szCs w:val="22"/>
              </w:rPr>
              <w:t>Total Annual Responses</w:t>
            </w:r>
          </w:p>
        </w:tc>
        <w:tc>
          <w:tcPr>
            <w:tcW w:w="1097" w:type="dxa"/>
            <w:vAlign w:val="center"/>
          </w:tcPr>
          <w:p w:rsidR="009A4E05" w:rsidP="00DB64B7" w14:paraId="7D27B3C3" w14:textId="77777777">
            <w:pPr>
              <w:numPr>
                <w:ilvl w:val="12"/>
                <w:numId w:val="0"/>
              </w:numPr>
              <w:jc w:val="center"/>
              <w:rPr>
                <w:rFonts w:ascii="Times New Roman" w:hAnsi="Times New Roman" w:cs="Times New Roman"/>
                <w:b/>
                <w:sz w:val="22"/>
                <w:szCs w:val="22"/>
              </w:rPr>
            </w:pPr>
            <w:r>
              <w:rPr>
                <w:rFonts w:ascii="Times New Roman" w:hAnsi="Times New Roman" w:cs="Times New Roman"/>
                <w:b/>
                <w:sz w:val="22"/>
                <w:szCs w:val="22"/>
              </w:rPr>
              <w:t>Hours Per Response</w:t>
            </w:r>
          </w:p>
        </w:tc>
        <w:tc>
          <w:tcPr>
            <w:tcW w:w="1259" w:type="dxa"/>
            <w:vAlign w:val="center"/>
          </w:tcPr>
          <w:p w:rsidR="009A4E05" w:rsidP="00DB64B7" w14:paraId="77283E3E" w14:textId="77777777">
            <w:pPr>
              <w:numPr>
                <w:ilvl w:val="12"/>
                <w:numId w:val="0"/>
              </w:numPr>
              <w:jc w:val="center"/>
              <w:rPr>
                <w:rFonts w:ascii="Times New Roman" w:hAnsi="Times New Roman" w:cs="Times New Roman"/>
                <w:b/>
                <w:sz w:val="22"/>
                <w:szCs w:val="22"/>
              </w:rPr>
            </w:pPr>
            <w:r>
              <w:rPr>
                <w:rFonts w:ascii="Times New Roman" w:hAnsi="Times New Roman" w:cs="Times New Roman"/>
                <w:b/>
                <w:sz w:val="22"/>
                <w:szCs w:val="22"/>
              </w:rPr>
              <w:t>Total Burden</w:t>
            </w:r>
          </w:p>
        </w:tc>
      </w:tr>
      <w:tr w14:paraId="0556895D" w14:textId="77777777" w:rsidTr="00687ACF">
        <w:tblPrEx>
          <w:tblW w:w="8640" w:type="dxa"/>
          <w:tblInd w:w="715" w:type="dxa"/>
          <w:tblLook w:val="04A0"/>
        </w:tblPrEx>
        <w:trPr>
          <w:trHeight w:val="557"/>
        </w:trPr>
        <w:tc>
          <w:tcPr>
            <w:tcW w:w="2358" w:type="dxa"/>
          </w:tcPr>
          <w:p w:rsidR="009A4E05" w:rsidRPr="00AC1AC1" w14:paraId="5EA9954E" w14:textId="50234692">
            <w:pPr>
              <w:numPr>
                <w:ilvl w:val="12"/>
                <w:numId w:val="0"/>
              </w:numPr>
              <w:jc w:val="center"/>
              <w:rPr>
                <w:rFonts w:ascii="Times New Roman" w:hAnsi="Times New Roman" w:cs="Times New Roman"/>
                <w:bCs/>
                <w:sz w:val="18"/>
                <w:szCs w:val="18"/>
              </w:rPr>
            </w:pPr>
            <w:r w:rsidRPr="00AC1AC1">
              <w:rPr>
                <w:rFonts w:ascii="Times New Roman" w:hAnsi="Times New Roman" w:cs="Times New Roman"/>
                <w:bCs/>
                <w:sz w:val="18"/>
                <w:szCs w:val="18"/>
              </w:rPr>
              <w:t>Advanced Manufacturing Investment Credit</w:t>
            </w:r>
          </w:p>
          <w:p w:rsidR="009A27E8" w:rsidRPr="00AC1AC1" w14:paraId="0831D8B7" w14:textId="1C4EAA0F">
            <w:pPr>
              <w:numPr>
                <w:ilvl w:val="12"/>
                <w:numId w:val="0"/>
              </w:numPr>
              <w:jc w:val="center"/>
              <w:rPr>
                <w:rFonts w:ascii="Times New Roman" w:hAnsi="Times New Roman" w:cs="Times New Roman"/>
                <w:bCs/>
              </w:rPr>
            </w:pPr>
            <w:r w:rsidRPr="00AC1AC1">
              <w:rPr>
                <w:rFonts w:ascii="Times New Roman" w:hAnsi="Times New Roman" w:cs="Times New Roman"/>
                <w:bCs/>
              </w:rPr>
              <w:t>1.48D–6</w:t>
            </w:r>
            <w:r w:rsidR="0048010D">
              <w:rPr>
                <w:rFonts w:ascii="Times New Roman" w:hAnsi="Times New Roman" w:cs="Times New Roman"/>
                <w:bCs/>
              </w:rPr>
              <w:t>(b)</w:t>
            </w:r>
          </w:p>
        </w:tc>
        <w:tc>
          <w:tcPr>
            <w:tcW w:w="1415" w:type="dxa"/>
            <w:vAlign w:val="center"/>
          </w:tcPr>
          <w:p w:rsidR="009A4E05" w14:paraId="7B538DEA" w14:textId="7B8A3DF6">
            <w:pPr>
              <w:numPr>
                <w:ilvl w:val="12"/>
                <w:numId w:val="0"/>
              </w:numPr>
              <w:jc w:val="center"/>
              <w:rPr>
                <w:rFonts w:ascii="Times New Roman" w:hAnsi="Times New Roman" w:cs="Times New Roman"/>
                <w:bCs/>
                <w:sz w:val="22"/>
                <w:szCs w:val="22"/>
              </w:rPr>
            </w:pPr>
            <w:r>
              <w:rPr>
                <w:rFonts w:ascii="Times New Roman" w:hAnsi="Times New Roman" w:cs="Times New Roman"/>
                <w:bCs/>
                <w:sz w:val="22"/>
                <w:szCs w:val="22"/>
              </w:rPr>
              <w:t>50</w:t>
            </w:r>
          </w:p>
        </w:tc>
        <w:tc>
          <w:tcPr>
            <w:tcW w:w="1329" w:type="dxa"/>
            <w:vAlign w:val="center"/>
          </w:tcPr>
          <w:p w:rsidR="009A4E05" w14:paraId="4F783501" w14:textId="58B4FE94">
            <w:pPr>
              <w:numPr>
                <w:ilvl w:val="12"/>
                <w:numId w:val="0"/>
              </w:numPr>
              <w:jc w:val="center"/>
              <w:rPr>
                <w:rFonts w:ascii="Times New Roman" w:hAnsi="Times New Roman" w:cs="Times New Roman"/>
                <w:bCs/>
                <w:sz w:val="22"/>
                <w:szCs w:val="22"/>
              </w:rPr>
            </w:pPr>
            <w:r>
              <w:rPr>
                <w:rFonts w:ascii="Times New Roman" w:hAnsi="Times New Roman" w:cs="Times New Roman"/>
                <w:bCs/>
                <w:sz w:val="22"/>
                <w:szCs w:val="22"/>
              </w:rPr>
              <w:t>1</w:t>
            </w:r>
          </w:p>
        </w:tc>
        <w:tc>
          <w:tcPr>
            <w:tcW w:w="1182" w:type="dxa"/>
            <w:vAlign w:val="center"/>
          </w:tcPr>
          <w:p w:rsidR="009A4E05" w14:paraId="51964FE3" w14:textId="13BDB087">
            <w:pPr>
              <w:numPr>
                <w:ilvl w:val="12"/>
                <w:numId w:val="0"/>
              </w:numPr>
              <w:jc w:val="center"/>
              <w:rPr>
                <w:rFonts w:ascii="Times New Roman" w:hAnsi="Times New Roman" w:cs="Times New Roman"/>
                <w:bCs/>
                <w:sz w:val="22"/>
                <w:szCs w:val="22"/>
              </w:rPr>
            </w:pPr>
            <w:r>
              <w:rPr>
                <w:rFonts w:ascii="Times New Roman" w:hAnsi="Times New Roman" w:cs="Times New Roman"/>
                <w:bCs/>
                <w:sz w:val="22"/>
                <w:szCs w:val="22"/>
              </w:rPr>
              <w:t>50</w:t>
            </w:r>
          </w:p>
        </w:tc>
        <w:tc>
          <w:tcPr>
            <w:tcW w:w="1097" w:type="dxa"/>
            <w:vAlign w:val="center"/>
          </w:tcPr>
          <w:p w:rsidR="009A4E05" w14:paraId="0E83A038" w14:textId="226FABE4">
            <w:pPr>
              <w:numPr>
                <w:ilvl w:val="12"/>
                <w:numId w:val="0"/>
              </w:numPr>
              <w:jc w:val="center"/>
              <w:rPr>
                <w:rFonts w:ascii="Times New Roman" w:hAnsi="Times New Roman" w:cs="Times New Roman"/>
                <w:bCs/>
                <w:sz w:val="22"/>
                <w:szCs w:val="22"/>
              </w:rPr>
            </w:pPr>
            <w:r>
              <w:rPr>
                <w:rFonts w:ascii="Times New Roman" w:hAnsi="Times New Roman" w:cs="Times New Roman"/>
                <w:bCs/>
                <w:sz w:val="22"/>
                <w:szCs w:val="22"/>
              </w:rPr>
              <w:t>5.41</w:t>
            </w:r>
          </w:p>
        </w:tc>
        <w:tc>
          <w:tcPr>
            <w:tcW w:w="1259" w:type="dxa"/>
            <w:vAlign w:val="center"/>
          </w:tcPr>
          <w:p w:rsidR="009A4E05" w14:paraId="6AA63545" w14:textId="560C2646">
            <w:pPr>
              <w:numPr>
                <w:ilvl w:val="12"/>
                <w:numId w:val="0"/>
              </w:numPr>
              <w:jc w:val="center"/>
              <w:rPr>
                <w:rFonts w:ascii="Times New Roman" w:hAnsi="Times New Roman" w:cs="Times New Roman"/>
                <w:bCs/>
                <w:sz w:val="22"/>
                <w:szCs w:val="22"/>
              </w:rPr>
            </w:pPr>
            <w:r>
              <w:rPr>
                <w:rFonts w:ascii="Times New Roman" w:hAnsi="Times New Roman" w:cs="Times New Roman"/>
                <w:bCs/>
                <w:sz w:val="22"/>
                <w:szCs w:val="22"/>
              </w:rPr>
              <w:t>271</w:t>
            </w:r>
          </w:p>
        </w:tc>
      </w:tr>
      <w:tr w14:paraId="308E7EA3" w14:textId="77777777" w:rsidTr="00687ACF">
        <w:tblPrEx>
          <w:tblW w:w="8640" w:type="dxa"/>
          <w:tblInd w:w="715" w:type="dxa"/>
          <w:tblLook w:val="04A0"/>
        </w:tblPrEx>
        <w:trPr>
          <w:trHeight w:val="557"/>
        </w:trPr>
        <w:tc>
          <w:tcPr>
            <w:tcW w:w="2358" w:type="dxa"/>
          </w:tcPr>
          <w:p w:rsidR="009A4E05" w:rsidRPr="00AC1AC1" w14:paraId="60C9D8CD" w14:textId="758D8E26">
            <w:pPr>
              <w:numPr>
                <w:ilvl w:val="12"/>
                <w:numId w:val="0"/>
              </w:numPr>
              <w:jc w:val="center"/>
              <w:rPr>
                <w:rFonts w:ascii="Times New Roman" w:hAnsi="Times New Roman" w:cs="Times New Roman"/>
                <w:bCs/>
                <w:sz w:val="18"/>
                <w:szCs w:val="18"/>
              </w:rPr>
            </w:pPr>
            <w:r w:rsidRPr="00AC1AC1">
              <w:rPr>
                <w:rFonts w:ascii="Times New Roman" w:hAnsi="Times New Roman" w:cs="Times New Roman"/>
                <w:bCs/>
                <w:sz w:val="18"/>
                <w:szCs w:val="18"/>
              </w:rPr>
              <w:t>Elective Payment of Applicable Credits</w:t>
            </w:r>
          </w:p>
          <w:p w:rsidR="00090846" w14:paraId="537BB9AB" w14:textId="10DECF01">
            <w:pPr>
              <w:numPr>
                <w:ilvl w:val="12"/>
                <w:numId w:val="0"/>
              </w:numPr>
              <w:jc w:val="center"/>
              <w:rPr>
                <w:rFonts w:ascii="Times New Roman" w:hAnsi="Times New Roman" w:cs="Times New Roman"/>
                <w:bCs/>
              </w:rPr>
            </w:pPr>
            <w:r w:rsidRPr="00090846">
              <w:rPr>
                <w:rFonts w:ascii="Times New Roman" w:hAnsi="Times New Roman" w:cs="Times New Roman"/>
                <w:bCs/>
              </w:rPr>
              <w:t>1.6417-5</w:t>
            </w:r>
          </w:p>
        </w:tc>
        <w:tc>
          <w:tcPr>
            <w:tcW w:w="1415" w:type="dxa"/>
            <w:vAlign w:val="center"/>
          </w:tcPr>
          <w:p w:rsidR="009A4E05" w14:paraId="4C8EC8BC" w14:textId="3E9060B9">
            <w:pPr>
              <w:numPr>
                <w:ilvl w:val="12"/>
                <w:numId w:val="0"/>
              </w:numPr>
              <w:jc w:val="center"/>
              <w:rPr>
                <w:rFonts w:ascii="Times New Roman" w:hAnsi="Times New Roman" w:cs="Times New Roman"/>
                <w:bCs/>
                <w:sz w:val="22"/>
                <w:szCs w:val="22"/>
              </w:rPr>
            </w:pPr>
            <w:r>
              <w:rPr>
                <w:rFonts w:ascii="Times New Roman" w:hAnsi="Times New Roman" w:cs="Times New Roman"/>
                <w:bCs/>
                <w:sz w:val="22"/>
                <w:szCs w:val="22"/>
              </w:rPr>
              <w:t>20,000</w:t>
            </w:r>
          </w:p>
        </w:tc>
        <w:tc>
          <w:tcPr>
            <w:tcW w:w="1329" w:type="dxa"/>
            <w:vAlign w:val="center"/>
          </w:tcPr>
          <w:p w:rsidR="009A4E05" w14:paraId="1CB7B88E" w14:textId="5A7B1D5B">
            <w:pPr>
              <w:numPr>
                <w:ilvl w:val="12"/>
                <w:numId w:val="0"/>
              </w:numPr>
              <w:jc w:val="center"/>
              <w:rPr>
                <w:rFonts w:ascii="Times New Roman" w:hAnsi="Times New Roman" w:cs="Times New Roman"/>
                <w:bCs/>
                <w:sz w:val="22"/>
                <w:szCs w:val="22"/>
              </w:rPr>
            </w:pPr>
            <w:r>
              <w:rPr>
                <w:rFonts w:ascii="Times New Roman" w:hAnsi="Times New Roman" w:cs="Times New Roman"/>
                <w:bCs/>
                <w:sz w:val="22"/>
                <w:szCs w:val="22"/>
              </w:rPr>
              <w:t>1</w:t>
            </w:r>
          </w:p>
        </w:tc>
        <w:tc>
          <w:tcPr>
            <w:tcW w:w="1182" w:type="dxa"/>
            <w:vAlign w:val="center"/>
          </w:tcPr>
          <w:p w:rsidR="009A4E05" w14:paraId="4F2FD469" w14:textId="1D76AAC0">
            <w:pPr>
              <w:numPr>
                <w:ilvl w:val="12"/>
                <w:numId w:val="0"/>
              </w:numPr>
              <w:jc w:val="center"/>
              <w:rPr>
                <w:rFonts w:ascii="Times New Roman" w:hAnsi="Times New Roman" w:cs="Times New Roman"/>
                <w:bCs/>
                <w:sz w:val="22"/>
                <w:szCs w:val="22"/>
              </w:rPr>
            </w:pPr>
            <w:r>
              <w:rPr>
                <w:rFonts w:ascii="Times New Roman" w:hAnsi="Times New Roman" w:cs="Times New Roman"/>
                <w:bCs/>
                <w:sz w:val="22"/>
                <w:szCs w:val="22"/>
              </w:rPr>
              <w:t>20,000</w:t>
            </w:r>
          </w:p>
        </w:tc>
        <w:tc>
          <w:tcPr>
            <w:tcW w:w="1097" w:type="dxa"/>
            <w:vAlign w:val="center"/>
          </w:tcPr>
          <w:p w:rsidR="009A4E05" w14:paraId="78F49C27" w14:textId="01A6967A">
            <w:pPr>
              <w:numPr>
                <w:ilvl w:val="12"/>
                <w:numId w:val="0"/>
              </w:numPr>
              <w:jc w:val="center"/>
              <w:rPr>
                <w:rFonts w:ascii="Times New Roman" w:hAnsi="Times New Roman" w:cs="Times New Roman"/>
                <w:bCs/>
                <w:sz w:val="22"/>
                <w:szCs w:val="22"/>
              </w:rPr>
            </w:pPr>
            <w:r>
              <w:rPr>
                <w:rFonts w:ascii="Times New Roman" w:hAnsi="Times New Roman" w:cs="Times New Roman"/>
                <w:bCs/>
                <w:sz w:val="22"/>
                <w:szCs w:val="22"/>
              </w:rPr>
              <w:t>6.31</w:t>
            </w:r>
          </w:p>
        </w:tc>
        <w:tc>
          <w:tcPr>
            <w:tcW w:w="1259" w:type="dxa"/>
            <w:vAlign w:val="center"/>
          </w:tcPr>
          <w:p w:rsidR="009A4E05" w14:paraId="5B178678" w14:textId="23CDDC59">
            <w:pPr>
              <w:numPr>
                <w:ilvl w:val="12"/>
                <w:numId w:val="0"/>
              </w:numPr>
              <w:jc w:val="center"/>
              <w:rPr>
                <w:rFonts w:ascii="Times New Roman" w:hAnsi="Times New Roman" w:cs="Times New Roman"/>
                <w:bCs/>
                <w:sz w:val="22"/>
                <w:szCs w:val="22"/>
              </w:rPr>
            </w:pPr>
            <w:r>
              <w:rPr>
                <w:rFonts w:ascii="Times New Roman" w:hAnsi="Times New Roman" w:cs="Times New Roman"/>
                <w:bCs/>
                <w:sz w:val="22"/>
                <w:szCs w:val="22"/>
              </w:rPr>
              <w:t>126,200</w:t>
            </w:r>
          </w:p>
        </w:tc>
      </w:tr>
      <w:tr w14:paraId="115A4410" w14:textId="77777777" w:rsidTr="00687ACF">
        <w:tblPrEx>
          <w:tblW w:w="8640" w:type="dxa"/>
          <w:tblInd w:w="715" w:type="dxa"/>
          <w:tblLook w:val="04A0"/>
        </w:tblPrEx>
        <w:trPr>
          <w:trHeight w:val="557"/>
        </w:trPr>
        <w:tc>
          <w:tcPr>
            <w:tcW w:w="2358" w:type="dxa"/>
          </w:tcPr>
          <w:p w:rsidR="009A4E05" w:rsidRPr="00AC1AC1" w14:paraId="26E77488" w14:textId="3C25E25E">
            <w:pPr>
              <w:numPr>
                <w:ilvl w:val="12"/>
                <w:numId w:val="0"/>
              </w:numPr>
              <w:jc w:val="center"/>
              <w:rPr>
                <w:rFonts w:ascii="Times New Roman" w:hAnsi="Times New Roman" w:cs="Times New Roman"/>
                <w:bCs/>
                <w:sz w:val="18"/>
                <w:szCs w:val="18"/>
              </w:rPr>
            </w:pPr>
            <w:r>
              <w:rPr>
                <w:rFonts w:ascii="Times New Roman" w:hAnsi="Times New Roman" w:cs="Times New Roman"/>
                <w:bCs/>
                <w:sz w:val="18"/>
                <w:szCs w:val="18"/>
              </w:rPr>
              <w:t>Transfer of Certain Credits</w:t>
            </w:r>
          </w:p>
          <w:p w:rsidR="009A4E05" w:rsidRPr="00AC1AC1" w14:paraId="186E3F7A" w14:textId="4EB80CC3">
            <w:pPr>
              <w:numPr>
                <w:ilvl w:val="12"/>
                <w:numId w:val="0"/>
              </w:numPr>
              <w:jc w:val="center"/>
              <w:rPr>
                <w:rFonts w:ascii="Times New Roman" w:hAnsi="Times New Roman" w:cs="Times New Roman"/>
                <w:bCs/>
              </w:rPr>
            </w:pPr>
            <w:r w:rsidRPr="00AC1AC1">
              <w:rPr>
                <w:rFonts w:ascii="Times New Roman" w:hAnsi="Times New Roman" w:cs="Times New Roman"/>
                <w:bCs/>
              </w:rPr>
              <w:t>1.6418-4</w:t>
            </w:r>
          </w:p>
        </w:tc>
        <w:tc>
          <w:tcPr>
            <w:tcW w:w="1415" w:type="dxa"/>
            <w:vAlign w:val="center"/>
          </w:tcPr>
          <w:p w:rsidR="009A4E05" w14:paraId="5885FC64" w14:textId="569BCC3C">
            <w:pPr>
              <w:numPr>
                <w:ilvl w:val="12"/>
                <w:numId w:val="0"/>
              </w:numPr>
              <w:jc w:val="center"/>
              <w:rPr>
                <w:rFonts w:ascii="Times New Roman" w:hAnsi="Times New Roman" w:cs="Times New Roman"/>
                <w:bCs/>
                <w:sz w:val="22"/>
                <w:szCs w:val="22"/>
              </w:rPr>
            </w:pPr>
            <w:r>
              <w:rPr>
                <w:rFonts w:ascii="Times New Roman" w:hAnsi="Times New Roman" w:cs="Times New Roman"/>
                <w:bCs/>
                <w:sz w:val="22"/>
                <w:szCs w:val="22"/>
              </w:rPr>
              <w:t>50,000</w:t>
            </w:r>
          </w:p>
        </w:tc>
        <w:tc>
          <w:tcPr>
            <w:tcW w:w="1329" w:type="dxa"/>
            <w:vAlign w:val="center"/>
          </w:tcPr>
          <w:p w:rsidR="009A4E05" w14:paraId="273076B3" w14:textId="2E5E74C8">
            <w:pPr>
              <w:numPr>
                <w:ilvl w:val="12"/>
                <w:numId w:val="0"/>
              </w:numPr>
              <w:jc w:val="center"/>
              <w:rPr>
                <w:rFonts w:ascii="Times New Roman" w:hAnsi="Times New Roman" w:cs="Times New Roman"/>
                <w:bCs/>
                <w:sz w:val="22"/>
                <w:szCs w:val="22"/>
              </w:rPr>
            </w:pPr>
            <w:r>
              <w:rPr>
                <w:rFonts w:ascii="Times New Roman" w:hAnsi="Times New Roman" w:cs="Times New Roman"/>
                <w:bCs/>
                <w:sz w:val="22"/>
                <w:szCs w:val="22"/>
              </w:rPr>
              <w:t>1</w:t>
            </w:r>
          </w:p>
        </w:tc>
        <w:tc>
          <w:tcPr>
            <w:tcW w:w="1182" w:type="dxa"/>
            <w:vAlign w:val="center"/>
          </w:tcPr>
          <w:p w:rsidR="009A4E05" w14:paraId="094679DC" w14:textId="3ADC4FF0">
            <w:pPr>
              <w:numPr>
                <w:ilvl w:val="12"/>
                <w:numId w:val="0"/>
              </w:numPr>
              <w:jc w:val="center"/>
              <w:rPr>
                <w:rFonts w:ascii="Times New Roman" w:hAnsi="Times New Roman" w:cs="Times New Roman"/>
                <w:bCs/>
                <w:sz w:val="22"/>
                <w:szCs w:val="22"/>
              </w:rPr>
            </w:pPr>
            <w:r>
              <w:rPr>
                <w:rFonts w:ascii="Times New Roman" w:hAnsi="Times New Roman" w:cs="Times New Roman"/>
                <w:bCs/>
                <w:sz w:val="22"/>
                <w:szCs w:val="22"/>
              </w:rPr>
              <w:t>50,000</w:t>
            </w:r>
          </w:p>
        </w:tc>
        <w:tc>
          <w:tcPr>
            <w:tcW w:w="1097" w:type="dxa"/>
            <w:vAlign w:val="center"/>
          </w:tcPr>
          <w:p w:rsidR="009A4E05" w14:paraId="6FBDB5AD" w14:textId="4531209E">
            <w:pPr>
              <w:numPr>
                <w:ilvl w:val="12"/>
                <w:numId w:val="0"/>
              </w:numPr>
              <w:jc w:val="center"/>
              <w:rPr>
                <w:rFonts w:ascii="Times New Roman" w:hAnsi="Times New Roman" w:cs="Times New Roman"/>
                <w:bCs/>
                <w:sz w:val="22"/>
                <w:szCs w:val="22"/>
              </w:rPr>
            </w:pPr>
            <w:r>
              <w:rPr>
                <w:rFonts w:ascii="Times New Roman" w:hAnsi="Times New Roman" w:cs="Times New Roman"/>
                <w:bCs/>
                <w:sz w:val="22"/>
                <w:szCs w:val="22"/>
              </w:rPr>
              <w:t>6.16</w:t>
            </w:r>
          </w:p>
        </w:tc>
        <w:tc>
          <w:tcPr>
            <w:tcW w:w="1259" w:type="dxa"/>
            <w:vAlign w:val="center"/>
          </w:tcPr>
          <w:p w:rsidR="009A4E05" w14:paraId="5BEF95FF" w14:textId="08256243">
            <w:pPr>
              <w:numPr>
                <w:ilvl w:val="12"/>
                <w:numId w:val="0"/>
              </w:numPr>
              <w:jc w:val="center"/>
              <w:rPr>
                <w:rFonts w:ascii="Times New Roman" w:hAnsi="Times New Roman" w:cs="Times New Roman"/>
                <w:bCs/>
                <w:sz w:val="22"/>
                <w:szCs w:val="22"/>
              </w:rPr>
            </w:pPr>
            <w:r>
              <w:rPr>
                <w:rFonts w:ascii="Times New Roman" w:hAnsi="Times New Roman" w:cs="Times New Roman"/>
                <w:bCs/>
                <w:sz w:val="22"/>
                <w:szCs w:val="22"/>
              </w:rPr>
              <w:t>308,000</w:t>
            </w:r>
          </w:p>
        </w:tc>
      </w:tr>
      <w:tr w14:paraId="4D21B8F8" w14:textId="77777777" w:rsidTr="00687ACF">
        <w:tblPrEx>
          <w:tblW w:w="8640" w:type="dxa"/>
          <w:tblInd w:w="715" w:type="dxa"/>
          <w:tblLook w:val="04A0"/>
        </w:tblPrEx>
        <w:trPr>
          <w:trHeight w:val="557"/>
        </w:trPr>
        <w:tc>
          <w:tcPr>
            <w:tcW w:w="2358" w:type="dxa"/>
          </w:tcPr>
          <w:p w:rsidR="009A27E8" w14:paraId="4ED357B3" w14:textId="77777777">
            <w:pPr>
              <w:numPr>
                <w:ilvl w:val="12"/>
                <w:numId w:val="0"/>
              </w:numPr>
              <w:jc w:val="center"/>
              <w:rPr>
                <w:rFonts w:ascii="Times New Roman" w:hAnsi="Times New Roman" w:cs="Times New Roman"/>
                <w:bCs/>
                <w:sz w:val="22"/>
                <w:szCs w:val="22"/>
              </w:rPr>
            </w:pPr>
          </w:p>
          <w:p w:rsidR="009A27E8" w:rsidRPr="00284F2C" w14:paraId="22A4465E" w14:textId="6643B714">
            <w:pPr>
              <w:numPr>
                <w:ilvl w:val="12"/>
                <w:numId w:val="0"/>
              </w:numPr>
              <w:jc w:val="center"/>
              <w:rPr>
                <w:rFonts w:ascii="Times New Roman" w:hAnsi="Times New Roman" w:cs="Times New Roman"/>
                <w:b/>
                <w:sz w:val="22"/>
                <w:szCs w:val="22"/>
              </w:rPr>
            </w:pPr>
            <w:r w:rsidRPr="00284F2C">
              <w:rPr>
                <w:rFonts w:ascii="Times New Roman" w:hAnsi="Times New Roman" w:cs="Times New Roman"/>
                <w:b/>
                <w:sz w:val="22"/>
                <w:szCs w:val="22"/>
              </w:rPr>
              <w:t>Total</w:t>
            </w:r>
          </w:p>
        </w:tc>
        <w:tc>
          <w:tcPr>
            <w:tcW w:w="1415" w:type="dxa"/>
            <w:vAlign w:val="center"/>
          </w:tcPr>
          <w:p w:rsidR="009A27E8" w14:paraId="132C4FAE" w14:textId="77777777">
            <w:pPr>
              <w:numPr>
                <w:ilvl w:val="12"/>
                <w:numId w:val="0"/>
              </w:numPr>
              <w:jc w:val="center"/>
              <w:rPr>
                <w:rFonts w:ascii="Times New Roman" w:hAnsi="Times New Roman" w:cs="Times New Roman"/>
                <w:bCs/>
                <w:sz w:val="22"/>
                <w:szCs w:val="22"/>
              </w:rPr>
            </w:pPr>
          </w:p>
        </w:tc>
        <w:tc>
          <w:tcPr>
            <w:tcW w:w="1329" w:type="dxa"/>
            <w:vAlign w:val="center"/>
          </w:tcPr>
          <w:p w:rsidR="009A27E8" w14:paraId="25F97D49" w14:textId="77777777">
            <w:pPr>
              <w:numPr>
                <w:ilvl w:val="12"/>
                <w:numId w:val="0"/>
              </w:numPr>
              <w:jc w:val="center"/>
              <w:rPr>
                <w:rFonts w:ascii="Times New Roman" w:hAnsi="Times New Roman" w:cs="Times New Roman"/>
                <w:bCs/>
                <w:sz w:val="22"/>
                <w:szCs w:val="22"/>
              </w:rPr>
            </w:pPr>
          </w:p>
        </w:tc>
        <w:tc>
          <w:tcPr>
            <w:tcW w:w="1182" w:type="dxa"/>
            <w:vAlign w:val="center"/>
          </w:tcPr>
          <w:p w:rsidR="009A27E8" w14:paraId="6F482066" w14:textId="521955E0">
            <w:pPr>
              <w:numPr>
                <w:ilvl w:val="12"/>
                <w:numId w:val="0"/>
              </w:numPr>
              <w:jc w:val="center"/>
              <w:rPr>
                <w:rFonts w:ascii="Times New Roman" w:hAnsi="Times New Roman" w:cs="Times New Roman"/>
                <w:bCs/>
                <w:sz w:val="22"/>
                <w:szCs w:val="22"/>
              </w:rPr>
            </w:pPr>
            <w:r>
              <w:rPr>
                <w:rFonts w:ascii="Times New Roman" w:hAnsi="Times New Roman" w:cs="Times New Roman"/>
                <w:bCs/>
                <w:sz w:val="22"/>
                <w:szCs w:val="22"/>
              </w:rPr>
              <w:t>70,050</w:t>
            </w:r>
          </w:p>
        </w:tc>
        <w:tc>
          <w:tcPr>
            <w:tcW w:w="1097" w:type="dxa"/>
            <w:vAlign w:val="center"/>
          </w:tcPr>
          <w:p w:rsidR="009A27E8" w14:paraId="3D0FE2D0" w14:textId="77777777">
            <w:pPr>
              <w:numPr>
                <w:ilvl w:val="12"/>
                <w:numId w:val="0"/>
              </w:numPr>
              <w:jc w:val="center"/>
              <w:rPr>
                <w:rFonts w:ascii="Times New Roman" w:hAnsi="Times New Roman" w:cs="Times New Roman"/>
                <w:bCs/>
                <w:sz w:val="22"/>
                <w:szCs w:val="22"/>
              </w:rPr>
            </w:pPr>
          </w:p>
        </w:tc>
        <w:tc>
          <w:tcPr>
            <w:tcW w:w="1259" w:type="dxa"/>
            <w:vAlign w:val="center"/>
          </w:tcPr>
          <w:p w:rsidR="009A27E8" w14:paraId="257D25D9" w14:textId="2D1A2FC1">
            <w:pPr>
              <w:numPr>
                <w:ilvl w:val="12"/>
                <w:numId w:val="0"/>
              </w:numPr>
              <w:jc w:val="center"/>
              <w:rPr>
                <w:rFonts w:ascii="Times New Roman" w:hAnsi="Times New Roman" w:cs="Times New Roman"/>
                <w:bCs/>
                <w:sz w:val="22"/>
                <w:szCs w:val="22"/>
              </w:rPr>
            </w:pPr>
            <w:r>
              <w:rPr>
                <w:rFonts w:ascii="Times New Roman" w:hAnsi="Times New Roman" w:cs="Times New Roman"/>
                <w:bCs/>
                <w:sz w:val="22"/>
                <w:szCs w:val="22"/>
              </w:rPr>
              <w:t>434,471</w:t>
            </w:r>
          </w:p>
        </w:tc>
      </w:tr>
    </w:tbl>
    <w:p w:rsidR="00821E40" w:rsidP="00821E40" w14:paraId="151BE3C6" w14:textId="77777777">
      <w:pPr>
        <w:ind w:left="720"/>
        <w:jc w:val="both"/>
        <w:rPr>
          <w:rFonts w:ascii="Times New Roman" w:hAnsi="Times New Roman"/>
          <w:bCs/>
          <w:sz w:val="24"/>
          <w:szCs w:val="24"/>
        </w:rPr>
      </w:pPr>
    </w:p>
    <w:p w:rsidR="00821E40" w:rsidRPr="00620AB0" w:rsidP="00821E40" w14:paraId="199D4D17" w14:textId="1F052409">
      <w:pPr>
        <w:ind w:left="720"/>
        <w:jc w:val="both"/>
        <w:rPr>
          <w:rFonts w:ascii="Times New Roman" w:hAnsi="Times New Roman"/>
          <w:bCs/>
          <w:sz w:val="24"/>
          <w:szCs w:val="24"/>
        </w:rPr>
      </w:pPr>
      <w:r w:rsidRPr="00620AB0">
        <w:rPr>
          <w:rFonts w:ascii="Times New Roman" w:hAnsi="Times New Roman"/>
          <w:bCs/>
          <w:sz w:val="24"/>
          <w:szCs w:val="24"/>
        </w:rPr>
        <w:t xml:space="preserve">We are asking for continued approval of these regulations that are associated with </w:t>
      </w:r>
      <w:r>
        <w:rPr>
          <w:rFonts w:ascii="Times New Roman" w:hAnsi="Times New Roman"/>
          <w:bCs/>
          <w:sz w:val="24"/>
          <w:szCs w:val="24"/>
        </w:rPr>
        <w:t xml:space="preserve">the </w:t>
      </w:r>
      <w:r w:rsidRPr="00C86FEB">
        <w:rPr>
          <w:rFonts w:ascii="Times New Roman" w:hAnsi="Times New Roman" w:cs="Times New Roman"/>
          <w:sz w:val="24"/>
          <w:szCs w:val="24"/>
        </w:rPr>
        <w:t xml:space="preserve">IRS electronic </w:t>
      </w:r>
      <w:r w:rsidR="00D91CAF">
        <w:rPr>
          <w:rFonts w:ascii="Times New Roman" w:hAnsi="Times New Roman" w:cs="Times New Roman"/>
          <w:sz w:val="24"/>
          <w:szCs w:val="24"/>
        </w:rPr>
        <w:t xml:space="preserve">registration </w:t>
      </w:r>
      <w:r w:rsidRPr="00C86FEB">
        <w:rPr>
          <w:rFonts w:ascii="Times New Roman" w:hAnsi="Times New Roman" w:cs="Times New Roman"/>
          <w:sz w:val="24"/>
          <w:szCs w:val="24"/>
        </w:rPr>
        <w:t>portal</w:t>
      </w:r>
      <w:r w:rsidRPr="00620AB0">
        <w:rPr>
          <w:rFonts w:ascii="Times New Roman" w:hAnsi="Times New Roman"/>
          <w:bCs/>
          <w:sz w:val="24"/>
          <w:szCs w:val="24"/>
        </w:rPr>
        <w:t>.  Please continue to assign OMB number 1545-</w:t>
      </w:r>
      <w:r w:rsidR="00AF76B1">
        <w:rPr>
          <w:rFonts w:ascii="Times New Roman" w:hAnsi="Times New Roman"/>
          <w:bCs/>
          <w:sz w:val="24"/>
          <w:szCs w:val="24"/>
        </w:rPr>
        <w:t>22310</w:t>
      </w:r>
      <w:r w:rsidRPr="00620AB0" w:rsidR="00AF76B1">
        <w:rPr>
          <w:rFonts w:ascii="Times New Roman" w:hAnsi="Times New Roman"/>
          <w:bCs/>
          <w:sz w:val="24"/>
          <w:szCs w:val="24"/>
        </w:rPr>
        <w:t xml:space="preserve"> </w:t>
      </w:r>
      <w:r w:rsidRPr="00620AB0">
        <w:rPr>
          <w:rFonts w:ascii="Times New Roman" w:hAnsi="Times New Roman"/>
          <w:bCs/>
          <w:sz w:val="24"/>
          <w:szCs w:val="24"/>
        </w:rPr>
        <w:t>to these regulations.</w:t>
      </w:r>
    </w:p>
    <w:p w:rsidR="00821E40" w:rsidRPr="00620AB0" w:rsidP="00821E40" w14:paraId="42A32008" w14:textId="77777777">
      <w:pPr>
        <w:jc w:val="both"/>
        <w:rPr>
          <w:rFonts w:ascii="Times New Roman" w:hAnsi="Times New Roman"/>
          <w:bCs/>
          <w:sz w:val="24"/>
          <w:szCs w:val="24"/>
        </w:rPr>
      </w:pPr>
      <w:r w:rsidRPr="00620AB0">
        <w:rPr>
          <w:rFonts w:ascii="Times New Roman" w:hAnsi="Times New Roman"/>
          <w:bCs/>
          <w:sz w:val="24"/>
          <w:szCs w:val="24"/>
        </w:rPr>
        <w:tab/>
        <w:t xml:space="preserve">  </w:t>
      </w:r>
    </w:p>
    <w:tbl>
      <w:tblPr>
        <w:tblW w:w="7015" w:type="dxa"/>
        <w:tblInd w:w="1165" w:type="dxa"/>
        <w:tblLook w:val="04A0"/>
      </w:tblPr>
      <w:tblGrid>
        <w:gridCol w:w="2245"/>
        <w:gridCol w:w="2430"/>
        <w:gridCol w:w="2340"/>
      </w:tblGrid>
      <w:tr w14:paraId="5015A37F" w14:textId="77777777" w:rsidTr="007C7B92">
        <w:tblPrEx>
          <w:tblW w:w="7015" w:type="dxa"/>
          <w:tblInd w:w="1165" w:type="dxa"/>
          <w:tblLook w:val="04A0"/>
        </w:tblPrEx>
        <w:trPr>
          <w:trHeight w:val="290"/>
        </w:trPr>
        <w:tc>
          <w:tcPr>
            <w:tcW w:w="2245" w:type="dxa"/>
            <w:tcBorders>
              <w:top w:val="single" w:sz="4" w:space="0" w:color="auto"/>
              <w:left w:val="single" w:sz="4" w:space="0" w:color="auto"/>
              <w:bottom w:val="single" w:sz="4" w:space="0" w:color="auto"/>
              <w:right w:val="single" w:sz="4" w:space="0" w:color="auto"/>
            </w:tcBorders>
            <w:noWrap/>
            <w:vAlign w:val="center"/>
            <w:hideMark/>
          </w:tcPr>
          <w:p w:rsidR="00821E40" w:rsidRPr="00620AB0" w:rsidP="007C7B92" w14:paraId="0710A0FC" w14:textId="5EF3F2CA">
            <w:pPr>
              <w:widowControl/>
              <w:autoSpaceDE/>
              <w:autoSpaceDN/>
              <w:adjustRightInd/>
              <w:rPr>
                <w:rFonts w:ascii="Times New Roman" w:hAnsi="Times New Roman"/>
                <w:sz w:val="22"/>
                <w:szCs w:val="22"/>
              </w:rPr>
            </w:pPr>
            <w:r>
              <w:rPr>
                <w:rFonts w:ascii="Times New Roman" w:hAnsi="Times New Roman"/>
                <w:bCs/>
                <w:sz w:val="22"/>
                <w:szCs w:val="22"/>
              </w:rPr>
              <w:t>1.48D-6</w:t>
            </w:r>
            <w:r w:rsidR="005621FD">
              <w:rPr>
                <w:rFonts w:ascii="Times New Roman" w:hAnsi="Times New Roman"/>
                <w:bCs/>
                <w:sz w:val="22"/>
                <w:szCs w:val="22"/>
              </w:rPr>
              <w:t>(b)</w:t>
            </w:r>
          </w:p>
        </w:tc>
        <w:tc>
          <w:tcPr>
            <w:tcW w:w="2430" w:type="dxa"/>
            <w:tcBorders>
              <w:top w:val="single" w:sz="4" w:space="0" w:color="auto"/>
              <w:left w:val="nil"/>
              <w:bottom w:val="single" w:sz="4" w:space="0" w:color="auto"/>
              <w:right w:val="single" w:sz="4" w:space="0" w:color="auto"/>
            </w:tcBorders>
            <w:noWrap/>
            <w:vAlign w:val="bottom"/>
            <w:hideMark/>
          </w:tcPr>
          <w:p w:rsidR="00821E40" w:rsidRPr="00620AB0" w:rsidP="007C7B92" w14:paraId="23FCA15D" w14:textId="4FB62399">
            <w:pPr>
              <w:widowControl/>
              <w:autoSpaceDE/>
              <w:autoSpaceDN/>
              <w:adjustRightInd/>
              <w:rPr>
                <w:rFonts w:ascii="Times New Roman" w:hAnsi="Times New Roman"/>
                <w:sz w:val="22"/>
                <w:szCs w:val="22"/>
              </w:rPr>
            </w:pPr>
            <w:r>
              <w:rPr>
                <w:rFonts w:ascii="Times New Roman" w:hAnsi="Times New Roman"/>
                <w:sz w:val="22"/>
                <w:szCs w:val="22"/>
              </w:rPr>
              <w:t>1.6417-5</w:t>
            </w:r>
          </w:p>
        </w:tc>
        <w:tc>
          <w:tcPr>
            <w:tcW w:w="2340" w:type="dxa"/>
            <w:tcBorders>
              <w:top w:val="single" w:sz="4" w:space="0" w:color="auto"/>
              <w:left w:val="nil"/>
              <w:bottom w:val="single" w:sz="4" w:space="0" w:color="auto"/>
              <w:right w:val="single" w:sz="4" w:space="0" w:color="auto"/>
            </w:tcBorders>
            <w:noWrap/>
            <w:vAlign w:val="bottom"/>
            <w:hideMark/>
          </w:tcPr>
          <w:p w:rsidR="00821E40" w:rsidRPr="00620AB0" w:rsidP="007C7B92" w14:paraId="2DC74102" w14:textId="198073DC">
            <w:pPr>
              <w:widowControl/>
              <w:autoSpaceDE/>
              <w:autoSpaceDN/>
              <w:adjustRightInd/>
              <w:rPr>
                <w:rFonts w:ascii="Times New Roman" w:hAnsi="Times New Roman"/>
                <w:sz w:val="22"/>
                <w:szCs w:val="22"/>
              </w:rPr>
            </w:pPr>
            <w:r>
              <w:rPr>
                <w:rFonts w:ascii="Times New Roman" w:hAnsi="Times New Roman"/>
                <w:sz w:val="22"/>
                <w:szCs w:val="22"/>
              </w:rPr>
              <w:t>1.6418-4</w:t>
            </w:r>
          </w:p>
        </w:tc>
      </w:tr>
    </w:tbl>
    <w:p w:rsidR="009A4E05" w:rsidP="00821E40" w14:paraId="682E2BBF" w14:textId="77777777">
      <w:pPr>
        <w:numPr>
          <w:ilvl w:val="12"/>
          <w:numId w:val="0"/>
        </w:numPr>
        <w:rPr>
          <w:rFonts w:ascii="CG Times" w:hAnsi="CG Times" w:cs="CG Times"/>
          <w:bCs/>
          <w:sz w:val="24"/>
          <w:szCs w:val="24"/>
        </w:rPr>
      </w:pPr>
    </w:p>
    <w:p w:rsidR="009A4E05" w14:paraId="4E512377" w14:textId="77777777">
      <w:pPr>
        <w:pStyle w:val="Level1"/>
        <w:numPr>
          <w:ilvl w:val="0"/>
          <w:numId w:val="1"/>
        </w:numPr>
        <w:tabs>
          <w:tab w:val="left" w:pos="720"/>
        </w:tabs>
        <w:ind w:left="720" w:hanging="720"/>
        <w:jc w:val="left"/>
        <w:rPr>
          <w:rFonts w:ascii="CG Times" w:hAnsi="CG Times" w:cs="CG Times"/>
          <w:b/>
          <w:bCs/>
        </w:rPr>
      </w:pPr>
      <w:r>
        <w:rPr>
          <w:rFonts w:ascii="CG Times" w:hAnsi="CG Times" w:cs="CG Times"/>
          <w:b/>
          <w:bCs/>
          <w:u w:val="single"/>
        </w:rPr>
        <w:t>ESTIMATED TOTAL ANNUAL COST BURDEN TO RESPONDENTS</w:t>
      </w:r>
    </w:p>
    <w:p w:rsidR="009A4E05" w14:paraId="19CA6759" w14:textId="77777777">
      <w:pPr>
        <w:numPr>
          <w:ilvl w:val="12"/>
          <w:numId w:val="0"/>
        </w:numPr>
        <w:rPr>
          <w:rFonts w:ascii="CG Times" w:hAnsi="CG Times" w:cs="CG Times"/>
          <w:bCs/>
          <w:sz w:val="24"/>
          <w:szCs w:val="24"/>
        </w:rPr>
      </w:pPr>
    </w:p>
    <w:p w:rsidR="009A4E05" w14:paraId="2D0B1929" w14:textId="6AD93916">
      <w:pPr>
        <w:numPr>
          <w:ilvl w:val="12"/>
          <w:numId w:val="0"/>
        </w:numPr>
        <w:ind w:left="720"/>
        <w:rPr>
          <w:rFonts w:ascii="Times New Roman" w:hAnsi="Times New Roman" w:cs="Times New Roman"/>
          <w:bCs/>
          <w:sz w:val="24"/>
          <w:szCs w:val="24"/>
        </w:rPr>
      </w:pPr>
      <w:r w:rsidRPr="00567591">
        <w:rPr>
          <w:rFonts w:ascii="Times New Roman" w:hAnsi="Times New Roman" w:cs="Times New Roman"/>
          <w:bCs/>
          <w:sz w:val="24"/>
          <w:szCs w:val="24"/>
        </w:rPr>
        <w:t>There are no start-up or maintenance costs for this collection. The collection does not require respondents to obtain specialized equipment or professional services.</w:t>
      </w:r>
    </w:p>
    <w:p w:rsidR="00B60670" w:rsidRPr="00DB64B7" w14:paraId="1EBD5104" w14:textId="77777777">
      <w:pPr>
        <w:numPr>
          <w:ilvl w:val="12"/>
          <w:numId w:val="0"/>
        </w:numPr>
        <w:ind w:left="720"/>
        <w:rPr>
          <w:rFonts w:ascii="Times New Roman" w:hAnsi="Times New Roman" w:cs="Times New Roman"/>
          <w:bCs/>
          <w:sz w:val="24"/>
          <w:szCs w:val="24"/>
        </w:rPr>
      </w:pPr>
    </w:p>
    <w:p w:rsidR="009A4E05" w14:paraId="744F41A1" w14:textId="77777777">
      <w:pPr>
        <w:numPr>
          <w:ilvl w:val="12"/>
          <w:numId w:val="0"/>
        </w:numPr>
        <w:rPr>
          <w:rFonts w:ascii="CG Times" w:hAnsi="CG Times" w:cs="CG Times"/>
          <w:bCs/>
          <w:sz w:val="24"/>
          <w:szCs w:val="24"/>
        </w:rPr>
      </w:pPr>
    </w:p>
    <w:p w:rsidR="009A4E05" w14:paraId="27C69D67" w14:textId="77777777">
      <w:pPr>
        <w:pStyle w:val="Level1"/>
        <w:numPr>
          <w:ilvl w:val="0"/>
          <w:numId w:val="1"/>
        </w:numPr>
        <w:tabs>
          <w:tab w:val="left" w:pos="720"/>
        </w:tabs>
        <w:ind w:left="720" w:hanging="720"/>
        <w:jc w:val="left"/>
        <w:rPr>
          <w:rFonts w:ascii="CG Times" w:hAnsi="CG Times" w:cs="CG Times"/>
          <w:b/>
          <w:bCs/>
        </w:rPr>
      </w:pPr>
      <w:r>
        <w:rPr>
          <w:rFonts w:ascii="CG Times" w:hAnsi="CG Times" w:cs="CG Times"/>
          <w:b/>
          <w:bCs/>
          <w:u w:val="single"/>
        </w:rPr>
        <w:t>ESTIMATED ANNUALIZED COST TO THE FEDERAL GOVERNMENT</w:t>
      </w:r>
    </w:p>
    <w:p w:rsidR="00F63F6F" w14:paraId="7D8DE207" w14:textId="4725247F">
      <w:pPr>
        <w:numPr>
          <w:ilvl w:val="12"/>
          <w:numId w:val="0"/>
        </w:numPr>
        <w:rPr>
          <w:rFonts w:ascii="CG Times" w:hAnsi="CG Times" w:cs="CG Times"/>
          <w:bCs/>
          <w:sz w:val="24"/>
          <w:szCs w:val="24"/>
        </w:rPr>
      </w:pPr>
    </w:p>
    <w:p w:rsidR="00F63F6F" w:rsidP="00F63F6F" w14:paraId="76F60303" w14:textId="47E50807">
      <w:pPr>
        <w:numPr>
          <w:ilvl w:val="12"/>
          <w:numId w:val="0"/>
        </w:numPr>
        <w:ind w:left="630"/>
        <w:rPr>
          <w:rFonts w:ascii="CG Times" w:hAnsi="CG Times" w:cs="CG Times"/>
          <w:bCs/>
          <w:sz w:val="24"/>
          <w:szCs w:val="24"/>
        </w:rPr>
      </w:pPr>
      <w:r w:rsidRPr="0014334E">
        <w:rPr>
          <w:rFonts w:ascii="CG Times" w:hAnsi="CG Times" w:cs="CG Times"/>
          <w:bCs/>
          <w:sz w:val="24"/>
          <w:szCs w:val="24"/>
        </w:rPr>
        <w:t>Based upon an approximate life of 10 years,</w:t>
      </w:r>
      <w:r>
        <w:rPr>
          <w:rFonts w:ascii="CG Times" w:hAnsi="CG Times" w:cs="CG Times"/>
          <w:bCs/>
          <w:sz w:val="24"/>
          <w:szCs w:val="24"/>
        </w:rPr>
        <w:t xml:space="preserve"> IRS has </w:t>
      </w:r>
      <w:r w:rsidRPr="0014334E">
        <w:rPr>
          <w:rFonts w:ascii="CG Times" w:hAnsi="CG Times" w:cs="CG Times"/>
          <w:bCs/>
          <w:sz w:val="24"/>
          <w:szCs w:val="24"/>
        </w:rPr>
        <w:t>estimated an annualized cost of approximately $2.5 Million.</w:t>
      </w:r>
    </w:p>
    <w:p w:rsidR="00D91CAF" w14:paraId="2D60068F" w14:textId="77777777">
      <w:pPr>
        <w:numPr>
          <w:ilvl w:val="12"/>
          <w:numId w:val="0"/>
        </w:numPr>
        <w:rPr>
          <w:rFonts w:ascii="CG Times" w:hAnsi="CG Times" w:cs="CG Times"/>
          <w:bCs/>
          <w:sz w:val="24"/>
          <w:szCs w:val="24"/>
        </w:rPr>
      </w:pPr>
    </w:p>
    <w:p w:rsidR="009A4E05" w14:paraId="54149693" w14:textId="77777777">
      <w:pPr>
        <w:pStyle w:val="Level1"/>
        <w:numPr>
          <w:ilvl w:val="0"/>
          <w:numId w:val="1"/>
        </w:numPr>
        <w:tabs>
          <w:tab w:val="left" w:pos="720"/>
        </w:tabs>
        <w:ind w:left="720" w:hanging="720"/>
        <w:jc w:val="left"/>
        <w:rPr>
          <w:rFonts w:ascii="CG Times" w:hAnsi="CG Times" w:cs="CG Times"/>
          <w:b/>
          <w:bCs/>
        </w:rPr>
      </w:pPr>
      <w:r>
        <w:rPr>
          <w:rFonts w:ascii="CG Times" w:hAnsi="CG Times" w:cs="CG Times"/>
          <w:b/>
          <w:bCs/>
          <w:u w:val="single"/>
        </w:rPr>
        <w:t>REASONS FOR CHANGE IN BURDEN</w:t>
      </w:r>
    </w:p>
    <w:p w:rsidR="009A4E05" w14:paraId="34E1684F" w14:textId="77777777">
      <w:pPr>
        <w:numPr>
          <w:ilvl w:val="12"/>
          <w:numId w:val="0"/>
        </w:numPr>
        <w:rPr>
          <w:rFonts w:ascii="CG Times" w:hAnsi="CG Times" w:cs="CG Times"/>
          <w:b/>
          <w:bCs/>
          <w:sz w:val="24"/>
          <w:szCs w:val="24"/>
        </w:rPr>
      </w:pPr>
    </w:p>
    <w:p w:rsidR="009A4E05" w:rsidRPr="00DB64B7" w14:paraId="61842EBA" w14:textId="1D2263A4">
      <w:pPr>
        <w:numPr>
          <w:ilvl w:val="12"/>
          <w:numId w:val="0"/>
        </w:numPr>
        <w:ind w:left="720"/>
        <w:rPr>
          <w:rFonts w:ascii="Times New Roman" w:hAnsi="Times New Roman" w:cs="Times New Roman"/>
          <w:bCs/>
          <w:sz w:val="24"/>
          <w:szCs w:val="24"/>
        </w:rPr>
      </w:pPr>
      <w:r w:rsidRPr="00DF622C">
        <w:rPr>
          <w:rFonts w:ascii="Times New Roman" w:hAnsi="Times New Roman" w:cs="Times New Roman"/>
          <w:bCs/>
          <w:sz w:val="24"/>
          <w:szCs w:val="24"/>
        </w:rPr>
        <w:t xml:space="preserve">There is no change in the paperwork burden previously approved by OMB. </w:t>
      </w:r>
      <w:r w:rsidR="005238DF">
        <w:rPr>
          <w:rFonts w:ascii="Times New Roman" w:hAnsi="Times New Roman" w:cs="Times New Roman"/>
          <w:bCs/>
          <w:sz w:val="24"/>
          <w:szCs w:val="24"/>
        </w:rPr>
        <w:t xml:space="preserve">However, </w:t>
      </w:r>
      <w:r w:rsidR="009C07AA">
        <w:rPr>
          <w:rFonts w:ascii="Times New Roman" w:hAnsi="Times New Roman" w:cs="Times New Roman"/>
          <w:bCs/>
          <w:sz w:val="24"/>
          <w:szCs w:val="24"/>
        </w:rPr>
        <w:t xml:space="preserve">the temporary regulations in TD </w:t>
      </w:r>
      <w:r w:rsidR="003D7BCF">
        <w:rPr>
          <w:rFonts w:ascii="Times New Roman" w:hAnsi="Times New Roman" w:cs="Times New Roman"/>
          <w:bCs/>
          <w:sz w:val="24"/>
          <w:szCs w:val="24"/>
        </w:rPr>
        <w:t xml:space="preserve">9975 </w:t>
      </w:r>
      <w:r w:rsidR="003D7BCF">
        <w:rPr>
          <w:rFonts w:ascii="Times New Roman" w:hAnsi="Times New Roman" w:cs="Times New Roman"/>
          <w:bCs/>
          <w:sz w:val="24"/>
          <w:szCs w:val="24"/>
        </w:rPr>
        <w:t>were replaced</w:t>
      </w:r>
      <w:r w:rsidR="003D7BCF">
        <w:rPr>
          <w:rFonts w:ascii="Times New Roman" w:hAnsi="Times New Roman" w:cs="Times New Roman"/>
          <w:bCs/>
          <w:sz w:val="24"/>
          <w:szCs w:val="24"/>
        </w:rPr>
        <w:t xml:space="preserve"> with final regulations in TDs </w:t>
      </w:r>
      <w:r w:rsidRPr="002E0737" w:rsidR="002E0737">
        <w:rPr>
          <w:rFonts w:ascii="Times New Roman" w:hAnsi="Times New Roman" w:cs="Times New Roman"/>
          <w:bCs/>
          <w:sz w:val="24"/>
          <w:szCs w:val="24"/>
        </w:rPr>
        <w:t>9988, 9989, and 9993</w:t>
      </w:r>
      <w:r w:rsidR="002E0737">
        <w:rPr>
          <w:rFonts w:ascii="Times New Roman" w:hAnsi="Times New Roman" w:cs="Times New Roman"/>
          <w:bCs/>
          <w:sz w:val="24"/>
          <w:szCs w:val="24"/>
        </w:rPr>
        <w:t xml:space="preserve">. </w:t>
      </w:r>
      <w:r w:rsidRPr="00DF622C">
        <w:rPr>
          <w:rFonts w:ascii="Times New Roman" w:hAnsi="Times New Roman" w:cs="Times New Roman"/>
          <w:bCs/>
          <w:sz w:val="24"/>
          <w:szCs w:val="24"/>
        </w:rPr>
        <w:t>The IRS is making this submission to renew the OMB approval.</w:t>
      </w:r>
    </w:p>
    <w:p w:rsidR="009A4E05" w14:paraId="48FE4D28" w14:textId="77777777">
      <w:pPr>
        <w:numPr>
          <w:ilvl w:val="12"/>
          <w:numId w:val="0"/>
        </w:numPr>
        <w:ind w:left="720"/>
        <w:rPr>
          <w:rFonts w:ascii="CG Times" w:hAnsi="CG Times" w:cs="CG Times"/>
          <w:bCs/>
          <w:color w:val="FF0000"/>
          <w:sz w:val="24"/>
          <w:szCs w:val="24"/>
        </w:rPr>
      </w:pPr>
    </w:p>
    <w:p w:rsidR="009A4E05" w14:paraId="5EE2D291" w14:textId="77777777">
      <w:pPr>
        <w:pStyle w:val="Level1"/>
        <w:numPr>
          <w:ilvl w:val="0"/>
          <w:numId w:val="1"/>
        </w:numPr>
        <w:tabs>
          <w:tab w:val="left" w:pos="720"/>
        </w:tabs>
        <w:ind w:left="720" w:hanging="720"/>
        <w:jc w:val="left"/>
        <w:rPr>
          <w:rFonts w:ascii="CG Times" w:hAnsi="CG Times" w:cs="CG Times"/>
          <w:b/>
          <w:bCs/>
        </w:rPr>
      </w:pPr>
      <w:r>
        <w:rPr>
          <w:rFonts w:ascii="CG Times" w:hAnsi="CG Times" w:cs="CG Times"/>
          <w:b/>
          <w:bCs/>
          <w:u w:val="single"/>
        </w:rPr>
        <w:t>PLANS FOR TABULATION, STATISTICAL ANALYSIS AND PUBLICATION</w:t>
      </w:r>
    </w:p>
    <w:p w:rsidR="009A4E05" w14:paraId="3EB4F91D" w14:textId="77777777">
      <w:pPr>
        <w:numPr>
          <w:ilvl w:val="12"/>
          <w:numId w:val="0"/>
        </w:numPr>
        <w:rPr>
          <w:rFonts w:ascii="CG Times" w:hAnsi="CG Times" w:cs="CG Times"/>
          <w:bCs/>
          <w:sz w:val="24"/>
          <w:szCs w:val="24"/>
        </w:rPr>
      </w:pPr>
    </w:p>
    <w:p w:rsidR="009A4E05" w:rsidRPr="00DB64B7" w14:paraId="3FC5B1B7" w14:textId="5B43A543">
      <w:pPr>
        <w:ind w:left="720"/>
        <w:rPr>
          <w:rFonts w:ascii="Times New Roman" w:hAnsi="Times New Roman" w:cs="Times New Roman"/>
          <w:bCs/>
          <w:sz w:val="24"/>
          <w:szCs w:val="24"/>
        </w:rPr>
      </w:pPr>
      <w:r w:rsidRPr="00DB64B7">
        <w:rPr>
          <w:rFonts w:ascii="Times New Roman" w:hAnsi="Times New Roman" w:cs="Times New Roman"/>
          <w:bCs/>
          <w:sz w:val="24"/>
          <w:szCs w:val="24"/>
        </w:rPr>
        <w:t>There are no plans for tabulation, statistical analysis, and publication.</w:t>
      </w:r>
    </w:p>
    <w:p w:rsidR="009A4E05" w14:paraId="1E3F8DB4" w14:textId="77777777">
      <w:pPr>
        <w:numPr>
          <w:ilvl w:val="12"/>
          <w:numId w:val="0"/>
        </w:numPr>
        <w:rPr>
          <w:rFonts w:ascii="CG Times" w:hAnsi="CG Times" w:cs="CG Times"/>
          <w:bCs/>
          <w:sz w:val="24"/>
          <w:szCs w:val="24"/>
        </w:rPr>
      </w:pPr>
    </w:p>
    <w:p w:rsidR="009A4E05" w14:paraId="072BEC2A" w14:textId="77777777">
      <w:pPr>
        <w:pStyle w:val="Level1"/>
        <w:numPr>
          <w:ilvl w:val="0"/>
          <w:numId w:val="1"/>
        </w:numPr>
        <w:tabs>
          <w:tab w:val="left" w:pos="720"/>
        </w:tabs>
        <w:ind w:left="720" w:hanging="720"/>
        <w:jc w:val="left"/>
        <w:rPr>
          <w:rFonts w:ascii="CG Times" w:hAnsi="CG Times" w:cs="CG Times"/>
          <w:b/>
          <w:bCs/>
        </w:rPr>
      </w:pPr>
      <w:r>
        <w:rPr>
          <w:rFonts w:ascii="CG Times" w:hAnsi="CG Times" w:cs="CG Times"/>
          <w:b/>
          <w:bCs/>
          <w:u w:val="single"/>
        </w:rPr>
        <w:t>REASONS WHY DISPLAYING THE OMB EXPIRATION DATE IS INAPPROPRIATE</w:t>
      </w:r>
    </w:p>
    <w:p w:rsidR="009A4E05" w14:paraId="3B0FBC75" w14:textId="77777777">
      <w:pPr>
        <w:numPr>
          <w:ilvl w:val="12"/>
          <w:numId w:val="0"/>
        </w:numPr>
        <w:rPr>
          <w:rFonts w:ascii="CG Times" w:hAnsi="CG Times" w:cs="CG Times"/>
          <w:bCs/>
          <w:sz w:val="24"/>
          <w:szCs w:val="24"/>
        </w:rPr>
      </w:pPr>
    </w:p>
    <w:p w:rsidR="00D91CAF" w:rsidP="00AB7182" w14:paraId="7753130D" w14:textId="0199517E">
      <w:pPr>
        <w:numPr>
          <w:ilvl w:val="12"/>
          <w:numId w:val="0"/>
        </w:numPr>
        <w:ind w:left="720"/>
        <w:rPr>
          <w:rFonts w:ascii="CG Times" w:hAnsi="CG Times" w:cs="CG Times"/>
          <w:bCs/>
          <w:sz w:val="24"/>
          <w:szCs w:val="24"/>
        </w:rPr>
      </w:pPr>
      <w:r>
        <w:rPr>
          <w:rFonts w:ascii="Times New Roman" w:hAnsi="Times New Roman" w:cs="Times New Roman"/>
          <w:bCs/>
          <w:sz w:val="24"/>
          <w:szCs w:val="24"/>
        </w:rPr>
        <w:t xml:space="preserve">The </w:t>
      </w:r>
      <w:r w:rsidRPr="00DB64B7" w:rsidR="007819FB">
        <w:rPr>
          <w:rFonts w:ascii="Times New Roman" w:hAnsi="Times New Roman" w:cs="Times New Roman"/>
          <w:bCs/>
          <w:sz w:val="24"/>
          <w:szCs w:val="24"/>
        </w:rPr>
        <w:t>IRS believes that displaying the OMB expiration date is inappropriate because it could cause confusion by leading taxpayers to believe that the regulation</w:t>
      </w:r>
      <w:r>
        <w:rPr>
          <w:rFonts w:ascii="Times New Roman" w:hAnsi="Times New Roman" w:cs="Times New Roman"/>
          <w:bCs/>
          <w:sz w:val="24"/>
          <w:szCs w:val="24"/>
        </w:rPr>
        <w:t>s</w:t>
      </w:r>
      <w:r w:rsidRPr="00DB64B7" w:rsidR="007819FB">
        <w:rPr>
          <w:rFonts w:ascii="Times New Roman" w:hAnsi="Times New Roman" w:cs="Times New Roman"/>
          <w:bCs/>
          <w:sz w:val="24"/>
          <w:szCs w:val="24"/>
        </w:rPr>
        <w:t xml:space="preserve"> </w:t>
      </w:r>
      <w:r>
        <w:rPr>
          <w:rFonts w:ascii="Times New Roman" w:hAnsi="Times New Roman" w:cs="Times New Roman"/>
          <w:bCs/>
          <w:sz w:val="24"/>
          <w:szCs w:val="24"/>
        </w:rPr>
        <w:t>expire</w:t>
      </w:r>
      <w:r w:rsidRPr="00DB64B7" w:rsidR="007819FB">
        <w:rPr>
          <w:rFonts w:ascii="Times New Roman" w:hAnsi="Times New Roman" w:cs="Times New Roman"/>
          <w:bCs/>
          <w:sz w:val="24"/>
          <w:szCs w:val="24"/>
        </w:rPr>
        <w:t xml:space="preserve"> as of the expiration date. Taxpayers are not likely to be aware that the </w:t>
      </w:r>
      <w:r w:rsidRPr="00DB64B7" w:rsidR="00DB64B7">
        <w:rPr>
          <w:rFonts w:ascii="Times New Roman" w:hAnsi="Times New Roman" w:cs="Times New Roman"/>
          <w:bCs/>
          <w:sz w:val="24"/>
          <w:szCs w:val="24"/>
        </w:rPr>
        <w:t>IRS</w:t>
      </w:r>
      <w:r w:rsidRPr="00DB64B7" w:rsidR="007819FB">
        <w:rPr>
          <w:rFonts w:ascii="Times New Roman" w:hAnsi="Times New Roman" w:cs="Times New Roman"/>
          <w:bCs/>
          <w:sz w:val="24"/>
          <w:szCs w:val="24"/>
        </w:rPr>
        <w:t xml:space="preserve"> intends to request renewal of the OMB approval and obtain a new expiration date before the old one expires.</w:t>
      </w:r>
    </w:p>
    <w:p w:rsidR="00D91CAF" w14:paraId="59D6AA53" w14:textId="77777777">
      <w:pPr>
        <w:numPr>
          <w:ilvl w:val="12"/>
          <w:numId w:val="0"/>
        </w:numPr>
        <w:rPr>
          <w:rFonts w:ascii="CG Times" w:hAnsi="CG Times" w:cs="CG Times"/>
          <w:bCs/>
          <w:sz w:val="24"/>
          <w:szCs w:val="24"/>
        </w:rPr>
      </w:pPr>
    </w:p>
    <w:p w:rsidR="009A4E05" w14:paraId="4C2DF5EF" w14:textId="115CB51A">
      <w:pPr>
        <w:pStyle w:val="Level1"/>
        <w:numPr>
          <w:ilvl w:val="0"/>
          <w:numId w:val="1"/>
        </w:numPr>
        <w:tabs>
          <w:tab w:val="left" w:pos="720"/>
        </w:tabs>
        <w:ind w:left="720" w:hanging="720"/>
        <w:jc w:val="left"/>
        <w:rPr>
          <w:rFonts w:ascii="CG Times" w:hAnsi="CG Times" w:cs="CG Times"/>
          <w:b/>
          <w:bCs/>
        </w:rPr>
      </w:pPr>
      <w:r>
        <w:rPr>
          <w:rFonts w:ascii="CG Times" w:hAnsi="CG Times" w:cs="CG Times"/>
          <w:b/>
          <w:bCs/>
          <w:u w:val="single"/>
        </w:rPr>
        <w:t xml:space="preserve">EXCEPTIONS TO THE CERTIFICATION STATEMENT </w:t>
      </w:r>
    </w:p>
    <w:p w:rsidR="009A4E05" w14:paraId="1A40BFAC" w14:textId="77777777">
      <w:pPr>
        <w:numPr>
          <w:ilvl w:val="12"/>
          <w:numId w:val="0"/>
        </w:numPr>
        <w:rPr>
          <w:rFonts w:ascii="CG Times" w:hAnsi="CG Times" w:cs="CG Times"/>
          <w:bCs/>
          <w:sz w:val="24"/>
          <w:szCs w:val="24"/>
        </w:rPr>
      </w:pPr>
    </w:p>
    <w:p w:rsidR="009A4E05" w:rsidRPr="00DB64B7" w14:paraId="4105E7E6" w14:textId="77777777">
      <w:pPr>
        <w:numPr>
          <w:ilvl w:val="12"/>
          <w:numId w:val="0"/>
        </w:numPr>
        <w:ind w:left="720"/>
        <w:rPr>
          <w:rFonts w:ascii="Times New Roman" w:hAnsi="Times New Roman" w:cs="Times New Roman"/>
          <w:bCs/>
          <w:sz w:val="24"/>
          <w:szCs w:val="24"/>
        </w:rPr>
      </w:pPr>
      <w:r w:rsidRPr="00DB64B7">
        <w:rPr>
          <w:rFonts w:ascii="Times New Roman" w:hAnsi="Times New Roman" w:cs="Times New Roman"/>
          <w:bCs/>
          <w:sz w:val="24"/>
          <w:szCs w:val="24"/>
        </w:rPr>
        <w:t>There are no exceptions to the certification statement.</w:t>
      </w:r>
    </w:p>
    <w:p w:rsidR="009A4E05" w:rsidRPr="00DB64B7" w14:paraId="1A9E4829" w14:textId="77777777">
      <w:pPr>
        <w:numPr>
          <w:ilvl w:val="12"/>
          <w:numId w:val="0"/>
        </w:numPr>
        <w:ind w:left="720"/>
        <w:rPr>
          <w:rFonts w:ascii="Times New Roman" w:hAnsi="Times New Roman" w:cs="Times New Roman"/>
          <w:bCs/>
          <w:sz w:val="24"/>
          <w:szCs w:val="24"/>
        </w:rPr>
      </w:pPr>
    </w:p>
    <w:p w:rsidR="009A4E05" w:rsidRPr="00DB64B7" w:rsidP="00A13362" w14:paraId="037F8169" w14:textId="0C9C6D32">
      <w:pPr>
        <w:numPr>
          <w:ilvl w:val="12"/>
          <w:numId w:val="0"/>
        </w:numPr>
        <w:tabs>
          <w:tab w:val="left" w:pos="720"/>
        </w:tabs>
        <w:rPr>
          <w:rFonts w:ascii="Times New Roman" w:hAnsi="Times New Roman" w:cs="Times New Roman"/>
          <w:bCs/>
          <w:sz w:val="24"/>
          <w:szCs w:val="24"/>
        </w:rPr>
      </w:pPr>
    </w:p>
    <w:sectPr w:rsidSect="00D91CAF">
      <w:headerReference w:type="even" r:id="rId5"/>
      <w:headerReference w:type="default" r:id="rId6"/>
      <w:footerReference w:type="even" r:id="rId7"/>
      <w:footerReference w:type="default" r:id="rId8"/>
      <w:headerReference w:type="first" r:id="rId9"/>
      <w:footerReference w:type="first" r:id="rId10"/>
      <w:type w:val="continuous"/>
      <w:pgSz w:w="12240" w:h="15840"/>
      <w:pgMar w:top="1440" w:right="1440" w:bottom="2070" w:left="1440" w:header="720" w:footer="720"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A4E05" w14:paraId="35567FE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A4E05" w14:paraId="7E3D99F0" w14:textId="77777777">
    <w:pPr>
      <w:pStyle w:val="Footer"/>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noProof/>
        <w:sz w:val="24"/>
        <w:szCs w:val="24"/>
      </w:rPr>
      <w:t>2</w:t>
    </w:r>
    <w:r>
      <w:rPr>
        <w:rFonts w:ascii="Times New Roman" w:hAnsi="Times New Roman" w:cs="Times New Roman"/>
        <w:noProof/>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A4E05" w14:paraId="01827740" w14:textId="77777777">
    <w:pPr>
      <w:pStyle w:val="Footer"/>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noProof/>
        <w:sz w:val="24"/>
        <w:szCs w:val="24"/>
      </w:rPr>
      <w:t>1</w:t>
    </w:r>
    <w:r>
      <w:rPr>
        <w:rFonts w:ascii="Times New Roman" w:hAnsi="Times New Roman" w:cs="Times New Roman"/>
        <w:noProof/>
        <w:sz w:val="24"/>
        <w:szCs w:val="24"/>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A4E05" w14:paraId="0F153F6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A4E05" w14:paraId="19A1EC49"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A4E05" w14:paraId="2A56A52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9787BD2"/>
    <w:multiLevelType w:val="hybridMultilevel"/>
    <w:tmpl w:val="D44021DC"/>
    <w:lvl w:ilvl="0">
      <w:start w:val="1"/>
      <w:numFmt w:val="bullet"/>
      <w:lvlText w:val=""/>
      <w:lvlJc w:val="left"/>
      <w:pPr>
        <w:ind w:left="1500" w:hanging="360"/>
      </w:pPr>
      <w:rPr>
        <w:rFonts w:ascii="Symbol" w:hAnsi="Symbol" w:hint="default"/>
      </w:rPr>
    </w:lvl>
    <w:lvl w:ilvl="1" w:tentative="1">
      <w:start w:val="1"/>
      <w:numFmt w:val="bullet"/>
      <w:lvlText w:val="o"/>
      <w:lvlJc w:val="left"/>
      <w:pPr>
        <w:ind w:left="2220" w:hanging="360"/>
      </w:pPr>
      <w:rPr>
        <w:rFonts w:ascii="Courier New" w:hAnsi="Courier New" w:cs="Courier New" w:hint="default"/>
      </w:rPr>
    </w:lvl>
    <w:lvl w:ilvl="2" w:tentative="1">
      <w:start w:val="1"/>
      <w:numFmt w:val="bullet"/>
      <w:lvlText w:val=""/>
      <w:lvlJc w:val="left"/>
      <w:pPr>
        <w:ind w:left="2940" w:hanging="360"/>
      </w:pPr>
      <w:rPr>
        <w:rFonts w:ascii="Wingdings" w:hAnsi="Wingdings" w:hint="default"/>
      </w:rPr>
    </w:lvl>
    <w:lvl w:ilvl="3" w:tentative="1">
      <w:start w:val="1"/>
      <w:numFmt w:val="bullet"/>
      <w:lvlText w:val=""/>
      <w:lvlJc w:val="left"/>
      <w:pPr>
        <w:ind w:left="3660" w:hanging="360"/>
      </w:pPr>
      <w:rPr>
        <w:rFonts w:ascii="Symbol" w:hAnsi="Symbol" w:hint="default"/>
      </w:rPr>
    </w:lvl>
    <w:lvl w:ilvl="4" w:tentative="1">
      <w:start w:val="1"/>
      <w:numFmt w:val="bullet"/>
      <w:lvlText w:val="o"/>
      <w:lvlJc w:val="left"/>
      <w:pPr>
        <w:ind w:left="4380" w:hanging="360"/>
      </w:pPr>
      <w:rPr>
        <w:rFonts w:ascii="Courier New" w:hAnsi="Courier New" w:cs="Courier New" w:hint="default"/>
      </w:rPr>
    </w:lvl>
    <w:lvl w:ilvl="5" w:tentative="1">
      <w:start w:val="1"/>
      <w:numFmt w:val="bullet"/>
      <w:lvlText w:val=""/>
      <w:lvlJc w:val="left"/>
      <w:pPr>
        <w:ind w:left="5100" w:hanging="360"/>
      </w:pPr>
      <w:rPr>
        <w:rFonts w:ascii="Wingdings" w:hAnsi="Wingdings" w:hint="default"/>
      </w:rPr>
    </w:lvl>
    <w:lvl w:ilvl="6" w:tentative="1">
      <w:start w:val="1"/>
      <w:numFmt w:val="bullet"/>
      <w:lvlText w:val=""/>
      <w:lvlJc w:val="left"/>
      <w:pPr>
        <w:ind w:left="5820" w:hanging="360"/>
      </w:pPr>
      <w:rPr>
        <w:rFonts w:ascii="Symbol" w:hAnsi="Symbol" w:hint="default"/>
      </w:rPr>
    </w:lvl>
    <w:lvl w:ilvl="7" w:tentative="1">
      <w:start w:val="1"/>
      <w:numFmt w:val="bullet"/>
      <w:lvlText w:val="o"/>
      <w:lvlJc w:val="left"/>
      <w:pPr>
        <w:ind w:left="6540" w:hanging="360"/>
      </w:pPr>
      <w:rPr>
        <w:rFonts w:ascii="Courier New" w:hAnsi="Courier New" w:cs="Courier New" w:hint="default"/>
      </w:rPr>
    </w:lvl>
    <w:lvl w:ilvl="8" w:tentative="1">
      <w:start w:val="1"/>
      <w:numFmt w:val="bullet"/>
      <w:lvlText w:val=""/>
      <w:lvlJc w:val="left"/>
      <w:pPr>
        <w:ind w:left="7260" w:hanging="360"/>
      </w:pPr>
      <w:rPr>
        <w:rFonts w:ascii="Wingdings" w:hAnsi="Wingdings" w:hint="default"/>
      </w:rPr>
    </w:lvl>
  </w:abstractNum>
  <w:abstractNum w:abstractNumId="1">
    <w:nsid w:val="483D7D8E"/>
    <w:multiLevelType w:val="singleLevel"/>
    <w:tmpl w:val="ED289966"/>
    <w:lvl w:ilvl="0">
      <w:start w:val="1"/>
      <w:numFmt w:val="decimal"/>
      <w:lvlText w:val="%1."/>
      <w:legacy w:legacy="1" w:legacySpace="0" w:legacyIndent="1"/>
      <w:lvlJc w:val="left"/>
      <w:pPr>
        <w:ind w:left="1" w:hanging="1"/>
      </w:pPr>
      <w:rPr>
        <w:rFonts w:ascii="CG Times" w:hAnsi="CG Times" w:cs="CG Times" w:hint="default"/>
      </w:rPr>
    </w:lvl>
  </w:abstractNum>
  <w:num w:numId="1" w16cid:durableId="355814586">
    <w:abstractNumId w:val="1"/>
  </w:num>
  <w:num w:numId="2" w16cid:durableId="1567954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93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E05"/>
    <w:rsid w:val="00007590"/>
    <w:rsid w:val="000429AC"/>
    <w:rsid w:val="00082B1E"/>
    <w:rsid w:val="00090846"/>
    <w:rsid w:val="00091EF8"/>
    <w:rsid w:val="00096590"/>
    <w:rsid w:val="00096F3F"/>
    <w:rsid w:val="000C5EEF"/>
    <w:rsid w:val="000E459A"/>
    <w:rsid w:val="000F0F81"/>
    <w:rsid w:val="00113EAD"/>
    <w:rsid w:val="001300A4"/>
    <w:rsid w:val="0014334E"/>
    <w:rsid w:val="00185852"/>
    <w:rsid w:val="001A0BB9"/>
    <w:rsid w:val="001A26FC"/>
    <w:rsid w:val="001E69C6"/>
    <w:rsid w:val="001F18AA"/>
    <w:rsid w:val="001F3FE9"/>
    <w:rsid w:val="00202B25"/>
    <w:rsid w:val="002724A5"/>
    <w:rsid w:val="00284F2C"/>
    <w:rsid w:val="00292D36"/>
    <w:rsid w:val="002E0737"/>
    <w:rsid w:val="00321782"/>
    <w:rsid w:val="00325554"/>
    <w:rsid w:val="003419E8"/>
    <w:rsid w:val="00383C2C"/>
    <w:rsid w:val="0039357E"/>
    <w:rsid w:val="003C0D7B"/>
    <w:rsid w:val="003D7BCF"/>
    <w:rsid w:val="003E4207"/>
    <w:rsid w:val="003E4F04"/>
    <w:rsid w:val="0042151F"/>
    <w:rsid w:val="004360C8"/>
    <w:rsid w:val="00436918"/>
    <w:rsid w:val="004605F8"/>
    <w:rsid w:val="004640AD"/>
    <w:rsid w:val="0047251E"/>
    <w:rsid w:val="0048010D"/>
    <w:rsid w:val="004C0D49"/>
    <w:rsid w:val="004E46E4"/>
    <w:rsid w:val="00502507"/>
    <w:rsid w:val="005144C7"/>
    <w:rsid w:val="005170D3"/>
    <w:rsid w:val="005238DF"/>
    <w:rsid w:val="005621FD"/>
    <w:rsid w:val="00567591"/>
    <w:rsid w:val="00567AE8"/>
    <w:rsid w:val="00580632"/>
    <w:rsid w:val="005842F5"/>
    <w:rsid w:val="005C0B17"/>
    <w:rsid w:val="005F6F02"/>
    <w:rsid w:val="0060129B"/>
    <w:rsid w:val="00617BD8"/>
    <w:rsid w:val="00617F8B"/>
    <w:rsid w:val="00620AB0"/>
    <w:rsid w:val="006226B1"/>
    <w:rsid w:val="00655A9E"/>
    <w:rsid w:val="00661DA7"/>
    <w:rsid w:val="00681620"/>
    <w:rsid w:val="00687ACF"/>
    <w:rsid w:val="0069382E"/>
    <w:rsid w:val="006A6CAF"/>
    <w:rsid w:val="006B51F1"/>
    <w:rsid w:val="006C1994"/>
    <w:rsid w:val="006C3FCC"/>
    <w:rsid w:val="006C63F8"/>
    <w:rsid w:val="006E5B32"/>
    <w:rsid w:val="0071687C"/>
    <w:rsid w:val="00734DB1"/>
    <w:rsid w:val="00743F4F"/>
    <w:rsid w:val="007819FB"/>
    <w:rsid w:val="00791B32"/>
    <w:rsid w:val="007958D9"/>
    <w:rsid w:val="007B2066"/>
    <w:rsid w:val="007B564D"/>
    <w:rsid w:val="007C7B92"/>
    <w:rsid w:val="007F093B"/>
    <w:rsid w:val="0080687A"/>
    <w:rsid w:val="00821E40"/>
    <w:rsid w:val="00833AF9"/>
    <w:rsid w:val="00835BF4"/>
    <w:rsid w:val="00847563"/>
    <w:rsid w:val="00847D7C"/>
    <w:rsid w:val="008607C8"/>
    <w:rsid w:val="00866872"/>
    <w:rsid w:val="008A738D"/>
    <w:rsid w:val="008B0D1D"/>
    <w:rsid w:val="008C6038"/>
    <w:rsid w:val="009175F0"/>
    <w:rsid w:val="009769D8"/>
    <w:rsid w:val="00982744"/>
    <w:rsid w:val="009975D7"/>
    <w:rsid w:val="009A27E8"/>
    <w:rsid w:val="009A4E05"/>
    <w:rsid w:val="009B73F9"/>
    <w:rsid w:val="009C07AA"/>
    <w:rsid w:val="009C106B"/>
    <w:rsid w:val="009D093A"/>
    <w:rsid w:val="009D6A6F"/>
    <w:rsid w:val="00A13362"/>
    <w:rsid w:val="00A5642F"/>
    <w:rsid w:val="00A80FFF"/>
    <w:rsid w:val="00AB3DFD"/>
    <w:rsid w:val="00AB7182"/>
    <w:rsid w:val="00AC17DB"/>
    <w:rsid w:val="00AC1AC1"/>
    <w:rsid w:val="00AF76B1"/>
    <w:rsid w:val="00B10F98"/>
    <w:rsid w:val="00B25C07"/>
    <w:rsid w:val="00B36C35"/>
    <w:rsid w:val="00B60670"/>
    <w:rsid w:val="00B67BC9"/>
    <w:rsid w:val="00B731B2"/>
    <w:rsid w:val="00B84283"/>
    <w:rsid w:val="00B87FB4"/>
    <w:rsid w:val="00B93D3B"/>
    <w:rsid w:val="00BA4C35"/>
    <w:rsid w:val="00BD4FD8"/>
    <w:rsid w:val="00C0607B"/>
    <w:rsid w:val="00C238E9"/>
    <w:rsid w:val="00C244E4"/>
    <w:rsid w:val="00C27C81"/>
    <w:rsid w:val="00C364B6"/>
    <w:rsid w:val="00C440D1"/>
    <w:rsid w:val="00C443F7"/>
    <w:rsid w:val="00C74A11"/>
    <w:rsid w:val="00C77A57"/>
    <w:rsid w:val="00C86FEB"/>
    <w:rsid w:val="00C95E14"/>
    <w:rsid w:val="00CB0844"/>
    <w:rsid w:val="00CB39B2"/>
    <w:rsid w:val="00CB6A0A"/>
    <w:rsid w:val="00CC2CA3"/>
    <w:rsid w:val="00CC66F5"/>
    <w:rsid w:val="00CD2692"/>
    <w:rsid w:val="00CD3BB3"/>
    <w:rsid w:val="00CD7E22"/>
    <w:rsid w:val="00CE2218"/>
    <w:rsid w:val="00CF5145"/>
    <w:rsid w:val="00D40A61"/>
    <w:rsid w:val="00D754CB"/>
    <w:rsid w:val="00D91CAF"/>
    <w:rsid w:val="00DB53B4"/>
    <w:rsid w:val="00DB64B7"/>
    <w:rsid w:val="00DE402E"/>
    <w:rsid w:val="00DF622C"/>
    <w:rsid w:val="00E141B8"/>
    <w:rsid w:val="00E24F0F"/>
    <w:rsid w:val="00E4056D"/>
    <w:rsid w:val="00E40AA4"/>
    <w:rsid w:val="00E416AA"/>
    <w:rsid w:val="00E85027"/>
    <w:rsid w:val="00E85B7A"/>
    <w:rsid w:val="00EE1394"/>
    <w:rsid w:val="00F12036"/>
    <w:rsid w:val="00F14AAD"/>
    <w:rsid w:val="00F23DDE"/>
    <w:rsid w:val="00F579D6"/>
    <w:rsid w:val="00F63F6F"/>
    <w:rsid w:val="00F703B0"/>
    <w:rsid w:val="00FC0F29"/>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14:defaultImageDpi w14:val="96"/>
  <w14:docId w14:val="2170870C"/>
  <w15:docId w15:val="{26F466A7-FFAE-40BB-8EBE-CF9CBB458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adjustRightInd w:val="0"/>
    </w:pPr>
    <w:rPr>
      <w:rFonts w:ascii="Courier" w:hAnsi="Courier" w:cs="Courie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uiPriority w:val="99"/>
    <w:pPr>
      <w:widowControl w:val="0"/>
      <w:autoSpaceDE w:val="0"/>
      <w:autoSpaceDN w:val="0"/>
      <w:adjustRightInd w:val="0"/>
      <w:ind w:left="720"/>
      <w:jc w:val="both"/>
    </w:pPr>
    <w:rPr>
      <w:rFonts w:ascii="Courier" w:hAnsi="Courier" w:cs="Courier"/>
      <w:sz w:val="24"/>
      <w:szCs w:val="24"/>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link w:val="Header"/>
    <w:uiPriority w:val="99"/>
    <w:rPr>
      <w:rFonts w:ascii="Courier" w:hAnsi="Courier" w:cs="Courier"/>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rFonts w:ascii="Courier" w:hAnsi="Courier" w:cs="Courier"/>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style>
  <w:style w:type="character" w:customStyle="1" w:styleId="CommentTextChar">
    <w:name w:val="Comment Text Char"/>
    <w:link w:val="CommentText"/>
    <w:uiPriority w:val="99"/>
    <w:rPr>
      <w:rFonts w:ascii="Courier" w:hAnsi="Courier" w:cs="Courier"/>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Courier" w:hAnsi="Courier" w:cs="Courier"/>
      <w:b/>
      <w:bCs/>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Revision">
    <w:name w:val="Revision"/>
    <w:hidden/>
    <w:uiPriority w:val="99"/>
    <w:semiHidden/>
    <w:rPr>
      <w:rFonts w:ascii="Courier" w:hAnsi="Courier" w:cs="Courier"/>
    </w:rPr>
  </w:style>
  <w:style w:type="character" w:styleId="FollowedHyperlink">
    <w:name w:val="FollowedHyperlink"/>
    <w:basedOn w:val="DefaultParagraphFont"/>
    <w:uiPriority w:val="99"/>
    <w:semiHidden/>
    <w:unhideWhenUsed/>
    <w:rsid w:val="006C3FCC"/>
    <w:rPr>
      <w:color w:val="954F72" w:themeColor="followedHyperlink"/>
      <w:u w:val="single"/>
    </w:rPr>
  </w:style>
  <w:style w:type="paragraph" w:styleId="ListParagraph">
    <w:name w:val="List Paragraph"/>
    <w:basedOn w:val="Normal"/>
    <w:uiPriority w:val="34"/>
    <w:qFormat/>
    <w:rsid w:val="00B25C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www.irs.gov/uac/Privacy-Impact-Assessments-PIA" TargetMode="Externa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2372b85-8802-490c-b196-7b96c73fee3b}" enabled="0" method="" siteId="{f2372b85-8802-490c-b196-7b96c73fee3b}"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4</Pages>
  <Words>1081</Words>
  <Characters>6166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 R. Callahan</dc:creator>
  <cp:lastModifiedBy>Jon R. Callahan</cp:lastModifiedBy>
  <cp:revision>3</cp:revision>
  <cp:lastPrinted>2014-01-27T21:39:00Z</cp:lastPrinted>
  <dcterms:created xsi:type="dcterms:W3CDTF">2026-08-27T17:40:00Z</dcterms:created>
  <dcterms:modified xsi:type="dcterms:W3CDTF">2026-08-27T17:40:00Z</dcterms:modified>
</cp:coreProperties>
</file>