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E622CD" w:rsidP="00E622CD" w14:paraId="28313ACB" w14:textId="77777777">
      <w:pPr>
        <w:pStyle w:val="Heading1"/>
        <w:spacing w:after="120" w:line="276" w:lineRule="auto"/>
        <w:rPr>
          <w:rFonts w:asciiTheme="minorHAnsi" w:hAnsiTheme="minorHAnsi" w:cstheme="minorHAnsi"/>
          <w:b/>
          <w:bCs/>
          <w:sz w:val="22"/>
          <w:szCs w:val="22"/>
        </w:rPr>
      </w:pPr>
      <w:r w:rsidRPr="00E622CD">
        <w:rPr>
          <w:rFonts w:asciiTheme="minorHAnsi" w:hAnsiTheme="minorHAnsi" w:cstheme="minorHAnsi"/>
          <w:b/>
          <w:bCs/>
          <w:sz w:val="22"/>
          <w:szCs w:val="22"/>
        </w:rPr>
        <w:t>SUPPORTING STATEMENT</w:t>
      </w:r>
      <w:r w:rsidR="00E86F11">
        <w:rPr>
          <w:rFonts w:asciiTheme="minorHAnsi" w:hAnsiTheme="minorHAnsi" w:cstheme="minorHAnsi"/>
          <w:b/>
          <w:bCs/>
          <w:sz w:val="22"/>
          <w:szCs w:val="22"/>
        </w:rPr>
        <w:t xml:space="preserve"> </w:t>
      </w:r>
      <w:r w:rsidRPr="00E622CD">
        <w:rPr>
          <w:rFonts w:asciiTheme="minorHAnsi" w:hAnsiTheme="minorHAnsi" w:cstheme="minorHAnsi"/>
          <w:b/>
          <w:bCs/>
          <w:sz w:val="22"/>
          <w:szCs w:val="22"/>
        </w:rPr>
        <w:t>FOR PAPERWORK REDUCTION ACT SUBMISSION</w:t>
      </w:r>
    </w:p>
    <w:p w:rsidR="00095A89" w:rsidRPr="00095A89" w:rsidP="00095A89" w14:paraId="03A9556B" w14:textId="77777777">
      <w:pPr>
        <w:pStyle w:val="Title"/>
        <w:numPr>
          <w:ilvl w:val="0"/>
          <w:numId w:val="10"/>
        </w:numPr>
        <w:spacing w:before="0" w:after="200" w:line="276" w:lineRule="auto"/>
        <w:jc w:val="left"/>
        <w:rPr>
          <w:rFonts w:ascii="Calibri" w:hAnsi="Calibri"/>
          <w:b w:val="0"/>
          <w:bCs/>
          <w:sz w:val="22"/>
          <w:szCs w:val="22"/>
        </w:rPr>
      </w:pPr>
      <w:r w:rsidRPr="00095A89">
        <w:rPr>
          <w:rFonts w:ascii="Calibri" w:hAnsi="Calibri"/>
          <w:b w:val="0"/>
          <w:bCs/>
          <w:sz w:val="22"/>
          <w:szCs w:val="22"/>
        </w:rPr>
        <w:t>Direct Subsidized Loan and Direct Unsubsidized Loan Master Promissory Note</w:t>
      </w:r>
    </w:p>
    <w:p w:rsidR="00095A89" w:rsidRPr="00095A89" w:rsidP="00095A89" w14:paraId="123E8AEB" w14:textId="77777777">
      <w:pPr>
        <w:pStyle w:val="Title"/>
        <w:numPr>
          <w:ilvl w:val="0"/>
          <w:numId w:val="10"/>
        </w:numPr>
        <w:spacing w:before="0" w:after="200" w:line="276" w:lineRule="auto"/>
        <w:jc w:val="left"/>
        <w:rPr>
          <w:rFonts w:ascii="Calibri" w:hAnsi="Calibri"/>
          <w:b w:val="0"/>
          <w:bCs/>
          <w:sz w:val="22"/>
          <w:szCs w:val="22"/>
        </w:rPr>
      </w:pPr>
      <w:r w:rsidRPr="00095A89">
        <w:rPr>
          <w:rFonts w:ascii="Calibri" w:hAnsi="Calibri"/>
          <w:b w:val="0"/>
          <w:bCs/>
          <w:sz w:val="22"/>
          <w:szCs w:val="22"/>
        </w:rPr>
        <w:t>Direct PLUS Loan Master Promissory Note and Direct PLUS Loan Endorser Addendum</w:t>
      </w:r>
    </w:p>
    <w:p w:rsidR="00095A89" w:rsidRPr="00095A89" w:rsidP="00095A89" w14:paraId="046410D2" w14:textId="77777777">
      <w:pPr>
        <w:pStyle w:val="Title"/>
        <w:numPr>
          <w:ilvl w:val="0"/>
          <w:numId w:val="10"/>
        </w:numPr>
        <w:spacing w:before="0" w:after="200" w:line="276" w:lineRule="auto"/>
        <w:jc w:val="left"/>
        <w:rPr>
          <w:rFonts w:ascii="Calibri" w:hAnsi="Calibri"/>
          <w:b w:val="0"/>
          <w:bCs/>
          <w:sz w:val="22"/>
          <w:szCs w:val="22"/>
        </w:rPr>
      </w:pPr>
      <w:r w:rsidRPr="00095A89">
        <w:rPr>
          <w:rFonts w:ascii="Calibri" w:hAnsi="Calibri"/>
          <w:b w:val="0"/>
          <w:bCs/>
          <w:sz w:val="22"/>
          <w:szCs w:val="22"/>
        </w:rPr>
        <w:t>Direct Consolidation Loan Application and Promissory Note and Related Forms</w:t>
      </w:r>
    </w:p>
    <w:p w:rsidR="00EA1767" w:rsidRPr="00E622CD" w:rsidP="00E622CD" w14:paraId="0DE60BA7" w14:textId="77777777">
      <w:pPr>
        <w:pStyle w:val="ListParagraph"/>
        <w:numPr>
          <w:ilvl w:val="0"/>
          <w:numId w:val="4"/>
        </w:numPr>
        <w:suppressAutoHyphens/>
        <w:spacing w:after="120" w:line="276" w:lineRule="auto"/>
        <w:contextualSpacing w:val="0"/>
        <w:rPr>
          <w:rFonts w:asciiTheme="minorHAnsi" w:hAnsiTheme="minorHAnsi" w:cstheme="minorHAnsi"/>
          <w:b/>
          <w:sz w:val="22"/>
          <w:szCs w:val="22"/>
        </w:rPr>
      </w:pPr>
      <w:r w:rsidRPr="00E622CD">
        <w:rPr>
          <w:rStyle w:val="Heading2Char"/>
          <w:rFonts w:asciiTheme="minorHAnsi" w:hAnsiTheme="minorHAnsi" w:cstheme="minorHAnsi"/>
          <w:color w:val="auto"/>
          <w:sz w:val="22"/>
          <w:szCs w:val="22"/>
        </w:rPr>
        <w:t>Explain the circumstances</w:t>
      </w:r>
      <w:r w:rsidRPr="00E622CD">
        <w:rPr>
          <w:rFonts w:asciiTheme="minorHAnsi" w:hAnsiTheme="minorHAnsi" w:cstheme="minorHAnsi"/>
          <w:b/>
          <w:sz w:val="22"/>
          <w:szCs w:val="22"/>
        </w:rPr>
        <w:t xml:space="preserve"> that make the collection of information necessary. </w:t>
      </w:r>
      <w:r w:rsidRPr="00E622CD" w:rsidR="007C0A4C">
        <w:rPr>
          <w:rFonts w:asciiTheme="minorHAnsi" w:hAnsiTheme="minorHAnsi" w:cstheme="minorHAnsi"/>
          <w:b/>
          <w:sz w:val="22"/>
          <w:szCs w:val="22"/>
        </w:rPr>
        <w:t xml:space="preserve">What is the purpose </w:t>
      </w:r>
      <w:r w:rsidRPr="00E622CD" w:rsidR="007C0A4C">
        <w:rPr>
          <w:rFonts w:asciiTheme="minorHAnsi" w:hAnsiTheme="minorHAnsi" w:cstheme="minorHAnsi"/>
          <w:b/>
          <w:sz w:val="22"/>
          <w:szCs w:val="22"/>
        </w:rPr>
        <w:t>for</w:t>
      </w:r>
      <w:r w:rsidRPr="00E622CD" w:rsidR="007C0A4C">
        <w:rPr>
          <w:rFonts w:asciiTheme="minorHAnsi" w:hAnsiTheme="minorHAnsi" w:cstheme="minorHAnsi"/>
          <w:b/>
          <w:sz w:val="22"/>
          <w:szCs w:val="22"/>
        </w:rPr>
        <w:t xml:space="preserve"> this information collection</w:t>
      </w:r>
      <w:r w:rsidRPr="00E622CD" w:rsidR="006A38F7">
        <w:rPr>
          <w:rFonts w:asciiTheme="minorHAnsi" w:hAnsiTheme="minorHAnsi" w:cstheme="minorHAnsi"/>
          <w:b/>
          <w:sz w:val="22"/>
          <w:szCs w:val="22"/>
        </w:rPr>
        <w: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 xml:space="preserve">Identify any legal or administrative requirements that necessitate the collection. </w:t>
      </w:r>
      <w:r w:rsidRPr="00E622CD" w:rsidR="006A38F7">
        <w:rPr>
          <w:rFonts w:asciiTheme="minorHAnsi" w:hAnsiTheme="minorHAnsi" w:cstheme="minorHAnsi"/>
          <w:b/>
          <w:sz w:val="22"/>
          <w:szCs w:val="22"/>
        </w:rPr>
        <w:t xml:space="preserve">Include a citation that </w:t>
      </w:r>
      <w:r w:rsidRPr="00E622CD">
        <w:rPr>
          <w:rFonts w:asciiTheme="minorHAnsi" w:hAnsiTheme="minorHAnsi" w:cstheme="minorHAnsi"/>
          <w:b/>
          <w:sz w:val="22"/>
          <w:szCs w:val="22"/>
        </w:rPr>
        <w:t>authoriz</w:t>
      </w:r>
      <w:r w:rsidRPr="00E622CD" w:rsidR="006A38F7">
        <w:rPr>
          <w:rFonts w:asciiTheme="minorHAnsi" w:hAnsiTheme="minorHAnsi" w:cstheme="minorHAnsi"/>
          <w:b/>
          <w:sz w:val="22"/>
          <w:szCs w:val="22"/>
        </w:rPr>
        <w:t>es</w:t>
      </w:r>
      <w:r w:rsidRPr="00E622CD">
        <w:rPr>
          <w:rFonts w:asciiTheme="minorHAnsi" w:hAnsiTheme="minorHAnsi" w:cstheme="minorHAnsi"/>
          <w:b/>
          <w:sz w:val="22"/>
          <w:szCs w:val="22"/>
        </w:rPr>
        <w:t xml:space="preserve"> the collection of information</w:t>
      </w:r>
      <w:r w:rsidRPr="00E622CD" w:rsidR="006A38F7">
        <w:rPr>
          <w:rFonts w:asciiTheme="minorHAnsi" w:hAnsiTheme="minorHAnsi" w:cstheme="minorHAnsi"/>
          <w:b/>
          <w:sz w:val="22"/>
          <w:szCs w:val="22"/>
        </w:rPr>
        <w:t>.</w:t>
      </w:r>
      <w:r w:rsidRPr="00E622CD">
        <w:rPr>
          <w:rFonts w:asciiTheme="minorHAnsi" w:hAnsiTheme="minorHAnsi" w:cstheme="minorHAnsi"/>
          <w:b/>
          <w:sz w:val="22"/>
          <w:szCs w:val="22"/>
        </w:rPr>
        <w:t xml:space="preserve"> Specify the review type of the collection (new, revision, extension, reinstatement with change, reinstatement without change). If revised, briefly specify the changes.  If a rulemaking is involved, </w:t>
      </w:r>
      <w:r w:rsidRPr="00E622CD" w:rsidR="006A38F7">
        <w:rPr>
          <w:rFonts w:asciiTheme="minorHAnsi" w:hAnsiTheme="minorHAnsi" w:cstheme="minorHAnsi"/>
          <w:b/>
          <w:sz w:val="22"/>
          <w:szCs w:val="22"/>
        </w:rPr>
        <w:t xml:space="preserve">list </w:t>
      </w:r>
      <w:r w:rsidRPr="00E622CD">
        <w:rPr>
          <w:rFonts w:asciiTheme="minorHAnsi" w:hAnsiTheme="minorHAnsi" w:cstheme="minorHAnsi"/>
          <w:b/>
          <w:sz w:val="22"/>
          <w:szCs w:val="22"/>
        </w:rPr>
        <w:t xml:space="preserve">the sections </w:t>
      </w:r>
      <w:r w:rsidRPr="00E622CD" w:rsidR="006A38F7">
        <w:rPr>
          <w:rFonts w:asciiTheme="minorHAnsi" w:hAnsiTheme="minorHAnsi" w:cstheme="minorHAnsi"/>
          <w:b/>
          <w:sz w:val="22"/>
          <w:szCs w:val="22"/>
        </w:rPr>
        <w:t>with a brief description of the information collection requirement, and/</w:t>
      </w:r>
      <w:r w:rsidRPr="00E622CD">
        <w:rPr>
          <w:rFonts w:asciiTheme="minorHAnsi" w:hAnsiTheme="minorHAnsi" w:cstheme="minorHAnsi"/>
          <w:b/>
          <w:sz w:val="22"/>
          <w:szCs w:val="22"/>
        </w:rPr>
        <w:t>or change</w:t>
      </w:r>
      <w:r w:rsidRPr="00E622CD" w:rsidR="006A38F7">
        <w:rPr>
          <w:rFonts w:asciiTheme="minorHAnsi" w:hAnsiTheme="minorHAnsi" w:cstheme="minorHAnsi"/>
          <w:b/>
          <w:sz w:val="22"/>
          <w:szCs w:val="22"/>
        </w:rPr>
        <w:t>s to</w:t>
      </w:r>
      <w:r w:rsidRPr="00E622CD">
        <w:rPr>
          <w:rFonts w:asciiTheme="minorHAnsi" w:hAnsiTheme="minorHAnsi" w:cstheme="minorHAnsi"/>
          <w:b/>
          <w:sz w:val="22"/>
          <w:szCs w:val="22"/>
        </w:rPr>
        <w:t xml:space="preserve"> sections, if applicable.</w:t>
      </w:r>
    </w:p>
    <w:p w:rsidR="001913FD" w:rsidRPr="00293096" w:rsidP="001913FD" w14:paraId="4D59C475" w14:textId="77777777">
      <w:pPr>
        <w:pStyle w:val="BodyTextIndent"/>
        <w:spacing w:after="200" w:line="276" w:lineRule="auto"/>
        <w:rPr>
          <w:rFonts w:ascii="Calibri" w:hAnsi="Calibri"/>
          <w:i/>
          <w:sz w:val="22"/>
          <w:szCs w:val="22"/>
        </w:rPr>
      </w:pPr>
      <w:r w:rsidRPr="00293096">
        <w:rPr>
          <w:rFonts w:ascii="Calibri" w:hAnsi="Calibri"/>
          <w:i/>
          <w:sz w:val="22"/>
          <w:szCs w:val="22"/>
        </w:rPr>
        <w:t>Direct Subsidized Loan and Direct Unsubsidized Loan Master Promissory Note</w:t>
      </w:r>
      <w:r>
        <w:rPr>
          <w:rFonts w:ascii="Calibri" w:hAnsi="Calibri"/>
          <w:i/>
          <w:sz w:val="22"/>
          <w:szCs w:val="22"/>
        </w:rPr>
        <w:br/>
      </w:r>
      <w:r w:rsidRPr="00293096">
        <w:rPr>
          <w:rFonts w:ascii="Calibri" w:hAnsi="Calibri"/>
          <w:i/>
          <w:sz w:val="22"/>
          <w:szCs w:val="22"/>
        </w:rPr>
        <w:t>Direct PLUS Loan Master Promissory Note and Direct PLUS Loan Endorser Addendum</w:t>
      </w:r>
    </w:p>
    <w:p w:rsidR="001913FD" w:rsidP="001913FD" w14:paraId="07D29E97" w14:textId="77777777">
      <w:pPr>
        <w:pStyle w:val="BodyTextIndent"/>
        <w:spacing w:after="200" w:line="276" w:lineRule="auto"/>
        <w:rPr>
          <w:rFonts w:ascii="Calibri" w:hAnsi="Calibri"/>
          <w:sz w:val="22"/>
          <w:szCs w:val="22"/>
        </w:rPr>
      </w:pPr>
      <w:r w:rsidRPr="001564B4">
        <w:rPr>
          <w:rFonts w:ascii="Calibri" w:hAnsi="Calibri"/>
          <w:sz w:val="22"/>
          <w:szCs w:val="22"/>
        </w:rPr>
        <w:t>Section 455(i) of the Higher Education Act of 1965, as amended (the HEA) requires the U.S. Department of Education (the Department) to develop, print, and distribute a standard promissory note to schools that participate in the William D. Ford Federal Direct Loan Program</w:t>
      </w:r>
      <w:r>
        <w:rPr>
          <w:rFonts w:ascii="Calibri" w:hAnsi="Calibri"/>
          <w:sz w:val="22"/>
          <w:szCs w:val="22"/>
        </w:rPr>
        <w:t xml:space="preserve"> (Direct Loan Program)</w:t>
      </w:r>
      <w:r w:rsidRPr="001564B4">
        <w:rPr>
          <w:rFonts w:ascii="Calibri" w:hAnsi="Calibri"/>
          <w:sz w:val="22"/>
          <w:szCs w:val="22"/>
        </w:rPr>
        <w:t xml:space="preserve">. </w:t>
      </w:r>
    </w:p>
    <w:p w:rsidR="001913FD" w:rsidP="001913FD" w14:paraId="361AB16A" w14:textId="77777777">
      <w:pPr>
        <w:pStyle w:val="BodyTextIndent"/>
        <w:spacing w:after="200" w:line="276" w:lineRule="auto"/>
        <w:rPr>
          <w:rFonts w:asciiTheme="minorHAnsi" w:hAnsiTheme="minorHAnsi"/>
          <w:sz w:val="22"/>
          <w:szCs w:val="22"/>
        </w:rPr>
      </w:pPr>
      <w:r>
        <w:rPr>
          <w:rFonts w:ascii="Calibri" w:hAnsi="Calibri"/>
          <w:sz w:val="22"/>
          <w:szCs w:val="22"/>
        </w:rPr>
        <w:t>The standard</w:t>
      </w:r>
      <w:r w:rsidRPr="001564B4">
        <w:rPr>
          <w:rFonts w:ascii="Calibri" w:hAnsi="Calibri"/>
          <w:sz w:val="22"/>
          <w:szCs w:val="22"/>
        </w:rPr>
        <w:t xml:space="preserve"> promissory note for </w:t>
      </w:r>
      <w:r>
        <w:rPr>
          <w:rFonts w:ascii="Calibri" w:hAnsi="Calibri"/>
          <w:sz w:val="22"/>
          <w:szCs w:val="22"/>
        </w:rPr>
        <w:t xml:space="preserve">Direct Subsidized Loans </w:t>
      </w:r>
      <w:r w:rsidRPr="001564B4">
        <w:rPr>
          <w:rFonts w:ascii="Calibri" w:hAnsi="Calibri"/>
          <w:sz w:val="22"/>
          <w:szCs w:val="22"/>
        </w:rPr>
        <w:t xml:space="preserve">and </w:t>
      </w:r>
      <w:r>
        <w:rPr>
          <w:rFonts w:ascii="Calibri" w:hAnsi="Calibri"/>
          <w:sz w:val="22"/>
          <w:szCs w:val="22"/>
        </w:rPr>
        <w:t>Direct Unsubsidized Loans is</w:t>
      </w:r>
      <w:r w:rsidRPr="001564B4">
        <w:rPr>
          <w:rFonts w:ascii="Calibri" w:hAnsi="Calibri"/>
          <w:sz w:val="22"/>
          <w:szCs w:val="22"/>
        </w:rPr>
        <w:t xml:space="preserve"> the </w:t>
      </w:r>
      <w:r>
        <w:rPr>
          <w:rFonts w:ascii="Calibri" w:hAnsi="Calibri"/>
          <w:sz w:val="22"/>
          <w:szCs w:val="22"/>
        </w:rPr>
        <w:t xml:space="preserve">Direct Subsidized Loan and Direct Unsubsidized Loan </w:t>
      </w:r>
      <w:r w:rsidRPr="001564B4">
        <w:rPr>
          <w:rFonts w:ascii="Calibri" w:hAnsi="Calibri"/>
          <w:sz w:val="22"/>
          <w:szCs w:val="22"/>
        </w:rPr>
        <w:t>Master Promissory Note (</w:t>
      </w:r>
      <w:r>
        <w:rPr>
          <w:rFonts w:ascii="Calibri" w:hAnsi="Calibri"/>
          <w:sz w:val="22"/>
          <w:szCs w:val="22"/>
        </w:rPr>
        <w:t xml:space="preserve">Subsidized/Unsubsidized </w:t>
      </w:r>
      <w:r w:rsidRPr="001564B4">
        <w:rPr>
          <w:rFonts w:ascii="Calibri" w:hAnsi="Calibri"/>
          <w:sz w:val="22"/>
          <w:szCs w:val="22"/>
        </w:rPr>
        <w:t>MPN)</w:t>
      </w:r>
      <w:r>
        <w:rPr>
          <w:rFonts w:ascii="Calibri" w:hAnsi="Calibri"/>
          <w:sz w:val="22"/>
          <w:szCs w:val="22"/>
        </w:rPr>
        <w:t xml:space="preserve">. The standard promissory note for Direct PLUS Loans is the </w:t>
      </w:r>
      <w:r w:rsidRPr="004F4597">
        <w:rPr>
          <w:rFonts w:asciiTheme="minorHAnsi" w:hAnsiTheme="minorHAnsi"/>
          <w:sz w:val="22"/>
          <w:szCs w:val="22"/>
        </w:rPr>
        <w:t>Direct PLUS Loan Master Promissory Note (</w:t>
      </w:r>
      <w:r>
        <w:rPr>
          <w:rFonts w:asciiTheme="minorHAnsi" w:hAnsiTheme="minorHAnsi"/>
          <w:sz w:val="22"/>
          <w:szCs w:val="22"/>
        </w:rPr>
        <w:t xml:space="preserve">PLUS </w:t>
      </w:r>
      <w:r w:rsidRPr="004F4597">
        <w:rPr>
          <w:rFonts w:asciiTheme="minorHAnsi" w:hAnsiTheme="minorHAnsi"/>
          <w:sz w:val="22"/>
          <w:szCs w:val="22"/>
        </w:rPr>
        <w:t>MPN)</w:t>
      </w:r>
      <w:r>
        <w:rPr>
          <w:rFonts w:asciiTheme="minorHAnsi" w:hAnsiTheme="minorHAnsi"/>
          <w:sz w:val="22"/>
          <w:szCs w:val="22"/>
        </w:rPr>
        <w:t xml:space="preserve">. </w:t>
      </w:r>
    </w:p>
    <w:p w:rsidR="00CF5F65" w:rsidP="001913FD" w14:paraId="700B5D62" w14:textId="032EFAB3">
      <w:pPr>
        <w:pStyle w:val="BodyTextIndent"/>
        <w:spacing w:after="200" w:line="276" w:lineRule="auto"/>
        <w:rPr>
          <w:rFonts w:ascii="Calibri" w:hAnsi="Calibri"/>
          <w:sz w:val="22"/>
          <w:szCs w:val="22"/>
        </w:rPr>
      </w:pPr>
      <w:r w:rsidRPr="00CF5F65">
        <w:rPr>
          <w:rFonts w:ascii="Calibri" w:hAnsi="Calibri"/>
          <w:sz w:val="22"/>
          <w:szCs w:val="22"/>
        </w:rPr>
        <w:t>The One Big Beautiful Bill Act (OBBBA) signed into law on July 4, 2025, made statutory changes to Sections 455(a), 455(d), 455(e), 455(g), and 455(q)</w:t>
      </w:r>
      <w:r w:rsidRPr="00CF5F65">
        <w:rPr>
          <w:rFonts w:ascii="Calibri" w:hAnsi="Calibri"/>
          <w:sz w:val="22"/>
          <w:szCs w:val="22"/>
        </w:rPr>
        <w:t xml:space="preserve"> that</w:t>
      </w:r>
      <w:r w:rsidRPr="00CF5F65">
        <w:rPr>
          <w:rFonts w:ascii="Calibri" w:hAnsi="Calibri"/>
          <w:sz w:val="22"/>
          <w:szCs w:val="22"/>
        </w:rPr>
        <w:t xml:space="preserve"> impact borrower eligibility, terms and conditions, and borrowers’ rights and responsibilities for Direct Loans received on or after July 1, 2026. Additionally, previous provisions regulated in 34 C.F.R. 685.209 effective July 1, 2024, were invalidated </w:t>
      </w:r>
      <w:r w:rsidRPr="00CF5F65">
        <w:rPr>
          <w:rFonts w:ascii="Calibri" w:hAnsi="Calibri"/>
          <w:sz w:val="22"/>
          <w:szCs w:val="22"/>
        </w:rPr>
        <w:t>as a result of</w:t>
      </w:r>
      <w:r w:rsidRPr="00CF5F65">
        <w:rPr>
          <w:rFonts w:ascii="Calibri" w:hAnsi="Calibri"/>
          <w:sz w:val="22"/>
          <w:szCs w:val="22"/>
        </w:rPr>
        <w:t xml:space="preserve"> court actions on March 10, 2026.   </w:t>
      </w:r>
    </w:p>
    <w:p w:rsidR="003C496D" w:rsidP="001913FD" w14:paraId="476CB9E4" w14:textId="092CFB89">
      <w:pPr>
        <w:pStyle w:val="BodyTextIndent"/>
        <w:spacing w:after="200" w:line="276" w:lineRule="auto"/>
        <w:rPr>
          <w:rFonts w:ascii="Calibri" w:hAnsi="Calibri"/>
          <w:sz w:val="22"/>
          <w:szCs w:val="22"/>
        </w:rPr>
      </w:pPr>
      <w:r w:rsidRPr="003C496D">
        <w:rPr>
          <w:rFonts w:ascii="Calibri" w:hAnsi="Calibri"/>
          <w:sz w:val="22"/>
          <w:szCs w:val="22"/>
        </w:rPr>
        <w:t xml:space="preserve">Negotiated Rulemaking sessions </w:t>
      </w:r>
      <w:r w:rsidR="00E470D5">
        <w:rPr>
          <w:rFonts w:ascii="Calibri" w:hAnsi="Calibri"/>
          <w:sz w:val="22"/>
          <w:szCs w:val="22"/>
        </w:rPr>
        <w:t xml:space="preserve">took place </w:t>
      </w:r>
      <w:r w:rsidRPr="003C496D">
        <w:rPr>
          <w:rFonts w:ascii="Calibri" w:hAnsi="Calibri"/>
          <w:sz w:val="22"/>
          <w:szCs w:val="22"/>
        </w:rPr>
        <w:t xml:space="preserve">with affected parties, the Reimagining and Improving Student Education (RISE) Committee, </w:t>
      </w:r>
      <w:r w:rsidR="00E470D5">
        <w:rPr>
          <w:rFonts w:ascii="Calibri" w:hAnsi="Calibri"/>
          <w:sz w:val="22"/>
          <w:szCs w:val="22"/>
        </w:rPr>
        <w:t>f</w:t>
      </w:r>
      <w:r w:rsidRPr="003C496D">
        <w:rPr>
          <w:rFonts w:ascii="Calibri" w:hAnsi="Calibri"/>
          <w:sz w:val="22"/>
          <w:szCs w:val="22"/>
        </w:rPr>
        <w:t xml:space="preserve">rom September 29, 2025 – October 3, </w:t>
      </w:r>
      <w:r w:rsidRPr="003C496D">
        <w:rPr>
          <w:rFonts w:ascii="Calibri" w:hAnsi="Calibri"/>
          <w:sz w:val="22"/>
          <w:szCs w:val="22"/>
        </w:rPr>
        <w:t>2025</w:t>
      </w:r>
      <w:r w:rsidRPr="003C496D">
        <w:rPr>
          <w:rFonts w:ascii="Calibri" w:hAnsi="Calibri"/>
          <w:sz w:val="22"/>
          <w:szCs w:val="22"/>
        </w:rPr>
        <w:t xml:space="preserve"> and November 3, 2025 – November 6, 2025</w:t>
      </w:r>
      <w:r w:rsidR="00E76ECE">
        <w:rPr>
          <w:rFonts w:ascii="Calibri" w:hAnsi="Calibri"/>
          <w:sz w:val="22"/>
          <w:szCs w:val="22"/>
        </w:rPr>
        <w:t>. Consensus on the draft proposals was reached.</w:t>
      </w:r>
      <w:r w:rsidR="00AF0F13">
        <w:rPr>
          <w:rFonts w:ascii="Calibri" w:hAnsi="Calibri"/>
          <w:sz w:val="22"/>
          <w:szCs w:val="22"/>
        </w:rPr>
        <w:t xml:space="preserve"> </w:t>
      </w:r>
      <w:r w:rsidRPr="003C496D">
        <w:rPr>
          <w:rFonts w:ascii="Calibri" w:hAnsi="Calibri"/>
          <w:sz w:val="22"/>
          <w:szCs w:val="22"/>
        </w:rPr>
        <w:t>On January 30, 2026, the Department published a Notice of Proposed Rulemaking (91 FR 4254) containing proposed Direct Loan regulations developed after the Negotiated Rulemaking sessions.</w:t>
      </w:r>
    </w:p>
    <w:p w:rsidR="001913FD" w:rsidP="001913FD" w14:paraId="39150FF1" w14:textId="77777777">
      <w:pPr>
        <w:pStyle w:val="BodyTextIndent"/>
        <w:spacing w:after="200" w:line="276" w:lineRule="auto"/>
        <w:rPr>
          <w:rFonts w:ascii="Calibri" w:hAnsi="Calibri"/>
          <w:sz w:val="22"/>
          <w:szCs w:val="22"/>
        </w:rPr>
      </w:pPr>
      <w:r>
        <w:rPr>
          <w:rFonts w:ascii="Calibri" w:hAnsi="Calibri"/>
          <w:sz w:val="22"/>
          <w:szCs w:val="22"/>
        </w:rPr>
        <w:t xml:space="preserve">The Subsidized/Unsubsidized MPN and the PLUS MPN were </w:t>
      </w:r>
      <w:r w:rsidRPr="001564B4">
        <w:rPr>
          <w:rFonts w:ascii="Calibri" w:hAnsi="Calibri"/>
          <w:sz w:val="22"/>
          <w:szCs w:val="22"/>
        </w:rPr>
        <w:t>developed by the Department in accordance with §432(m)(1)(D) of the HEA</w:t>
      </w:r>
      <w:r>
        <w:rPr>
          <w:rFonts w:ascii="Calibri" w:hAnsi="Calibri"/>
          <w:sz w:val="22"/>
          <w:szCs w:val="22"/>
        </w:rPr>
        <w:t xml:space="preserve">, </w:t>
      </w:r>
      <w:r w:rsidRPr="004F4597">
        <w:rPr>
          <w:rFonts w:asciiTheme="minorHAnsi" w:hAnsiTheme="minorHAnsi"/>
          <w:sz w:val="22"/>
          <w:szCs w:val="22"/>
        </w:rPr>
        <w:t>which requires the Department to develop and use master promissory notes for loans made under the Direct Loan program. A master promissory note is a promissory note under which a borrower may receive loans for a single academic year or multiple academic years (see 34 CFR 685.102(b)).</w:t>
      </w:r>
      <w:r w:rsidRPr="001564B4">
        <w:rPr>
          <w:rFonts w:ascii="Calibri" w:hAnsi="Calibri"/>
          <w:sz w:val="22"/>
          <w:szCs w:val="22"/>
        </w:rPr>
        <w:t xml:space="preserve"> </w:t>
      </w:r>
    </w:p>
    <w:p w:rsidR="001913FD" w:rsidP="001913FD" w14:paraId="7811619F" w14:textId="770A6F2D">
      <w:pPr>
        <w:pStyle w:val="BodyTextIndent"/>
        <w:spacing w:after="200" w:line="276" w:lineRule="auto"/>
        <w:rPr>
          <w:rFonts w:ascii="Calibri" w:hAnsi="Calibri"/>
          <w:sz w:val="22"/>
          <w:szCs w:val="22"/>
        </w:rPr>
      </w:pPr>
      <w:r w:rsidRPr="1D4BFF56">
        <w:rPr>
          <w:rFonts w:ascii="Calibri" w:hAnsi="Calibri"/>
          <w:sz w:val="22"/>
          <w:szCs w:val="22"/>
        </w:rPr>
        <w:t>The Direct Loan Program regulations at 34 CFR 685.201(a)(2) require a borrower to complete a Subsidized/Unsubsidized MPN before receiving a Direct Subsidized Loan or Direct Unsubsidized loan. Regulations at 34 CFR 685.201(b)(1) and (b)(2) require parent or</w:t>
      </w:r>
      <w:r w:rsidR="0029000E">
        <w:rPr>
          <w:rFonts w:ascii="Calibri" w:hAnsi="Calibri"/>
          <w:sz w:val="22"/>
          <w:szCs w:val="22"/>
        </w:rPr>
        <w:t xml:space="preserve"> qualifying</w:t>
      </w:r>
      <w:r w:rsidRPr="1D4BFF56">
        <w:rPr>
          <w:rFonts w:ascii="Calibri" w:hAnsi="Calibri"/>
          <w:sz w:val="22"/>
          <w:szCs w:val="22"/>
        </w:rPr>
        <w:t xml:space="preserve"> graduate </w:t>
      </w:r>
      <w:r w:rsidR="00796BFA">
        <w:rPr>
          <w:rFonts w:ascii="Calibri" w:hAnsi="Calibri"/>
          <w:sz w:val="22"/>
          <w:szCs w:val="22"/>
        </w:rPr>
        <w:t>or</w:t>
      </w:r>
      <w:r w:rsidRPr="1D4BFF56">
        <w:rPr>
          <w:rFonts w:ascii="Calibri" w:hAnsi="Calibri"/>
          <w:sz w:val="22"/>
          <w:szCs w:val="22"/>
        </w:rPr>
        <w:t xml:space="preserve"> professional student borrowers to complete a PLUS MPN before receiving a Direct PLUS Loan.</w:t>
      </w:r>
    </w:p>
    <w:p w:rsidR="00205CF0" w:rsidP="001913FD" w14:paraId="3C6AC606" w14:textId="77777777">
      <w:pPr>
        <w:pStyle w:val="BodyTextIndent"/>
        <w:spacing w:after="200" w:line="276" w:lineRule="auto"/>
        <w:rPr>
          <w:rFonts w:asciiTheme="minorHAnsi" w:hAnsiTheme="minorHAnsi"/>
          <w:sz w:val="22"/>
          <w:szCs w:val="22"/>
        </w:rPr>
      </w:pPr>
      <w:r w:rsidRPr="2F897402">
        <w:rPr>
          <w:rFonts w:asciiTheme="minorHAnsi" w:hAnsiTheme="minorHAnsi"/>
          <w:sz w:val="22"/>
          <w:szCs w:val="22"/>
        </w:rPr>
        <w:t>Under §428B(a)(1)(A) of the HEA, one of the eligibility requirements to receive a Direct PLUS Loan is that the borrower must not have an adverse credit history, as determined by regulations issued by the Department. The Direct Loan Program regulations allow a Direct PLUS Loan applicant who has an adverse credit history to receive a Direct PLUS Loan if the individual obtains an endorser who does not have an adverse credit history (34 CFR 685.200(b)(5) and 34 CFR 685.200(c)(1)(vii)(A)(</w:t>
      </w:r>
      <w:r w:rsidRPr="2F897402">
        <w:rPr>
          <w:rFonts w:asciiTheme="minorHAnsi" w:hAnsiTheme="minorHAnsi"/>
          <w:i/>
          <w:iCs/>
          <w:sz w:val="22"/>
          <w:szCs w:val="22"/>
        </w:rPr>
        <w:t>2</w:t>
      </w:r>
      <w:r w:rsidRPr="2F897402">
        <w:rPr>
          <w:rFonts w:asciiTheme="minorHAnsi" w:hAnsiTheme="minorHAnsi"/>
          <w:sz w:val="22"/>
          <w:szCs w:val="22"/>
        </w:rPr>
        <w:t xml:space="preserve">)). The Endorser Addendum to the PLUS MPN (PLUS Endorser Addendum) is </w:t>
      </w:r>
      <w:r w:rsidRPr="2F897402">
        <w:rPr>
          <w:rFonts w:asciiTheme="minorHAnsi" w:hAnsiTheme="minorHAnsi"/>
          <w:sz w:val="22"/>
          <w:szCs w:val="22"/>
        </w:rPr>
        <w:t>the means by which</w:t>
      </w:r>
      <w:r w:rsidRPr="2F897402">
        <w:rPr>
          <w:rFonts w:asciiTheme="minorHAnsi" w:hAnsiTheme="minorHAnsi"/>
          <w:sz w:val="22"/>
          <w:szCs w:val="22"/>
        </w:rPr>
        <w:t xml:space="preserve"> an endorser agrees to repay a Direct PLUS Loan if the borrower does not repay the loan. If an applicant for a Direct PLUS Loan is determined to have an adverse credit history and obtains an endorser, only one loan can be made under the PLUS MPN. To obtain a subsequent Direct PLUS Loan, the borrower must complete a new PLUS MPN.</w:t>
      </w:r>
    </w:p>
    <w:p w:rsidR="001913FD" w:rsidRPr="00775379" w:rsidP="001913FD" w14:paraId="657A8441" w14:textId="3191AB70">
      <w:pPr>
        <w:pStyle w:val="BodyTextIndent"/>
        <w:spacing w:after="200" w:line="276" w:lineRule="auto"/>
        <w:rPr>
          <w:rFonts w:asciiTheme="minorHAnsi" w:hAnsiTheme="minorHAnsi"/>
          <w:i/>
          <w:sz w:val="22"/>
          <w:szCs w:val="22"/>
        </w:rPr>
      </w:pPr>
      <w:r w:rsidRPr="00775379">
        <w:rPr>
          <w:rFonts w:asciiTheme="minorHAnsi" w:hAnsiTheme="minorHAnsi"/>
          <w:i/>
          <w:sz w:val="22"/>
          <w:szCs w:val="22"/>
        </w:rPr>
        <w:t xml:space="preserve">Direct Consolidation Loan Application and Promissory Note and </w:t>
      </w:r>
      <w:r>
        <w:rPr>
          <w:rFonts w:asciiTheme="minorHAnsi" w:hAnsiTheme="minorHAnsi"/>
          <w:i/>
          <w:sz w:val="22"/>
          <w:szCs w:val="22"/>
        </w:rPr>
        <w:t>r</w:t>
      </w:r>
      <w:r w:rsidRPr="00775379">
        <w:rPr>
          <w:rFonts w:asciiTheme="minorHAnsi" w:hAnsiTheme="minorHAnsi"/>
          <w:i/>
          <w:sz w:val="22"/>
          <w:szCs w:val="22"/>
        </w:rPr>
        <w:t xml:space="preserve">elated </w:t>
      </w:r>
      <w:r>
        <w:rPr>
          <w:rFonts w:asciiTheme="minorHAnsi" w:hAnsiTheme="minorHAnsi"/>
          <w:i/>
          <w:sz w:val="22"/>
          <w:szCs w:val="22"/>
        </w:rPr>
        <w:t>forms</w:t>
      </w:r>
    </w:p>
    <w:p w:rsidR="001913FD" w:rsidRPr="00E16507" w:rsidP="2F897402" w14:paraId="2830A7B4" w14:textId="5E0F40F2">
      <w:pPr>
        <w:spacing w:after="200" w:line="276" w:lineRule="auto"/>
        <w:ind w:left="720"/>
        <w:rPr>
          <w:rFonts w:asciiTheme="minorHAnsi" w:hAnsiTheme="minorHAnsi"/>
          <w:sz w:val="22"/>
          <w:szCs w:val="22"/>
        </w:rPr>
      </w:pPr>
      <w:r w:rsidRPr="2F897402">
        <w:rPr>
          <w:rFonts w:asciiTheme="minorHAnsi" w:hAnsiTheme="minorHAnsi"/>
          <w:sz w:val="22"/>
          <w:szCs w:val="22"/>
        </w:rPr>
        <w:t>The Student Loan Reform Act of 1993, enacted on August 10, 1993, established the Direct Loan Program under Title IV, Part D, of the HEA. This legislation authorized the Federal Direct Consolidation Loan Program, which allows eligible borrowers to consolidate certain federal education loans into a Direct Consolidation Loan. A Direct Consolidation Loan may allow a borrower to extend the period for repaying a loan, and in some cases may provide the borrower with a lower fixed interest rate. In addition, borrowers with loans made under the Federal Family Education Loan (FFEL) Program may consolidate their loans into a Direct Consolidation Loan to take advantage of certain benefits and repayment options that are available only in the Direct Loan Program. The regulations governing Direct Consolidation Loans are contained in 34 CFR 685.220.</w:t>
      </w:r>
    </w:p>
    <w:p w:rsidR="001913FD" w:rsidRPr="00E16507" w:rsidP="002525C7" w14:paraId="6D9E620E" w14:textId="77777777">
      <w:pPr>
        <w:spacing w:after="200" w:line="276" w:lineRule="auto"/>
        <w:ind w:left="720"/>
        <w:rPr>
          <w:rFonts w:asciiTheme="minorHAnsi" w:hAnsiTheme="minorHAnsi"/>
          <w:sz w:val="22"/>
          <w:szCs w:val="22"/>
        </w:rPr>
      </w:pPr>
      <w:r>
        <w:rPr>
          <w:rFonts w:asciiTheme="minorHAnsi" w:hAnsiTheme="minorHAnsi"/>
          <w:sz w:val="22"/>
          <w:szCs w:val="22"/>
        </w:rPr>
        <w:t xml:space="preserve">The Direct Loan regulations at </w:t>
      </w:r>
      <w:r w:rsidRPr="00E16507">
        <w:rPr>
          <w:rFonts w:asciiTheme="minorHAnsi" w:hAnsiTheme="minorHAnsi"/>
          <w:sz w:val="22"/>
          <w:szCs w:val="22"/>
        </w:rPr>
        <w:t>34 CFR 685.</w:t>
      </w:r>
      <w:r>
        <w:rPr>
          <w:rFonts w:asciiTheme="minorHAnsi" w:hAnsiTheme="minorHAnsi"/>
          <w:sz w:val="22"/>
          <w:szCs w:val="22"/>
        </w:rPr>
        <w:t>202(c) and 34 CFR 685.</w:t>
      </w:r>
      <w:r w:rsidRPr="00E16507">
        <w:rPr>
          <w:rFonts w:asciiTheme="minorHAnsi" w:hAnsiTheme="minorHAnsi"/>
          <w:sz w:val="22"/>
          <w:szCs w:val="22"/>
        </w:rPr>
        <w:t xml:space="preserve">220(e) require a borrower who wishes to receive a Direct Consolidation Loan to submit a completed </w:t>
      </w:r>
      <w:r>
        <w:rPr>
          <w:rFonts w:asciiTheme="minorHAnsi" w:hAnsiTheme="minorHAnsi"/>
          <w:sz w:val="22"/>
          <w:szCs w:val="22"/>
        </w:rPr>
        <w:t>Direct Consolidation Loan Application and Promissory Note (Consolidation Application/Promissory Note)</w:t>
      </w:r>
      <w:r w:rsidRPr="00E16507">
        <w:rPr>
          <w:rFonts w:asciiTheme="minorHAnsi" w:hAnsiTheme="minorHAnsi"/>
          <w:sz w:val="22"/>
          <w:szCs w:val="22"/>
        </w:rPr>
        <w:t xml:space="preserve"> to the Department. The processing of a borrower’s consolidation application involves the </w:t>
      </w:r>
      <w:r>
        <w:rPr>
          <w:rFonts w:asciiTheme="minorHAnsi" w:hAnsiTheme="minorHAnsi"/>
          <w:sz w:val="22"/>
          <w:szCs w:val="22"/>
        </w:rPr>
        <w:t>Loan Verification Certificate (LVC) and Request to Add Loans as</w:t>
      </w:r>
      <w:r w:rsidRPr="00E16507">
        <w:rPr>
          <w:rFonts w:asciiTheme="minorHAnsi" w:hAnsiTheme="minorHAnsi"/>
          <w:sz w:val="22"/>
          <w:szCs w:val="22"/>
        </w:rPr>
        <w:t xml:space="preserve"> described in Item 2 of this Supporting Statement.</w:t>
      </w:r>
    </w:p>
    <w:p w:rsidR="00512C43" w:rsidP="003C496D" w14:paraId="25430C25" w14:textId="4C9CCEF4">
      <w:pPr>
        <w:pStyle w:val="BodyTextIndent"/>
        <w:spacing w:after="200" w:line="276" w:lineRule="auto"/>
        <w:rPr>
          <w:rFonts w:ascii="Calibri" w:hAnsi="Calibri"/>
          <w:sz w:val="22"/>
          <w:szCs w:val="22"/>
        </w:rPr>
      </w:pPr>
      <w:r w:rsidRPr="07225738">
        <w:rPr>
          <w:rFonts w:ascii="Calibri" w:hAnsi="Calibri"/>
          <w:sz w:val="22"/>
          <w:szCs w:val="22"/>
        </w:rPr>
        <w:t>The</w:t>
      </w:r>
      <w:r w:rsidRPr="07225738" w:rsidR="4B2060F0">
        <w:rPr>
          <w:rFonts w:ascii="Calibri" w:hAnsi="Calibri"/>
          <w:sz w:val="22"/>
          <w:szCs w:val="22"/>
        </w:rPr>
        <w:t xml:space="preserve"> proposed regulations</w:t>
      </w:r>
      <w:r w:rsidRPr="07225738" w:rsidR="2B4F7345">
        <w:rPr>
          <w:rFonts w:ascii="Calibri" w:hAnsi="Calibri"/>
          <w:sz w:val="22"/>
          <w:szCs w:val="22"/>
        </w:rPr>
        <w:t xml:space="preserve"> directly impact forms in this information collection</w:t>
      </w:r>
      <w:r w:rsidRPr="07225738" w:rsidR="6C00CC8D">
        <w:rPr>
          <w:rFonts w:ascii="Calibri" w:hAnsi="Calibri"/>
          <w:sz w:val="22"/>
          <w:szCs w:val="22"/>
        </w:rPr>
        <w:t>, 1845-0007 William D. Ford Federal Direct Loan Program (Direct Loan Program) Promissory Notes and related forms</w:t>
      </w:r>
      <w:r w:rsidRPr="07225738" w:rsidR="34C32A41">
        <w:rPr>
          <w:rFonts w:ascii="Calibri" w:hAnsi="Calibri"/>
          <w:sz w:val="22"/>
          <w:szCs w:val="22"/>
        </w:rPr>
        <w:t xml:space="preserve">. </w:t>
      </w:r>
      <w:r w:rsidRPr="07225738" w:rsidR="39D95583">
        <w:rPr>
          <w:rFonts w:ascii="Calibri" w:hAnsi="Calibri"/>
          <w:sz w:val="22"/>
          <w:szCs w:val="22"/>
        </w:rPr>
        <w:t xml:space="preserve"> </w:t>
      </w:r>
      <w:r w:rsidRPr="07225738" w:rsidR="367631D4">
        <w:rPr>
          <w:rFonts w:ascii="Calibri" w:hAnsi="Calibri"/>
          <w:sz w:val="22"/>
          <w:szCs w:val="22"/>
        </w:rPr>
        <w:t>Namely, the regulations</w:t>
      </w:r>
      <w:r w:rsidRPr="07225738" w:rsidR="2AB16E70">
        <w:rPr>
          <w:rFonts w:ascii="Calibri" w:hAnsi="Calibri"/>
          <w:sz w:val="22"/>
          <w:szCs w:val="22"/>
        </w:rPr>
        <w:t xml:space="preserve"> modify the annual and aggregate loan limits </w:t>
      </w:r>
      <w:r w:rsidRPr="07225738" w:rsidR="367631D4">
        <w:rPr>
          <w:rFonts w:ascii="Calibri" w:hAnsi="Calibri"/>
          <w:sz w:val="22"/>
          <w:szCs w:val="22"/>
        </w:rPr>
        <w:t xml:space="preserve">for </w:t>
      </w:r>
      <w:r w:rsidRPr="07225738" w:rsidR="07A38F18">
        <w:rPr>
          <w:rFonts w:ascii="Calibri" w:hAnsi="Calibri"/>
          <w:sz w:val="22"/>
          <w:szCs w:val="22"/>
        </w:rPr>
        <w:t>Direct Subsidized and Unsubsidized Loans</w:t>
      </w:r>
      <w:r w:rsidRPr="07225738" w:rsidR="5B3B5F29">
        <w:rPr>
          <w:rFonts w:ascii="Calibri" w:hAnsi="Calibri"/>
          <w:sz w:val="22"/>
          <w:szCs w:val="22"/>
        </w:rPr>
        <w:t xml:space="preserve"> for graduate and professional students</w:t>
      </w:r>
      <w:r w:rsidRPr="07225738" w:rsidR="24DEE50A">
        <w:rPr>
          <w:rFonts w:ascii="Calibri" w:hAnsi="Calibri"/>
          <w:sz w:val="22"/>
          <w:szCs w:val="22"/>
        </w:rPr>
        <w:t xml:space="preserve"> and Direct PLUS Loans for parent borrowers</w:t>
      </w:r>
      <w:r w:rsidRPr="07225738" w:rsidR="14DA4791">
        <w:rPr>
          <w:rFonts w:ascii="Calibri" w:hAnsi="Calibri"/>
          <w:sz w:val="22"/>
          <w:szCs w:val="22"/>
        </w:rPr>
        <w:t>.</w:t>
      </w:r>
      <w:r w:rsidRPr="07225738" w:rsidR="07A38F18">
        <w:rPr>
          <w:rFonts w:ascii="Calibri" w:hAnsi="Calibri"/>
          <w:sz w:val="22"/>
          <w:szCs w:val="22"/>
        </w:rPr>
        <w:t xml:space="preserve"> </w:t>
      </w:r>
      <w:r w:rsidRPr="07225738" w:rsidR="65CA7B37">
        <w:rPr>
          <w:rFonts w:ascii="Calibri" w:hAnsi="Calibri"/>
          <w:sz w:val="22"/>
          <w:szCs w:val="22"/>
        </w:rPr>
        <w:t xml:space="preserve"> A new lifetime maximum aggregate loan limit</w:t>
      </w:r>
      <w:r w:rsidRPr="07225738" w:rsidR="464C42DF">
        <w:rPr>
          <w:rFonts w:ascii="Calibri" w:hAnsi="Calibri"/>
          <w:sz w:val="22"/>
          <w:szCs w:val="22"/>
        </w:rPr>
        <w:t xml:space="preserve"> will now be calculated for all borrowers regardless of amounts repaid, forgiven, or discharged (but does not include PLUS Loan amounts). </w:t>
      </w:r>
      <w:r w:rsidRPr="07225738" w:rsidR="5901953A">
        <w:rPr>
          <w:rFonts w:ascii="Calibri" w:hAnsi="Calibri"/>
          <w:sz w:val="22"/>
          <w:szCs w:val="22"/>
        </w:rPr>
        <w:t xml:space="preserve">These new annual, aggregate, and lifetime limits will apply to all borrowers as of July 1, 2026, unless the borrower is eligible for the </w:t>
      </w:r>
      <w:r w:rsidRPr="07225738" w:rsidR="07B5B3EE">
        <w:rPr>
          <w:rFonts w:ascii="Calibri" w:hAnsi="Calibri"/>
          <w:sz w:val="22"/>
          <w:szCs w:val="22"/>
        </w:rPr>
        <w:t xml:space="preserve">limited exception for </w:t>
      </w:r>
      <w:r w:rsidRPr="07225738" w:rsidR="5C1B83C5">
        <w:rPr>
          <w:rFonts w:ascii="Calibri" w:hAnsi="Calibri"/>
          <w:sz w:val="22"/>
          <w:szCs w:val="22"/>
        </w:rPr>
        <w:t xml:space="preserve">current </w:t>
      </w:r>
      <w:r w:rsidRPr="07225738" w:rsidR="07B5B3EE">
        <w:rPr>
          <w:rFonts w:ascii="Calibri" w:hAnsi="Calibri"/>
          <w:sz w:val="22"/>
          <w:szCs w:val="22"/>
        </w:rPr>
        <w:t xml:space="preserve">students </w:t>
      </w:r>
      <w:r w:rsidRPr="07225738" w:rsidR="6BF376DE">
        <w:rPr>
          <w:rFonts w:ascii="Calibri" w:hAnsi="Calibri"/>
          <w:sz w:val="22"/>
          <w:szCs w:val="22"/>
        </w:rPr>
        <w:t xml:space="preserve">who remain enrolled at the same institution in the same program of study they were </w:t>
      </w:r>
      <w:r w:rsidRPr="07225738" w:rsidR="6BF376DE">
        <w:rPr>
          <w:rFonts w:ascii="Calibri" w:hAnsi="Calibri"/>
          <w:sz w:val="22"/>
          <w:szCs w:val="22"/>
        </w:rPr>
        <w:t>enrolled</w:t>
      </w:r>
      <w:r w:rsidRPr="07225738" w:rsidR="6BF376DE">
        <w:rPr>
          <w:rFonts w:ascii="Calibri" w:hAnsi="Calibri"/>
          <w:sz w:val="22"/>
          <w:szCs w:val="22"/>
        </w:rPr>
        <w:t xml:space="preserve"> as of June 30, 2026. This limit</w:t>
      </w:r>
      <w:r w:rsidRPr="07225738" w:rsidR="03782B0A">
        <w:rPr>
          <w:rFonts w:ascii="Calibri" w:hAnsi="Calibri"/>
          <w:sz w:val="22"/>
          <w:szCs w:val="22"/>
        </w:rPr>
        <w:t xml:space="preserve">ed exception will apply while the student is eligible or until the lesser of three award years or the </w:t>
      </w:r>
      <w:r w:rsidRPr="07225738" w:rsidR="55DE183A">
        <w:rPr>
          <w:rFonts w:ascii="Calibri" w:hAnsi="Calibri"/>
          <w:sz w:val="22"/>
          <w:szCs w:val="22"/>
        </w:rPr>
        <w:t>difference between the published length of the student’s program of study and the amount of time the student has already completed.</w:t>
      </w:r>
      <w:r w:rsidRPr="07225738" w:rsidR="65AD3941">
        <w:rPr>
          <w:rFonts w:ascii="Calibri" w:hAnsi="Calibri"/>
          <w:sz w:val="22"/>
          <w:szCs w:val="22"/>
        </w:rPr>
        <w:t xml:space="preserve"> </w:t>
      </w:r>
      <w:r w:rsidRPr="07225738" w:rsidR="66084B67">
        <w:rPr>
          <w:rFonts w:ascii="Calibri" w:hAnsi="Calibri"/>
          <w:sz w:val="22"/>
          <w:szCs w:val="22"/>
        </w:rPr>
        <w:t xml:space="preserve"> Additionally, </w:t>
      </w:r>
      <w:r w:rsidRPr="07225738" w:rsidR="76A5BE55">
        <w:rPr>
          <w:rFonts w:ascii="Calibri" w:hAnsi="Calibri"/>
          <w:sz w:val="22"/>
          <w:szCs w:val="22"/>
        </w:rPr>
        <w:t xml:space="preserve">the regulations </w:t>
      </w:r>
      <w:r w:rsidRPr="07225738" w:rsidR="66084B67">
        <w:rPr>
          <w:rFonts w:ascii="Calibri" w:hAnsi="Calibri"/>
          <w:sz w:val="22"/>
          <w:szCs w:val="22"/>
        </w:rPr>
        <w:t xml:space="preserve">end eligibility </w:t>
      </w:r>
      <w:r w:rsidRPr="07225738" w:rsidR="36AFE4C3">
        <w:rPr>
          <w:rFonts w:ascii="Calibri" w:hAnsi="Calibri"/>
          <w:sz w:val="22"/>
          <w:szCs w:val="22"/>
        </w:rPr>
        <w:t xml:space="preserve">for graduate students to receive </w:t>
      </w:r>
      <w:r w:rsidRPr="07225738" w:rsidR="35E32106">
        <w:rPr>
          <w:rFonts w:ascii="Calibri" w:hAnsi="Calibri"/>
          <w:sz w:val="22"/>
          <w:szCs w:val="22"/>
        </w:rPr>
        <w:t xml:space="preserve">a </w:t>
      </w:r>
      <w:r w:rsidRPr="07225738" w:rsidR="36AFE4C3">
        <w:rPr>
          <w:rFonts w:ascii="Calibri" w:hAnsi="Calibri"/>
          <w:sz w:val="22"/>
          <w:szCs w:val="22"/>
        </w:rPr>
        <w:t xml:space="preserve">Direct PLUS loan </w:t>
      </w:r>
      <w:r w:rsidRPr="07225738" w:rsidR="69AB1A51">
        <w:rPr>
          <w:rFonts w:ascii="Calibri" w:hAnsi="Calibri"/>
          <w:sz w:val="22"/>
          <w:szCs w:val="22"/>
        </w:rPr>
        <w:t>unless they qualify for the</w:t>
      </w:r>
      <w:r w:rsidRPr="07225738" w:rsidR="36AFE4C3">
        <w:rPr>
          <w:rFonts w:ascii="Calibri" w:hAnsi="Calibri"/>
          <w:sz w:val="22"/>
          <w:szCs w:val="22"/>
        </w:rPr>
        <w:t xml:space="preserve"> limited exception for </w:t>
      </w:r>
      <w:r w:rsidRPr="07225738" w:rsidR="325990E8">
        <w:rPr>
          <w:rFonts w:ascii="Calibri" w:hAnsi="Calibri"/>
          <w:sz w:val="22"/>
          <w:szCs w:val="22"/>
        </w:rPr>
        <w:t xml:space="preserve">borrowers completing their current program of study. </w:t>
      </w:r>
      <w:r w:rsidRPr="07225738" w:rsidR="28885418">
        <w:rPr>
          <w:rFonts w:ascii="Calibri" w:hAnsi="Calibri"/>
          <w:sz w:val="22"/>
          <w:szCs w:val="22"/>
        </w:rPr>
        <w:t>As of the 2029 – 2030 award year, no graduate or professional students will be eligible to borrow Direct PLUS loans.</w:t>
      </w:r>
    </w:p>
    <w:p w:rsidR="00512C43" w:rsidP="07225738" w14:paraId="4C28DF3D" w14:textId="53415451">
      <w:pPr>
        <w:pStyle w:val="BodyTextIndent"/>
        <w:spacing w:after="200" w:line="276" w:lineRule="auto"/>
        <w:rPr>
          <w:rFonts w:ascii="Calibri" w:hAnsi="Calibri"/>
          <w:sz w:val="22"/>
          <w:szCs w:val="22"/>
        </w:rPr>
      </w:pPr>
      <w:r w:rsidRPr="07225738">
        <w:rPr>
          <w:rFonts w:ascii="Calibri" w:hAnsi="Calibri"/>
          <w:sz w:val="22"/>
          <w:szCs w:val="22"/>
        </w:rPr>
        <w:t>In addition to the modified annual and aggregate loan limits, students who are en</w:t>
      </w:r>
      <w:r w:rsidRPr="07225738" w:rsidR="45266812">
        <w:rPr>
          <w:rFonts w:ascii="Calibri" w:hAnsi="Calibri"/>
          <w:sz w:val="22"/>
          <w:szCs w:val="22"/>
        </w:rPr>
        <w:t>r</w:t>
      </w:r>
      <w:r w:rsidRPr="07225738">
        <w:rPr>
          <w:rFonts w:ascii="Calibri" w:hAnsi="Calibri"/>
          <w:sz w:val="22"/>
          <w:szCs w:val="22"/>
        </w:rPr>
        <w:t>oll</w:t>
      </w:r>
      <w:r w:rsidRPr="07225738" w:rsidR="62D152E2">
        <w:rPr>
          <w:rFonts w:ascii="Calibri" w:hAnsi="Calibri"/>
          <w:sz w:val="22"/>
          <w:szCs w:val="22"/>
        </w:rPr>
        <w:t xml:space="preserve">ed less than full-time will be subject to a schedule of reductions to reduce their annual loan limits proportionally to the amount they are </w:t>
      </w:r>
      <w:r w:rsidRPr="07225738" w:rsidR="62D152E2">
        <w:rPr>
          <w:rFonts w:ascii="Calibri" w:hAnsi="Calibri"/>
          <w:sz w:val="22"/>
          <w:szCs w:val="22"/>
        </w:rPr>
        <w:t>enrolled</w:t>
      </w:r>
      <w:r w:rsidRPr="07225738" w:rsidR="62D152E2">
        <w:rPr>
          <w:rFonts w:ascii="Calibri" w:hAnsi="Calibri"/>
          <w:sz w:val="22"/>
          <w:szCs w:val="22"/>
        </w:rPr>
        <w:t xml:space="preserve"> less</w:t>
      </w:r>
      <w:r w:rsidRPr="07225738" w:rsidR="347BF24E">
        <w:rPr>
          <w:rFonts w:ascii="Calibri" w:hAnsi="Calibri"/>
          <w:sz w:val="22"/>
          <w:szCs w:val="22"/>
        </w:rPr>
        <w:t xml:space="preserve"> than full-time. Institutions may also reduc</w:t>
      </w:r>
      <w:r w:rsidRPr="07225738" w:rsidR="6159A6BB">
        <w:rPr>
          <w:rFonts w:ascii="Calibri" w:hAnsi="Calibri"/>
          <w:sz w:val="22"/>
          <w:szCs w:val="22"/>
        </w:rPr>
        <w:t>e</w:t>
      </w:r>
      <w:r w:rsidRPr="07225738" w:rsidR="347BF24E">
        <w:rPr>
          <w:rFonts w:ascii="Calibri" w:hAnsi="Calibri"/>
          <w:sz w:val="22"/>
          <w:szCs w:val="22"/>
        </w:rPr>
        <w:t xml:space="preserve"> the amount that may be borrowed for specific programs of study </w:t>
      </w:r>
      <w:r w:rsidRPr="07225738" w:rsidR="347BF24E">
        <w:rPr>
          <w:rFonts w:ascii="Calibri" w:hAnsi="Calibri"/>
          <w:sz w:val="22"/>
          <w:szCs w:val="22"/>
        </w:rPr>
        <w:t>as long as</w:t>
      </w:r>
      <w:r w:rsidRPr="07225738" w:rsidR="347BF24E">
        <w:rPr>
          <w:rFonts w:ascii="Calibri" w:hAnsi="Calibri"/>
          <w:sz w:val="22"/>
          <w:szCs w:val="22"/>
        </w:rPr>
        <w:t xml:space="preserve"> the reduction is applied to all those enrolled in the program of study (or parents of dependent undergraduate students enrolled). </w:t>
      </w:r>
    </w:p>
    <w:p w:rsidR="00512C43" w:rsidP="07225738" w14:paraId="579D69FE" w14:textId="4AF24259">
      <w:pPr>
        <w:pStyle w:val="BodyTextIndent"/>
        <w:spacing w:after="200" w:line="276" w:lineRule="auto"/>
        <w:rPr>
          <w:rFonts w:ascii="Calibri" w:hAnsi="Calibri"/>
          <w:sz w:val="22"/>
          <w:szCs w:val="22"/>
        </w:rPr>
      </w:pPr>
      <w:r w:rsidRPr="07225738">
        <w:rPr>
          <w:rFonts w:ascii="Calibri" w:hAnsi="Calibri"/>
          <w:sz w:val="22"/>
          <w:szCs w:val="22"/>
        </w:rPr>
        <w:t>The regulations also establish two new repayment plans, the Tiered Standard Plan and the R</w:t>
      </w:r>
      <w:r w:rsidRPr="07225738" w:rsidR="65434D19">
        <w:rPr>
          <w:rFonts w:ascii="Calibri" w:hAnsi="Calibri"/>
          <w:sz w:val="22"/>
          <w:szCs w:val="22"/>
        </w:rPr>
        <w:t>e</w:t>
      </w:r>
      <w:r w:rsidRPr="07225738">
        <w:rPr>
          <w:rFonts w:ascii="Calibri" w:hAnsi="Calibri"/>
          <w:sz w:val="22"/>
          <w:szCs w:val="22"/>
        </w:rPr>
        <w:t xml:space="preserve">payment Assistance plan, which are the </w:t>
      </w:r>
      <w:r w:rsidRPr="07225738" w:rsidR="6AC253E7">
        <w:rPr>
          <w:rFonts w:ascii="Calibri" w:hAnsi="Calibri"/>
          <w:sz w:val="22"/>
          <w:szCs w:val="22"/>
        </w:rPr>
        <w:t>only plans available to a borrower with any Direct Loan disbursed on or after July 1, 2026.</w:t>
      </w:r>
    </w:p>
    <w:p w:rsidR="46814747" w:rsidP="4AD6F65D" w14:paraId="59145A43" w14:textId="0972CF9E">
      <w:pPr>
        <w:pStyle w:val="BodyTextIndent"/>
        <w:spacing w:after="200" w:line="276" w:lineRule="auto"/>
        <w:rPr>
          <w:rFonts w:ascii="Calibri" w:hAnsi="Calibri"/>
          <w:sz w:val="22"/>
          <w:szCs w:val="22"/>
        </w:rPr>
      </w:pPr>
      <w:r w:rsidRPr="4AD6F65D">
        <w:rPr>
          <w:rFonts w:ascii="Calibri" w:hAnsi="Calibri"/>
          <w:sz w:val="22"/>
          <w:szCs w:val="22"/>
        </w:rPr>
        <w:t>As a result of the Settlement Agreement</w:t>
      </w:r>
      <w:r w:rsidRPr="4AD6F65D" w:rsidR="4E801A24">
        <w:rPr>
          <w:rFonts w:ascii="Calibri" w:hAnsi="Calibri"/>
          <w:sz w:val="22"/>
          <w:szCs w:val="22"/>
        </w:rPr>
        <w:t xml:space="preserve"> there are additional changes </w:t>
      </w:r>
      <w:r w:rsidRPr="4AD6F65D" w:rsidR="058C6A54">
        <w:rPr>
          <w:rFonts w:ascii="Calibri" w:hAnsi="Calibri"/>
          <w:sz w:val="22"/>
          <w:szCs w:val="22"/>
        </w:rPr>
        <w:t xml:space="preserve">directly impacting forms in this information collection. Namely the removal of provisions related to the Saving on a Valuable Education (SAVE) Plan and provisions related to </w:t>
      </w:r>
      <w:r w:rsidRPr="4AD6F65D" w:rsidR="43103A0E">
        <w:rPr>
          <w:rFonts w:ascii="Calibri" w:hAnsi="Calibri"/>
          <w:sz w:val="22"/>
          <w:szCs w:val="22"/>
        </w:rPr>
        <w:t>the ability to count payments made in an IDR plan prior to consolidating a loan and access to the IBR Plan for loans in Default</w:t>
      </w:r>
      <w:r w:rsidRPr="4AD6F65D" w:rsidR="59520D79">
        <w:rPr>
          <w:rFonts w:ascii="Calibri" w:hAnsi="Calibri"/>
          <w:sz w:val="22"/>
          <w:szCs w:val="22"/>
        </w:rPr>
        <w:t>.</w:t>
      </w:r>
    </w:p>
    <w:p w:rsidR="00512C43" w:rsidP="2F897402" w14:paraId="78E74D6F" w14:textId="77777777">
      <w:pPr>
        <w:pStyle w:val="BodyTextIndent"/>
        <w:spacing w:after="200" w:line="276" w:lineRule="auto"/>
        <w:rPr>
          <w:rFonts w:ascii="Calibri" w:hAnsi="Calibri"/>
          <w:sz w:val="22"/>
          <w:szCs w:val="22"/>
        </w:rPr>
      </w:pPr>
      <w:r w:rsidRPr="2F897402">
        <w:rPr>
          <w:rFonts w:ascii="Calibri" w:hAnsi="Calibri"/>
          <w:sz w:val="22"/>
          <w:szCs w:val="22"/>
        </w:rPr>
        <w:t>In this Supporting Statement, we use the term “promissory note” to refer collectively to the Subsidized/Unsubsidized MPN, the PLUS MPN, and the Consolidation Application/Promissory Note.</w:t>
      </w:r>
    </w:p>
    <w:p w:rsidR="00BA25D7" w:rsidP="005C726E" w14:paraId="64A9E187" w14:textId="6B642527">
      <w:pPr>
        <w:pStyle w:val="BodyTextIndent"/>
        <w:spacing w:after="200" w:line="276" w:lineRule="auto"/>
        <w:rPr>
          <w:rFonts w:ascii="Calibri" w:hAnsi="Calibri"/>
          <w:sz w:val="22"/>
          <w:szCs w:val="22"/>
        </w:rPr>
      </w:pPr>
      <w:r w:rsidRPr="2F897402">
        <w:rPr>
          <w:rFonts w:ascii="Calibri" w:hAnsi="Calibri"/>
          <w:sz w:val="22"/>
          <w:szCs w:val="22"/>
        </w:rPr>
        <w:t>This is a request for a revision of the current information collection to update the forms to conform with the new regulations.</w:t>
      </w:r>
    </w:p>
    <w:p w:rsidR="001913FD" w:rsidP="001913FD" w14:paraId="4374BE54" w14:textId="77777777">
      <w:pPr>
        <w:pStyle w:val="BodyTextIndent"/>
        <w:spacing w:after="200" w:line="276" w:lineRule="auto"/>
        <w:rPr>
          <w:rFonts w:ascii="Calibri" w:hAnsi="Calibri"/>
          <w:sz w:val="22"/>
          <w:szCs w:val="22"/>
        </w:rPr>
      </w:pPr>
      <w:r>
        <w:rPr>
          <w:rFonts w:ascii="Calibri" w:hAnsi="Calibri"/>
          <w:sz w:val="22"/>
          <w:szCs w:val="22"/>
        </w:rPr>
        <w:t>The proposed changes to the forms currently approved under OMB No. 1845-0007 include the following:</w:t>
      </w:r>
    </w:p>
    <w:p w:rsidR="00AA56E0" w:rsidRPr="00AA56E0" w:rsidP="4B27AD8A" w14:paraId="69FCB36B" w14:textId="2425D09A">
      <w:pPr>
        <w:pStyle w:val="BodyTextIndent"/>
        <w:numPr>
          <w:ilvl w:val="0"/>
          <w:numId w:val="12"/>
        </w:numPr>
        <w:tabs>
          <w:tab w:val="clear" w:pos="0"/>
        </w:tabs>
        <w:suppressAutoHyphens w:val="0"/>
        <w:spacing w:after="200" w:line="276" w:lineRule="auto"/>
        <w:ind w:left="1080"/>
        <w:rPr>
          <w:rFonts w:asciiTheme="minorHAnsi" w:hAnsiTheme="minorHAnsi"/>
          <w:sz w:val="22"/>
          <w:szCs w:val="22"/>
        </w:rPr>
      </w:pPr>
      <w:r w:rsidRPr="00AA56E0">
        <w:rPr>
          <w:rFonts w:ascii="Calibri" w:hAnsi="Calibri"/>
          <w:sz w:val="22"/>
          <w:szCs w:val="22"/>
        </w:rPr>
        <w:t>We have revised language in the promissory notes</w:t>
      </w:r>
      <w:r w:rsidRPr="00AA56E0" w:rsidR="3E46CC19">
        <w:rPr>
          <w:rFonts w:ascii="Calibri" w:hAnsi="Calibri"/>
          <w:sz w:val="22"/>
          <w:szCs w:val="22"/>
        </w:rPr>
        <w:t>, Direct PLUS Loan Endorser Addendum,</w:t>
      </w:r>
      <w:r w:rsidRPr="00AA56E0">
        <w:rPr>
          <w:rFonts w:ascii="Calibri" w:hAnsi="Calibri"/>
          <w:sz w:val="22"/>
          <w:szCs w:val="22"/>
        </w:rPr>
        <w:t xml:space="preserve"> </w:t>
      </w:r>
      <w:r w:rsidRPr="00AA56E0" w:rsidR="7550C2A7">
        <w:rPr>
          <w:rFonts w:ascii="Calibri" w:hAnsi="Calibri"/>
          <w:sz w:val="22"/>
          <w:szCs w:val="22"/>
        </w:rPr>
        <w:t xml:space="preserve">and Lender Verification Certificates (LVCs) </w:t>
      </w:r>
      <w:r w:rsidRPr="00AA56E0">
        <w:rPr>
          <w:rFonts w:ascii="Calibri" w:hAnsi="Calibri"/>
          <w:sz w:val="22"/>
          <w:szCs w:val="22"/>
        </w:rPr>
        <w:t xml:space="preserve">where necessary to reflect changes </w:t>
      </w:r>
      <w:r w:rsidRPr="00AA56E0">
        <w:rPr>
          <w:rFonts w:ascii="Calibri" w:hAnsi="Calibri"/>
          <w:sz w:val="22"/>
          <w:szCs w:val="22"/>
        </w:rPr>
        <w:t>to  Direct</w:t>
      </w:r>
      <w:r w:rsidRPr="00AA56E0">
        <w:rPr>
          <w:rFonts w:ascii="Calibri" w:hAnsi="Calibri"/>
          <w:sz w:val="22"/>
          <w:szCs w:val="22"/>
        </w:rPr>
        <w:t xml:space="preserve"> Loans made </w:t>
      </w:r>
      <w:r w:rsidRPr="00AA56E0" w:rsidR="4B713200">
        <w:rPr>
          <w:rFonts w:ascii="Calibri" w:hAnsi="Calibri"/>
          <w:sz w:val="22"/>
          <w:szCs w:val="22"/>
        </w:rPr>
        <w:t>in</w:t>
      </w:r>
      <w:r w:rsidRPr="00AA56E0">
        <w:rPr>
          <w:rFonts w:ascii="Calibri" w:hAnsi="Calibri"/>
          <w:sz w:val="22"/>
          <w:szCs w:val="22"/>
        </w:rPr>
        <w:t xml:space="preserve"> </w:t>
      </w:r>
      <w:r w:rsidRPr="00AA56E0" w:rsidR="7CC6A769">
        <w:rPr>
          <w:rFonts w:ascii="Calibri" w:hAnsi="Calibri"/>
          <w:sz w:val="22"/>
          <w:szCs w:val="22"/>
        </w:rPr>
        <w:t xml:space="preserve">the </w:t>
      </w:r>
      <w:hyperlink r:id="rId9">
        <w:r w:rsidRPr="00AA56E0" w:rsidR="5AF7B575">
          <w:rPr>
            <w:rStyle w:val="Hyperlink"/>
            <w:rFonts w:ascii="Calibri" w:hAnsi="Calibri"/>
            <w:sz w:val="22"/>
            <w:szCs w:val="22"/>
          </w:rPr>
          <w:t>Notice of Proposed Rulemaking</w:t>
        </w:r>
      </w:hyperlink>
      <w:r w:rsidRPr="00AA56E0" w:rsidR="5AF7B575">
        <w:rPr>
          <w:rFonts w:ascii="Calibri" w:hAnsi="Calibri"/>
          <w:sz w:val="22"/>
          <w:szCs w:val="22"/>
        </w:rPr>
        <w:t xml:space="preserve"> (91 FR 4254)</w:t>
      </w:r>
      <w:r w:rsidRPr="00AA56E0">
        <w:rPr>
          <w:rFonts w:ascii="Calibri" w:hAnsi="Calibri"/>
          <w:sz w:val="22"/>
          <w:szCs w:val="22"/>
        </w:rPr>
        <w:t xml:space="preserve"> </w:t>
      </w:r>
      <w:r w:rsidRPr="00AA56E0" w:rsidR="371ABF74">
        <w:rPr>
          <w:rFonts w:ascii="Calibri" w:hAnsi="Calibri"/>
          <w:sz w:val="22"/>
          <w:szCs w:val="22"/>
        </w:rPr>
        <w:t xml:space="preserve">published on </w:t>
      </w:r>
      <w:r w:rsidRPr="00AA56E0" w:rsidR="7825BEE5">
        <w:rPr>
          <w:rFonts w:ascii="Calibri" w:hAnsi="Calibri"/>
          <w:sz w:val="22"/>
          <w:szCs w:val="22"/>
        </w:rPr>
        <w:t>January 30, 2026</w:t>
      </w:r>
      <w:r w:rsidRPr="00AA56E0" w:rsidR="1564C6D1">
        <w:rPr>
          <w:rFonts w:ascii="Calibri" w:hAnsi="Calibri"/>
          <w:sz w:val="22"/>
          <w:szCs w:val="22"/>
        </w:rPr>
        <w:t>.</w:t>
      </w:r>
    </w:p>
    <w:p w:rsidR="073B2909" w:rsidRPr="00AA56E0" w:rsidP="4B27AD8A" w14:paraId="43ED4CBB" w14:textId="78AEEE66">
      <w:pPr>
        <w:pStyle w:val="BodyTextIndent"/>
        <w:numPr>
          <w:ilvl w:val="0"/>
          <w:numId w:val="12"/>
        </w:numPr>
        <w:tabs>
          <w:tab w:val="clear" w:pos="0"/>
        </w:tabs>
        <w:suppressAutoHyphens w:val="0"/>
        <w:spacing w:after="200" w:line="276" w:lineRule="auto"/>
        <w:ind w:left="1080"/>
        <w:rPr>
          <w:rFonts w:asciiTheme="minorHAnsi" w:hAnsiTheme="minorHAnsi"/>
          <w:sz w:val="22"/>
          <w:szCs w:val="22"/>
        </w:rPr>
      </w:pPr>
      <w:r w:rsidRPr="00AA56E0">
        <w:rPr>
          <w:rFonts w:ascii="Calibri" w:hAnsi="Calibri"/>
          <w:sz w:val="22"/>
          <w:szCs w:val="22"/>
        </w:rPr>
        <w:t xml:space="preserve">Minor </w:t>
      </w:r>
      <w:r w:rsidRPr="00AA56E0">
        <w:rPr>
          <w:rFonts w:ascii="Calibri" w:hAnsi="Calibri"/>
          <w:sz w:val="22"/>
          <w:szCs w:val="22"/>
        </w:rPr>
        <w:t xml:space="preserve">changes were necessary </w:t>
      </w:r>
      <w:r w:rsidRPr="00AA56E0" w:rsidR="1B3A62C2">
        <w:rPr>
          <w:rFonts w:ascii="Calibri" w:hAnsi="Calibri"/>
          <w:sz w:val="22"/>
          <w:szCs w:val="22"/>
        </w:rPr>
        <w:t>on</w:t>
      </w:r>
      <w:r w:rsidRPr="00AA56E0">
        <w:rPr>
          <w:rFonts w:ascii="Calibri" w:hAnsi="Calibri"/>
          <w:sz w:val="22"/>
          <w:szCs w:val="22"/>
        </w:rPr>
        <w:t xml:space="preserve"> the </w:t>
      </w:r>
      <w:r w:rsidRPr="00AA56E0">
        <w:rPr>
          <w:rFonts w:asciiTheme="minorHAnsi" w:hAnsiTheme="minorHAnsi"/>
          <w:sz w:val="22"/>
          <w:szCs w:val="22"/>
        </w:rPr>
        <w:t>Request to Add Loans form</w:t>
      </w:r>
      <w:r w:rsidRPr="00AA56E0" w:rsidR="4E606658">
        <w:rPr>
          <w:rFonts w:asciiTheme="minorHAnsi" w:hAnsiTheme="minorHAnsi"/>
          <w:sz w:val="22"/>
          <w:szCs w:val="22"/>
        </w:rPr>
        <w:t xml:space="preserve"> to update sections related to where to send the form</w:t>
      </w:r>
      <w:r w:rsidRPr="00AA56E0">
        <w:rPr>
          <w:rFonts w:asciiTheme="minorHAnsi" w:hAnsiTheme="minorHAnsi"/>
          <w:sz w:val="22"/>
          <w:szCs w:val="22"/>
        </w:rPr>
        <w:t>.</w:t>
      </w:r>
    </w:p>
    <w:p w:rsidR="001913FD" w:rsidRPr="001564B4" w:rsidP="00916141" w14:paraId="537EA79D" w14:textId="2027522C">
      <w:pPr>
        <w:pStyle w:val="BodyTextIndent"/>
        <w:tabs>
          <w:tab w:val="clear" w:pos="0"/>
        </w:tabs>
        <w:spacing w:after="200" w:line="276" w:lineRule="auto"/>
        <w:rPr>
          <w:rFonts w:ascii="Calibri" w:hAnsi="Calibri"/>
          <w:sz w:val="22"/>
          <w:szCs w:val="22"/>
        </w:rPr>
      </w:pPr>
      <w:r w:rsidRPr="4AD6F65D">
        <w:rPr>
          <w:rFonts w:ascii="Calibri" w:hAnsi="Calibri"/>
          <w:sz w:val="22"/>
          <w:szCs w:val="22"/>
        </w:rPr>
        <w:t>In addition to the substantive changes described above, we have made wording changes in various places throughout the forms for greater clarity</w:t>
      </w:r>
      <w:r w:rsidRPr="4AD6F65D" w:rsidR="68ECA946">
        <w:rPr>
          <w:rFonts w:ascii="Calibri" w:hAnsi="Calibri"/>
          <w:sz w:val="22"/>
          <w:szCs w:val="22"/>
        </w:rPr>
        <w:t xml:space="preserve"> and conformity between </w:t>
      </w:r>
      <w:r w:rsidRPr="4AD6F65D" w:rsidR="76B533F0">
        <w:rPr>
          <w:rFonts w:ascii="Calibri" w:hAnsi="Calibri"/>
          <w:sz w:val="22"/>
          <w:szCs w:val="22"/>
        </w:rPr>
        <w:t>the</w:t>
      </w:r>
      <w:r w:rsidRPr="4AD6F65D" w:rsidR="68ECA946">
        <w:rPr>
          <w:rFonts w:ascii="Calibri" w:hAnsi="Calibri"/>
          <w:sz w:val="22"/>
          <w:szCs w:val="22"/>
        </w:rPr>
        <w:t xml:space="preserve"> </w:t>
      </w:r>
      <w:r w:rsidRPr="4AD6F65D" w:rsidR="6FA576CE">
        <w:rPr>
          <w:rFonts w:ascii="Calibri" w:hAnsi="Calibri"/>
          <w:sz w:val="22"/>
          <w:szCs w:val="22"/>
        </w:rPr>
        <w:t>MPNs</w:t>
      </w:r>
      <w:r w:rsidRPr="4AD6F65D" w:rsidR="39A868A1">
        <w:rPr>
          <w:rFonts w:ascii="Calibri" w:hAnsi="Calibri"/>
          <w:sz w:val="22"/>
          <w:szCs w:val="22"/>
        </w:rPr>
        <w:t xml:space="preserve"> as well as based on </w:t>
      </w:r>
      <w:r w:rsidRPr="4AD6F65D" w:rsidR="3B961C7E">
        <w:rPr>
          <w:rFonts w:ascii="Calibri" w:hAnsi="Calibri"/>
          <w:sz w:val="22"/>
          <w:szCs w:val="22"/>
        </w:rPr>
        <w:t>advice provided by</w:t>
      </w:r>
      <w:r w:rsidRPr="4AD6F65D" w:rsidR="39A868A1">
        <w:rPr>
          <w:rFonts w:ascii="Calibri" w:hAnsi="Calibri"/>
          <w:sz w:val="22"/>
          <w:szCs w:val="22"/>
        </w:rPr>
        <w:t xml:space="preserve"> the Office of the General Counsel</w:t>
      </w:r>
      <w:r w:rsidRPr="4AD6F65D">
        <w:rPr>
          <w:rFonts w:ascii="Calibri" w:hAnsi="Calibri"/>
          <w:sz w:val="22"/>
          <w:szCs w:val="22"/>
        </w:rPr>
        <w:t>.</w:t>
      </w:r>
    </w:p>
    <w:p w:rsidR="00AD381B" w:rsidRPr="00D90043" w:rsidP="00E622CD" w14:paraId="3CF11551" w14:textId="77777777">
      <w:pPr>
        <w:pStyle w:val="ListParagraph"/>
        <w:numPr>
          <w:ilvl w:val="0"/>
          <w:numId w:val="4"/>
        </w:numPr>
        <w:suppressAutoHyphens/>
        <w:spacing w:after="120" w:line="276" w:lineRule="auto"/>
        <w:contextualSpacing w:val="0"/>
        <w:rPr>
          <w:rFonts w:asciiTheme="minorHAnsi" w:hAnsiTheme="minorHAnsi" w:cstheme="minorHAnsi"/>
          <w:b/>
          <w:bCs/>
          <w:sz w:val="22"/>
          <w:szCs w:val="22"/>
        </w:rPr>
      </w:pPr>
      <w:r w:rsidRPr="00E622CD">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collection.</w:t>
      </w:r>
    </w:p>
    <w:p w:rsidR="00D90043" w:rsidP="00D90043" w14:paraId="07CB91C1" w14:textId="77777777">
      <w:pPr>
        <w:spacing w:after="200" w:line="276" w:lineRule="auto"/>
        <w:ind w:left="720"/>
        <w:rPr>
          <w:rFonts w:ascii="Calibri" w:hAnsi="Calibri"/>
          <w:sz w:val="22"/>
          <w:szCs w:val="22"/>
        </w:rPr>
      </w:pPr>
      <w:r w:rsidRPr="001564B4">
        <w:rPr>
          <w:rFonts w:ascii="Calibri" w:hAnsi="Calibri"/>
          <w:sz w:val="22"/>
          <w:szCs w:val="22"/>
        </w:rPr>
        <w:t xml:space="preserve">The Department will continue to use the information collected on the </w:t>
      </w:r>
      <w:r>
        <w:rPr>
          <w:rFonts w:ascii="Calibri" w:hAnsi="Calibri"/>
          <w:sz w:val="22"/>
          <w:szCs w:val="22"/>
        </w:rPr>
        <w:t>promissory notes and PLUS Endorser Addendum t</w:t>
      </w:r>
      <w:r w:rsidRPr="001564B4">
        <w:rPr>
          <w:rFonts w:ascii="Calibri" w:hAnsi="Calibri"/>
          <w:sz w:val="22"/>
          <w:szCs w:val="22"/>
        </w:rPr>
        <w:t xml:space="preserve">o process and service </w:t>
      </w:r>
      <w:r>
        <w:rPr>
          <w:rFonts w:ascii="Calibri" w:hAnsi="Calibri"/>
          <w:sz w:val="22"/>
          <w:szCs w:val="22"/>
        </w:rPr>
        <w:t xml:space="preserve">loans made under the Direct Loan Program. Each promissory note serves </w:t>
      </w:r>
      <w:r w:rsidRPr="001564B4">
        <w:rPr>
          <w:rFonts w:ascii="Calibri" w:hAnsi="Calibri"/>
          <w:sz w:val="22"/>
          <w:szCs w:val="22"/>
        </w:rPr>
        <w:t xml:space="preserve">as </w:t>
      </w:r>
      <w:r>
        <w:rPr>
          <w:rFonts w:ascii="Calibri" w:hAnsi="Calibri"/>
          <w:sz w:val="22"/>
          <w:szCs w:val="22"/>
        </w:rPr>
        <w:t>a</w:t>
      </w:r>
      <w:r w:rsidRPr="001564B4">
        <w:rPr>
          <w:rFonts w:ascii="Calibri" w:hAnsi="Calibri"/>
          <w:sz w:val="22"/>
          <w:szCs w:val="22"/>
        </w:rPr>
        <w:t xml:space="preserve"> borrower’s legally binding promise to repay all loan</w:t>
      </w:r>
      <w:r>
        <w:rPr>
          <w:rFonts w:ascii="Calibri" w:hAnsi="Calibri"/>
          <w:sz w:val="22"/>
          <w:szCs w:val="22"/>
        </w:rPr>
        <w:t xml:space="preserve">s made under that promissory note. The </w:t>
      </w:r>
      <w:r w:rsidRPr="004F4597">
        <w:rPr>
          <w:rFonts w:asciiTheme="minorHAnsi" w:hAnsiTheme="minorHAnsi"/>
          <w:sz w:val="22"/>
          <w:szCs w:val="22"/>
        </w:rPr>
        <w:t xml:space="preserve">Endorser Addendum </w:t>
      </w:r>
      <w:r>
        <w:rPr>
          <w:rFonts w:asciiTheme="minorHAnsi" w:hAnsiTheme="minorHAnsi"/>
          <w:sz w:val="22"/>
          <w:szCs w:val="22"/>
        </w:rPr>
        <w:t xml:space="preserve">serves as </w:t>
      </w:r>
      <w:r w:rsidRPr="004F4597">
        <w:rPr>
          <w:rFonts w:asciiTheme="minorHAnsi" w:hAnsiTheme="minorHAnsi"/>
          <w:sz w:val="22"/>
          <w:szCs w:val="22"/>
        </w:rPr>
        <w:t xml:space="preserve">the </w:t>
      </w:r>
      <w:r w:rsidRPr="004F4597">
        <w:rPr>
          <w:rFonts w:asciiTheme="minorHAnsi" w:hAnsiTheme="minorHAnsi"/>
          <w:sz w:val="22"/>
          <w:szCs w:val="22"/>
        </w:rPr>
        <w:t>endorser’s</w:t>
      </w:r>
      <w:r w:rsidRPr="004F4597">
        <w:rPr>
          <w:rFonts w:asciiTheme="minorHAnsi" w:hAnsiTheme="minorHAnsi"/>
          <w:sz w:val="22"/>
          <w:szCs w:val="22"/>
        </w:rPr>
        <w:t xml:space="preserve"> legally binding promise to repay a Direct PLUS Loan if the borrower does not repay the loan.</w:t>
      </w:r>
    </w:p>
    <w:p w:rsidR="00D90043" w:rsidRPr="00E16507" w:rsidP="00D90043" w14:paraId="27A35DF9" w14:textId="2E776B38">
      <w:pPr>
        <w:pStyle w:val="BodyText0"/>
        <w:spacing w:after="200" w:line="276" w:lineRule="auto"/>
        <w:ind w:left="720"/>
        <w:rPr>
          <w:rFonts w:asciiTheme="minorHAnsi" w:hAnsiTheme="minorHAnsi"/>
          <w:b/>
          <w:bCs/>
          <w:sz w:val="22"/>
          <w:szCs w:val="22"/>
        </w:rPr>
      </w:pPr>
      <w:r>
        <w:rPr>
          <w:rFonts w:asciiTheme="minorHAnsi" w:hAnsiTheme="minorHAnsi"/>
          <w:sz w:val="22"/>
          <w:szCs w:val="22"/>
        </w:rPr>
        <w:t>In addition to the Consolidation Note, t</w:t>
      </w:r>
      <w:r w:rsidRPr="00E16507">
        <w:rPr>
          <w:rFonts w:asciiTheme="minorHAnsi" w:hAnsiTheme="minorHAnsi"/>
          <w:sz w:val="22"/>
          <w:szCs w:val="22"/>
        </w:rPr>
        <w:t xml:space="preserve">here are </w:t>
      </w:r>
      <w:r>
        <w:rPr>
          <w:rFonts w:asciiTheme="minorHAnsi" w:hAnsiTheme="minorHAnsi"/>
          <w:sz w:val="22"/>
          <w:szCs w:val="22"/>
        </w:rPr>
        <w:t>two</w:t>
      </w:r>
      <w:r w:rsidRPr="00E16507">
        <w:rPr>
          <w:rFonts w:asciiTheme="minorHAnsi" w:hAnsiTheme="minorHAnsi"/>
          <w:sz w:val="22"/>
          <w:szCs w:val="22"/>
        </w:rPr>
        <w:t xml:space="preserve"> </w:t>
      </w:r>
      <w:r>
        <w:rPr>
          <w:rFonts w:asciiTheme="minorHAnsi" w:hAnsiTheme="minorHAnsi"/>
          <w:sz w:val="22"/>
          <w:szCs w:val="22"/>
        </w:rPr>
        <w:t>additional Direct Consolidation L</w:t>
      </w:r>
      <w:r w:rsidRPr="00E16507">
        <w:rPr>
          <w:rFonts w:asciiTheme="minorHAnsi" w:hAnsiTheme="minorHAnsi"/>
          <w:sz w:val="22"/>
          <w:szCs w:val="22"/>
        </w:rPr>
        <w:t xml:space="preserve">oan forms that </w:t>
      </w:r>
      <w:r>
        <w:rPr>
          <w:rFonts w:asciiTheme="minorHAnsi" w:hAnsiTheme="minorHAnsi"/>
          <w:sz w:val="22"/>
          <w:szCs w:val="22"/>
        </w:rPr>
        <w:t xml:space="preserve">will continue to be </w:t>
      </w:r>
      <w:r w:rsidRPr="00E16507">
        <w:rPr>
          <w:rFonts w:asciiTheme="minorHAnsi" w:hAnsiTheme="minorHAnsi"/>
          <w:sz w:val="22"/>
          <w:szCs w:val="22"/>
        </w:rPr>
        <w:t>used as follows:</w:t>
      </w:r>
    </w:p>
    <w:p w:rsidR="00D90043" w:rsidRPr="00F85DC3" w:rsidP="0002794E" w14:paraId="4158F086" w14:textId="77777777">
      <w:pPr>
        <w:pStyle w:val="BodyTextIndent"/>
        <w:numPr>
          <w:ilvl w:val="0"/>
          <w:numId w:val="13"/>
        </w:numPr>
        <w:tabs>
          <w:tab w:val="clear" w:pos="-720"/>
          <w:tab w:val="clear" w:pos="0"/>
          <w:tab w:val="clear" w:pos="720"/>
        </w:tabs>
        <w:suppressAutoHyphens w:val="0"/>
        <w:spacing w:after="200" w:line="276" w:lineRule="auto"/>
        <w:ind w:left="1080"/>
        <w:rPr>
          <w:rFonts w:asciiTheme="minorHAnsi" w:hAnsiTheme="minorHAnsi"/>
          <w:b/>
          <w:bCs/>
          <w:sz w:val="22"/>
          <w:szCs w:val="22"/>
        </w:rPr>
      </w:pPr>
      <w:r w:rsidRPr="00E16507">
        <w:rPr>
          <w:rFonts w:asciiTheme="minorHAnsi" w:hAnsiTheme="minorHAnsi"/>
          <w:sz w:val="22"/>
          <w:szCs w:val="22"/>
        </w:rPr>
        <w:t>Request to Add Loans</w:t>
      </w:r>
      <w:r>
        <w:rPr>
          <w:rFonts w:asciiTheme="minorHAnsi" w:hAnsiTheme="minorHAnsi"/>
          <w:sz w:val="22"/>
          <w:szCs w:val="22"/>
        </w:rPr>
        <w:t xml:space="preserve">. </w:t>
      </w:r>
      <w:r w:rsidRPr="00E16507">
        <w:rPr>
          <w:rFonts w:asciiTheme="minorHAnsi" w:hAnsiTheme="minorHAnsi"/>
          <w:sz w:val="22"/>
          <w:szCs w:val="22"/>
        </w:rPr>
        <w:t>Th</w:t>
      </w:r>
      <w:r>
        <w:rPr>
          <w:rFonts w:asciiTheme="minorHAnsi" w:hAnsiTheme="minorHAnsi"/>
          <w:sz w:val="22"/>
          <w:szCs w:val="22"/>
        </w:rPr>
        <w:t xml:space="preserve">is form </w:t>
      </w:r>
      <w:r w:rsidRPr="00E16507">
        <w:rPr>
          <w:rFonts w:asciiTheme="minorHAnsi" w:hAnsiTheme="minorHAnsi"/>
          <w:sz w:val="22"/>
          <w:szCs w:val="22"/>
        </w:rPr>
        <w:t>may be used by borrowers to add additional loans to a Direct Consolidation Loans after the application and promissory note has been submitted, or up to 180 days after a Direct Consolidation Loan has been made.</w:t>
      </w:r>
    </w:p>
    <w:p w:rsidR="00D90043" w:rsidRPr="00F85DC3" w:rsidP="0002794E" w14:paraId="0C102112" w14:textId="77777777">
      <w:pPr>
        <w:pStyle w:val="BodyTextIndent"/>
        <w:numPr>
          <w:ilvl w:val="0"/>
          <w:numId w:val="13"/>
        </w:numPr>
        <w:tabs>
          <w:tab w:val="clear" w:pos="-720"/>
          <w:tab w:val="clear" w:pos="0"/>
          <w:tab w:val="clear" w:pos="720"/>
        </w:tabs>
        <w:suppressAutoHyphens w:val="0"/>
        <w:spacing w:after="200" w:line="276" w:lineRule="auto"/>
        <w:ind w:left="1080"/>
        <w:rPr>
          <w:rFonts w:asciiTheme="minorHAnsi" w:hAnsiTheme="minorHAnsi"/>
          <w:b/>
          <w:bCs/>
          <w:sz w:val="22"/>
          <w:szCs w:val="22"/>
        </w:rPr>
      </w:pPr>
      <w:r w:rsidRPr="00E16507">
        <w:rPr>
          <w:rFonts w:asciiTheme="minorHAnsi" w:hAnsiTheme="minorHAnsi"/>
          <w:sz w:val="22"/>
          <w:szCs w:val="22"/>
        </w:rPr>
        <w:t>Loan Verification Certificate (LVC)</w:t>
      </w:r>
      <w:r>
        <w:rPr>
          <w:rFonts w:asciiTheme="minorHAnsi" w:hAnsiTheme="minorHAnsi"/>
          <w:sz w:val="22"/>
          <w:szCs w:val="22"/>
        </w:rPr>
        <w:t xml:space="preserve">. </w:t>
      </w:r>
      <w:r w:rsidRPr="00E16507">
        <w:rPr>
          <w:rFonts w:asciiTheme="minorHAnsi" w:hAnsiTheme="minorHAnsi"/>
          <w:sz w:val="22"/>
          <w:szCs w:val="22"/>
        </w:rPr>
        <w:t xml:space="preserve">The LVC is used to confirm that a borrower’s loans are eligible for consolidation, and to verify the current payoff amount of each loan. Once a borrower’s application and promissory note </w:t>
      </w:r>
      <w:r w:rsidRPr="00E16507">
        <w:rPr>
          <w:rFonts w:asciiTheme="minorHAnsi" w:hAnsiTheme="minorHAnsi"/>
          <w:sz w:val="22"/>
          <w:szCs w:val="22"/>
        </w:rPr>
        <w:t>has</w:t>
      </w:r>
      <w:r w:rsidRPr="00E16507">
        <w:rPr>
          <w:rFonts w:asciiTheme="minorHAnsi" w:hAnsiTheme="minorHAnsi"/>
          <w:sz w:val="22"/>
          <w:szCs w:val="22"/>
        </w:rPr>
        <w:t xml:space="preserve"> been processed, ED sends an LVC to the loan holder or loan servicer of each loan that the borrower wants to consolidate. After completing the LVC, the loan holder/servicer returns the form to ED</w:t>
      </w:r>
      <w:r>
        <w:rPr>
          <w:rFonts w:asciiTheme="minorHAnsi" w:hAnsiTheme="minorHAnsi"/>
          <w:sz w:val="22"/>
          <w:szCs w:val="22"/>
        </w:rPr>
        <w:t xml:space="preserve">. </w:t>
      </w:r>
      <w:r w:rsidRPr="00E16507">
        <w:rPr>
          <w:rFonts w:asciiTheme="minorHAnsi" w:hAnsiTheme="minorHAnsi"/>
          <w:sz w:val="22"/>
          <w:szCs w:val="22"/>
        </w:rPr>
        <w:t>Most loan holders/servicers provide the LVC information to ED electronically via our website or a batch process.</w:t>
      </w:r>
    </w:p>
    <w:p w:rsidR="00D90043" w:rsidRPr="00F85DC3" w:rsidP="00D90043" w14:paraId="61D16197" w14:textId="77777777">
      <w:pPr>
        <w:pStyle w:val="BodyTextIndent"/>
        <w:spacing w:after="200" w:line="276" w:lineRule="auto"/>
        <w:rPr>
          <w:rFonts w:asciiTheme="minorHAnsi" w:hAnsiTheme="minorHAnsi"/>
          <w:sz w:val="22"/>
          <w:szCs w:val="22"/>
        </w:rPr>
      </w:pPr>
      <w:r>
        <w:rPr>
          <w:rFonts w:asciiTheme="minorHAnsi" w:hAnsiTheme="minorHAnsi"/>
          <w:sz w:val="22"/>
          <w:szCs w:val="22"/>
        </w:rPr>
        <w:t xml:space="preserve">Borrowers may complete and submit the promissory notes online at the Department’s StudentAid.gov </w:t>
      </w:r>
      <w:r>
        <w:rPr>
          <w:rFonts w:asciiTheme="minorHAnsi" w:hAnsiTheme="minorHAnsi"/>
          <w:sz w:val="22"/>
          <w:szCs w:val="22"/>
        </w:rPr>
        <w:t>website, or</w:t>
      </w:r>
      <w:r>
        <w:rPr>
          <w:rFonts w:asciiTheme="minorHAnsi" w:hAnsiTheme="minorHAnsi"/>
          <w:sz w:val="22"/>
          <w:szCs w:val="22"/>
        </w:rPr>
        <w:t xml:space="preserve"> may complete and </w:t>
      </w:r>
      <w:r>
        <w:rPr>
          <w:rFonts w:asciiTheme="minorHAnsi" w:hAnsiTheme="minorHAnsi"/>
          <w:sz w:val="22"/>
          <w:szCs w:val="22"/>
        </w:rPr>
        <w:t>return paper</w:t>
      </w:r>
      <w:r>
        <w:rPr>
          <w:rFonts w:asciiTheme="minorHAnsi" w:hAnsiTheme="minorHAnsi"/>
          <w:sz w:val="22"/>
          <w:szCs w:val="22"/>
        </w:rPr>
        <w:t xml:space="preserve"> promissory notes. </w:t>
      </w:r>
    </w:p>
    <w:p w:rsidR="00043C32" w:rsidRPr="00E622CD" w:rsidP="00E622CD" w14:paraId="3899C495"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E622CD">
        <w:rPr>
          <w:rFonts w:asciiTheme="minorHAnsi" w:hAnsiTheme="minorHAnsi" w:cstheme="minorHAnsi"/>
          <w:b/>
          <w:sz w:val="22"/>
          <w:szCs w:val="22"/>
        </w:rPr>
        <w:t>of adopting</w:t>
      </w:r>
      <w:r w:rsidRPr="00E622CD">
        <w:rPr>
          <w:rFonts w:asciiTheme="minorHAnsi" w:hAnsiTheme="minorHAnsi" w:cstheme="minorHAnsi"/>
          <w:b/>
          <w:sz w:val="22"/>
          <w:szCs w:val="22"/>
        </w:rPr>
        <w:t xml:space="preserve"> this means of collection. </w:t>
      </w:r>
      <w:r w:rsidRPr="00E622CD" w:rsidR="006A38F7">
        <w:rPr>
          <w:rFonts w:asciiTheme="minorHAnsi" w:hAnsiTheme="minorHAnsi" w:cstheme="minorHAnsi"/>
          <w:b/>
          <w:sz w:val="22"/>
          <w:szCs w:val="22"/>
        </w:rPr>
        <w:t xml:space="preserve">Please identify systems or websites used to electronically collect this information. </w:t>
      </w:r>
      <w:r w:rsidRPr="00E622CD">
        <w:rPr>
          <w:rFonts w:asciiTheme="minorHAnsi" w:hAnsiTheme="minorHAnsi" w:cstheme="minorHAnsi"/>
          <w:b/>
          <w:sz w:val="22"/>
          <w:szCs w:val="22"/>
        </w:rPr>
        <w:t>Also describe any consideration given to using technology to reduce burden.</w:t>
      </w:r>
      <w:r w:rsidRPr="00E622CD" w:rsidR="00A23F26">
        <w:rPr>
          <w:rFonts w:asciiTheme="minorHAnsi" w:hAnsiTheme="minorHAnsi" w:cstheme="minorHAnsi"/>
          <w:b/>
          <w:sz w:val="22"/>
          <w:szCs w:val="22"/>
        </w:rPr>
        <w:t xml:space="preserve"> If there is an increase or decrease in burden related to using technology (e.g. using an electronic form, system or website from paper), please explain in number 12.</w:t>
      </w:r>
    </w:p>
    <w:p w:rsidR="006A4D05" w:rsidP="006A4D05" w14:paraId="7E176317" w14:textId="77777777">
      <w:pPr>
        <w:pStyle w:val="Footer"/>
        <w:spacing w:after="200" w:line="276" w:lineRule="auto"/>
        <w:ind w:left="720"/>
        <w:rPr>
          <w:rFonts w:ascii="Calibri" w:hAnsi="Calibri"/>
          <w:i/>
          <w:sz w:val="22"/>
          <w:szCs w:val="22"/>
        </w:rPr>
      </w:pPr>
      <w:r w:rsidRPr="001564B4">
        <w:rPr>
          <w:rFonts w:ascii="Calibri" w:hAnsi="Calibri"/>
          <w:sz w:val="22"/>
          <w:szCs w:val="22"/>
        </w:rPr>
        <w:t xml:space="preserve">The Department makes maximum use of available information technology to process </w:t>
      </w:r>
      <w:r>
        <w:rPr>
          <w:rFonts w:ascii="Calibri" w:hAnsi="Calibri"/>
          <w:sz w:val="22"/>
          <w:szCs w:val="22"/>
        </w:rPr>
        <w:t>promissory notes and related forms</w:t>
      </w:r>
      <w:r w:rsidRPr="001564B4">
        <w:rPr>
          <w:rFonts w:ascii="Calibri" w:hAnsi="Calibri"/>
          <w:sz w:val="22"/>
          <w:szCs w:val="22"/>
        </w:rPr>
        <w:t>.</w:t>
      </w:r>
    </w:p>
    <w:p w:rsidR="006A4D05" w:rsidRPr="00352182" w:rsidP="006A4D05" w14:paraId="624156D3" w14:textId="77777777">
      <w:pPr>
        <w:pStyle w:val="Footer"/>
        <w:spacing w:after="200" w:line="276" w:lineRule="auto"/>
        <w:ind w:left="720"/>
        <w:rPr>
          <w:rFonts w:ascii="Calibri" w:hAnsi="Calibri"/>
          <w:i/>
          <w:sz w:val="22"/>
          <w:szCs w:val="22"/>
        </w:rPr>
      </w:pPr>
      <w:r w:rsidRPr="00352182">
        <w:rPr>
          <w:rFonts w:ascii="Calibri" w:hAnsi="Calibri"/>
          <w:i/>
          <w:sz w:val="22"/>
          <w:szCs w:val="22"/>
        </w:rPr>
        <w:t>Subsidized/Unsubsidized MPN</w:t>
      </w:r>
    </w:p>
    <w:p w:rsidR="006A4D05" w:rsidRPr="001564B4" w:rsidP="006A4D05" w14:paraId="7FACC506" w14:textId="77777777">
      <w:pPr>
        <w:pStyle w:val="Footer"/>
        <w:spacing w:after="200" w:line="276" w:lineRule="auto"/>
        <w:ind w:left="720"/>
        <w:rPr>
          <w:rFonts w:ascii="Calibri" w:hAnsi="Calibri"/>
          <w:sz w:val="22"/>
          <w:szCs w:val="22"/>
        </w:rPr>
      </w:pPr>
      <w:r w:rsidRPr="001564B4">
        <w:rPr>
          <w:rFonts w:ascii="Calibri" w:hAnsi="Calibri"/>
          <w:sz w:val="22"/>
          <w:szCs w:val="22"/>
        </w:rPr>
        <w:t xml:space="preserve">Schools electronically receive data provided by the </w:t>
      </w:r>
      <w:r w:rsidRPr="001564B4">
        <w:rPr>
          <w:rFonts w:ascii="Calibri" w:hAnsi="Calibri"/>
          <w:sz w:val="22"/>
          <w:szCs w:val="22"/>
        </w:rPr>
        <w:t>student</w:t>
      </w:r>
      <w:r w:rsidRPr="001564B4">
        <w:rPr>
          <w:rFonts w:ascii="Calibri" w:hAnsi="Calibri"/>
          <w:sz w:val="22"/>
          <w:szCs w:val="22"/>
        </w:rPr>
        <w:t xml:space="preserve"> on the Free Application for Federal Student Aid (FAFSA) </w:t>
      </w:r>
      <w:r>
        <w:rPr>
          <w:rFonts w:ascii="Calibri" w:hAnsi="Calibri"/>
          <w:sz w:val="22"/>
          <w:szCs w:val="22"/>
        </w:rPr>
        <w:t xml:space="preserve">form </w:t>
      </w:r>
      <w:r w:rsidRPr="001564B4">
        <w:rPr>
          <w:rFonts w:ascii="Calibri" w:hAnsi="Calibri"/>
          <w:sz w:val="22"/>
          <w:szCs w:val="22"/>
        </w:rPr>
        <w:t xml:space="preserve">and create loan records based on the FAFSA </w:t>
      </w:r>
      <w:r>
        <w:rPr>
          <w:rFonts w:ascii="Calibri" w:hAnsi="Calibri"/>
          <w:sz w:val="22"/>
          <w:szCs w:val="22"/>
        </w:rPr>
        <w:t xml:space="preserve">form </w:t>
      </w:r>
      <w:r w:rsidRPr="001564B4">
        <w:rPr>
          <w:rFonts w:ascii="Calibri" w:hAnsi="Calibri"/>
          <w:sz w:val="22"/>
          <w:szCs w:val="22"/>
        </w:rPr>
        <w:t xml:space="preserve">data and additional data provided by the school. This process allows most of the information requested in </w:t>
      </w:r>
      <w:r>
        <w:rPr>
          <w:rFonts w:ascii="Calibri" w:hAnsi="Calibri"/>
          <w:sz w:val="22"/>
          <w:szCs w:val="22"/>
        </w:rPr>
        <w:t xml:space="preserve">the </w:t>
      </w:r>
      <w:r w:rsidRPr="001564B4">
        <w:rPr>
          <w:rFonts w:ascii="Calibri" w:hAnsi="Calibri"/>
          <w:sz w:val="22"/>
          <w:szCs w:val="22"/>
        </w:rPr>
        <w:t>Borrower Information</w:t>
      </w:r>
      <w:r>
        <w:rPr>
          <w:rFonts w:ascii="Calibri" w:hAnsi="Calibri"/>
          <w:sz w:val="22"/>
          <w:szCs w:val="22"/>
        </w:rPr>
        <w:t xml:space="preserve"> section of the MPN</w:t>
      </w:r>
      <w:r w:rsidRPr="001564B4">
        <w:rPr>
          <w:rFonts w:ascii="Calibri" w:hAnsi="Calibri"/>
          <w:sz w:val="22"/>
          <w:szCs w:val="22"/>
        </w:rPr>
        <w:t xml:space="preserve"> to be preprinted, thus reducing burden on borrowers.</w:t>
      </w:r>
    </w:p>
    <w:p w:rsidR="006A4D05" w:rsidRPr="001564B4" w:rsidP="006A4D05" w14:paraId="220F785C" w14:textId="2BCE7554">
      <w:pPr>
        <w:pStyle w:val="Footer"/>
        <w:spacing w:after="200" w:line="276" w:lineRule="auto"/>
        <w:ind w:left="720"/>
        <w:rPr>
          <w:rFonts w:ascii="Calibri" w:hAnsi="Calibri"/>
          <w:sz w:val="22"/>
          <w:szCs w:val="22"/>
        </w:rPr>
      </w:pPr>
      <w:r w:rsidRPr="4AD6F65D">
        <w:rPr>
          <w:rFonts w:ascii="Calibri" w:hAnsi="Calibri"/>
          <w:sz w:val="22"/>
          <w:szCs w:val="22"/>
        </w:rPr>
        <w:t>Borrowers have the option of completing the Subsidized/Unsubsidized MPN through an entirely electronic process, using</w:t>
      </w:r>
      <w:r w:rsidRPr="4AD6F65D" w:rsidR="00E2340D">
        <w:rPr>
          <w:rFonts w:ascii="Calibri" w:hAnsi="Calibri"/>
          <w:sz w:val="22"/>
          <w:szCs w:val="22"/>
        </w:rPr>
        <w:t xml:space="preserve"> their FSA Username and </w:t>
      </w:r>
      <w:r w:rsidRPr="4AD6F65D" w:rsidR="6E0724CD">
        <w:rPr>
          <w:rFonts w:ascii="Calibri" w:hAnsi="Calibri"/>
          <w:sz w:val="22"/>
          <w:szCs w:val="22"/>
        </w:rPr>
        <w:t>Password on</w:t>
      </w:r>
      <w:r w:rsidRPr="4AD6F65D" w:rsidR="682E8D74">
        <w:rPr>
          <w:rFonts w:ascii="Calibri" w:hAnsi="Calibri"/>
          <w:sz w:val="22"/>
          <w:szCs w:val="22"/>
        </w:rPr>
        <w:t xml:space="preserve"> StudentAid.gov</w:t>
      </w:r>
      <w:r w:rsidRPr="4AD6F65D">
        <w:rPr>
          <w:rFonts w:ascii="Calibri" w:hAnsi="Calibri"/>
          <w:sz w:val="22"/>
          <w:szCs w:val="22"/>
        </w:rPr>
        <w:t>. The Department will continue to offer this option with the revised form. The electronic process uses an HTML (hypertext markup language) version of the MPN and stores the HTML version as the authoritative copy of the form. The text and data elements on the HTML version are identical to the text and data elements on the paper form that a borrower may optionally choose to complete. Currently, more than 99% of Subsidized/Unsubsidized MPNs are completed electronically.</w:t>
      </w:r>
    </w:p>
    <w:p w:rsidR="006A4D05" w:rsidRPr="00352182" w:rsidP="006A4D05" w14:paraId="46891A98" w14:textId="77777777">
      <w:pPr>
        <w:pStyle w:val="Footer"/>
        <w:spacing w:after="200" w:line="276" w:lineRule="auto"/>
        <w:ind w:left="720"/>
        <w:rPr>
          <w:rFonts w:ascii="Calibri" w:hAnsi="Calibri"/>
          <w:i/>
          <w:sz w:val="22"/>
          <w:szCs w:val="22"/>
        </w:rPr>
      </w:pPr>
      <w:r w:rsidRPr="00352182">
        <w:rPr>
          <w:rFonts w:ascii="Calibri" w:hAnsi="Calibri"/>
          <w:i/>
          <w:sz w:val="22"/>
          <w:szCs w:val="22"/>
        </w:rPr>
        <w:t xml:space="preserve">PLUS MPN </w:t>
      </w:r>
    </w:p>
    <w:p w:rsidR="006A4D05" w:rsidRPr="004F4597" w:rsidP="006A4D05" w14:paraId="14CE0367" w14:textId="3031F599">
      <w:pPr>
        <w:pStyle w:val="Footer"/>
        <w:spacing w:after="200" w:line="276" w:lineRule="auto"/>
        <w:ind w:left="720"/>
        <w:rPr>
          <w:rFonts w:asciiTheme="minorHAnsi" w:hAnsiTheme="minorHAnsi"/>
          <w:sz w:val="22"/>
          <w:szCs w:val="22"/>
        </w:rPr>
      </w:pPr>
      <w:r w:rsidRPr="004F4597">
        <w:rPr>
          <w:rFonts w:asciiTheme="minorHAnsi" w:hAnsiTheme="minorHAnsi"/>
          <w:sz w:val="22"/>
          <w:szCs w:val="22"/>
        </w:rPr>
        <w:t>A school may use information reported on the FAFSA</w:t>
      </w:r>
      <w:r>
        <w:rPr>
          <w:rFonts w:asciiTheme="minorHAnsi" w:hAnsiTheme="minorHAnsi"/>
          <w:sz w:val="22"/>
          <w:szCs w:val="22"/>
        </w:rPr>
        <w:t xml:space="preserve"> form</w:t>
      </w:r>
      <w:r w:rsidRPr="004F4597">
        <w:rPr>
          <w:rFonts w:asciiTheme="minorHAnsi" w:hAnsiTheme="minorHAnsi"/>
          <w:sz w:val="22"/>
          <w:szCs w:val="22"/>
        </w:rPr>
        <w:t xml:space="preserve"> by a borrower or by the student for whom a parent is borrowing a Direct PLUS Loan to complete portions of the </w:t>
      </w:r>
      <w:r>
        <w:rPr>
          <w:rFonts w:asciiTheme="minorHAnsi" w:hAnsiTheme="minorHAnsi"/>
          <w:sz w:val="22"/>
          <w:szCs w:val="22"/>
        </w:rPr>
        <w:t xml:space="preserve">PLUS </w:t>
      </w:r>
      <w:r w:rsidRPr="004F4597">
        <w:rPr>
          <w:rFonts w:asciiTheme="minorHAnsi" w:hAnsiTheme="minorHAnsi"/>
          <w:sz w:val="22"/>
          <w:szCs w:val="22"/>
        </w:rPr>
        <w:t xml:space="preserve">MPN before the </w:t>
      </w:r>
      <w:r>
        <w:rPr>
          <w:rFonts w:asciiTheme="minorHAnsi" w:hAnsiTheme="minorHAnsi"/>
          <w:sz w:val="22"/>
          <w:szCs w:val="22"/>
        </w:rPr>
        <w:t>form</w:t>
      </w:r>
      <w:r w:rsidRPr="004F4597">
        <w:rPr>
          <w:rFonts w:asciiTheme="minorHAnsi" w:hAnsiTheme="minorHAnsi"/>
          <w:sz w:val="22"/>
          <w:szCs w:val="22"/>
        </w:rPr>
        <w:t xml:space="preserve"> is given to the borrower to sign. This reduces burden by eliminating the need for the borrower to provide the same information again. Similarly, schools electronically transmit information collected on the </w:t>
      </w:r>
      <w:r>
        <w:rPr>
          <w:rFonts w:asciiTheme="minorHAnsi" w:hAnsiTheme="minorHAnsi"/>
          <w:sz w:val="22"/>
          <w:szCs w:val="22"/>
        </w:rPr>
        <w:t xml:space="preserve">PLUS </w:t>
      </w:r>
      <w:r w:rsidRPr="004F4597">
        <w:rPr>
          <w:rFonts w:asciiTheme="minorHAnsi" w:hAnsiTheme="minorHAnsi"/>
          <w:sz w:val="22"/>
          <w:szCs w:val="22"/>
        </w:rPr>
        <w:t xml:space="preserve">MPN to the Department. That information is then used by the Department to preprint borrower and/or student information on the </w:t>
      </w:r>
      <w:r>
        <w:rPr>
          <w:rFonts w:asciiTheme="minorHAnsi" w:hAnsiTheme="minorHAnsi"/>
          <w:sz w:val="22"/>
          <w:szCs w:val="22"/>
        </w:rPr>
        <w:t xml:space="preserve">PLUS </w:t>
      </w:r>
      <w:r w:rsidRPr="004F4597">
        <w:rPr>
          <w:rFonts w:asciiTheme="minorHAnsi" w:hAnsiTheme="minorHAnsi"/>
          <w:sz w:val="22"/>
          <w:szCs w:val="22"/>
        </w:rPr>
        <w:t>Endorser Addendum if an applicant for a Direct PLUS Loan is determined to have an adverse credit history.</w:t>
      </w:r>
    </w:p>
    <w:p w:rsidR="006A4D05" w:rsidRPr="004F4597" w:rsidP="4AD6F65D" w14:paraId="3E653327" w14:textId="77DBFF07">
      <w:pPr>
        <w:pStyle w:val="Footer"/>
        <w:spacing w:after="200" w:line="276" w:lineRule="auto"/>
        <w:ind w:left="720"/>
        <w:rPr>
          <w:rFonts w:asciiTheme="minorHAnsi" w:hAnsiTheme="minorHAnsi"/>
          <w:sz w:val="22"/>
          <w:szCs w:val="22"/>
        </w:rPr>
      </w:pPr>
      <w:r w:rsidRPr="4AD6F65D">
        <w:rPr>
          <w:rFonts w:asciiTheme="minorHAnsi" w:hAnsiTheme="minorHAnsi"/>
          <w:sz w:val="22"/>
          <w:szCs w:val="22"/>
        </w:rPr>
        <w:t xml:space="preserve">Borrowers have the option of completing the PLUS MPN through an entirely electronic process, using </w:t>
      </w:r>
      <w:r w:rsidRPr="4AD6F65D" w:rsidR="00954B1D">
        <w:rPr>
          <w:rFonts w:asciiTheme="minorHAnsi" w:hAnsiTheme="minorHAnsi"/>
          <w:sz w:val="22"/>
          <w:szCs w:val="22"/>
        </w:rPr>
        <w:t>their FSA Username and Password on StudentAid.gov</w:t>
      </w:r>
      <w:r w:rsidRPr="4AD6F65D" w:rsidR="00421F0A">
        <w:rPr>
          <w:rFonts w:asciiTheme="minorHAnsi" w:hAnsiTheme="minorHAnsi"/>
          <w:sz w:val="22"/>
          <w:szCs w:val="22"/>
        </w:rPr>
        <w:t>.</w:t>
      </w:r>
      <w:r w:rsidRPr="4AD6F65D">
        <w:rPr>
          <w:rFonts w:asciiTheme="minorHAnsi" w:hAnsiTheme="minorHAnsi"/>
          <w:sz w:val="22"/>
          <w:szCs w:val="22"/>
        </w:rPr>
        <w:t xml:space="preserve"> This process is essentially the same as the electronic process that is available to Direct Subsidized and Direct Unsubsidized loan borrowers. The electronic process for Direct PLUS Loans uses an HTML (hypertext markup language) version of the PLUS MPN and stores the HTML version as the authoritative copy of the form. The text and data elements on the HTML version are identical to the text and data elements on the paper PLUS MPN that a borrower may optionally choose to complete. Currently, more than 99% of Direct PLUS Loan MPNs are completed electronically.</w:t>
      </w:r>
    </w:p>
    <w:p w:rsidR="006A4D05" w:rsidRPr="004F4597" w:rsidP="006A4D05" w14:paraId="4B682381" w14:textId="77777777">
      <w:pPr>
        <w:pStyle w:val="Footer"/>
        <w:spacing w:after="200" w:line="276" w:lineRule="auto"/>
        <w:ind w:left="720"/>
        <w:rPr>
          <w:rFonts w:asciiTheme="minorHAnsi" w:hAnsiTheme="minorHAnsi"/>
          <w:sz w:val="22"/>
          <w:szCs w:val="22"/>
        </w:rPr>
      </w:pPr>
      <w:r>
        <w:rPr>
          <w:rFonts w:asciiTheme="minorHAnsi" w:hAnsiTheme="minorHAnsi"/>
          <w:sz w:val="22"/>
          <w:szCs w:val="22"/>
        </w:rPr>
        <w:t>T</w:t>
      </w:r>
      <w:r w:rsidRPr="004F4597">
        <w:rPr>
          <w:rFonts w:asciiTheme="minorHAnsi" w:hAnsiTheme="minorHAnsi"/>
          <w:sz w:val="22"/>
          <w:szCs w:val="22"/>
        </w:rPr>
        <w:t xml:space="preserve">he Department also </w:t>
      </w:r>
      <w:r>
        <w:rPr>
          <w:rFonts w:asciiTheme="minorHAnsi" w:hAnsiTheme="minorHAnsi"/>
          <w:sz w:val="22"/>
          <w:szCs w:val="22"/>
        </w:rPr>
        <w:t xml:space="preserve">gives </w:t>
      </w:r>
      <w:r w:rsidRPr="004F4597">
        <w:rPr>
          <w:rFonts w:asciiTheme="minorHAnsi" w:hAnsiTheme="minorHAnsi"/>
          <w:sz w:val="22"/>
          <w:szCs w:val="22"/>
        </w:rPr>
        <w:t xml:space="preserve">Direct PLUS Loan endorsers the option of completing the </w:t>
      </w:r>
      <w:r>
        <w:rPr>
          <w:rFonts w:asciiTheme="minorHAnsi" w:hAnsiTheme="minorHAnsi"/>
          <w:sz w:val="22"/>
          <w:szCs w:val="22"/>
        </w:rPr>
        <w:t xml:space="preserve">PLUS </w:t>
      </w:r>
      <w:r w:rsidRPr="004F4597">
        <w:rPr>
          <w:rFonts w:asciiTheme="minorHAnsi" w:hAnsiTheme="minorHAnsi"/>
          <w:sz w:val="22"/>
          <w:szCs w:val="22"/>
        </w:rPr>
        <w:t xml:space="preserve">Endorser Addendum through an entirely electronic process that is modeled on </w:t>
      </w:r>
      <w:r>
        <w:rPr>
          <w:rFonts w:asciiTheme="minorHAnsi" w:hAnsiTheme="minorHAnsi"/>
          <w:sz w:val="22"/>
          <w:szCs w:val="22"/>
        </w:rPr>
        <w:t xml:space="preserve">the electronic process for the </w:t>
      </w:r>
      <w:r w:rsidRPr="004F4597">
        <w:rPr>
          <w:rFonts w:asciiTheme="minorHAnsi" w:hAnsiTheme="minorHAnsi"/>
          <w:sz w:val="22"/>
          <w:szCs w:val="22"/>
        </w:rPr>
        <w:t xml:space="preserve">PLUS Loan MPN, as described above. Currently, approximately 96% of Direct PLUS Loan endorsers complete the </w:t>
      </w:r>
      <w:r>
        <w:rPr>
          <w:rFonts w:asciiTheme="minorHAnsi" w:hAnsiTheme="minorHAnsi"/>
          <w:sz w:val="22"/>
          <w:szCs w:val="22"/>
        </w:rPr>
        <w:t xml:space="preserve">PLUS </w:t>
      </w:r>
      <w:r w:rsidRPr="004F4597">
        <w:rPr>
          <w:rFonts w:asciiTheme="minorHAnsi" w:hAnsiTheme="minorHAnsi"/>
          <w:sz w:val="22"/>
          <w:szCs w:val="22"/>
        </w:rPr>
        <w:t xml:space="preserve">Endorser Addendum electronically. </w:t>
      </w:r>
    </w:p>
    <w:p w:rsidR="006A4D05" w:rsidRPr="00352182" w:rsidP="006A4D05" w14:paraId="7526D883" w14:textId="77777777">
      <w:pPr>
        <w:pStyle w:val="Footer"/>
        <w:spacing w:after="200" w:line="276" w:lineRule="auto"/>
        <w:ind w:left="720"/>
        <w:rPr>
          <w:rFonts w:ascii="Calibri" w:hAnsi="Calibri"/>
          <w:i/>
          <w:sz w:val="22"/>
          <w:szCs w:val="22"/>
        </w:rPr>
      </w:pPr>
      <w:r w:rsidRPr="00352182">
        <w:rPr>
          <w:rFonts w:ascii="Calibri" w:hAnsi="Calibri"/>
          <w:i/>
          <w:sz w:val="22"/>
          <w:szCs w:val="22"/>
        </w:rPr>
        <w:t xml:space="preserve">Consolidation </w:t>
      </w:r>
      <w:r>
        <w:rPr>
          <w:rFonts w:ascii="Calibri" w:hAnsi="Calibri"/>
          <w:i/>
          <w:sz w:val="22"/>
          <w:szCs w:val="22"/>
        </w:rPr>
        <w:t xml:space="preserve">Application/Promissory </w:t>
      </w:r>
      <w:r w:rsidRPr="00352182">
        <w:rPr>
          <w:rFonts w:ascii="Calibri" w:hAnsi="Calibri"/>
          <w:i/>
          <w:sz w:val="22"/>
          <w:szCs w:val="22"/>
        </w:rPr>
        <w:t>Note and related consolidation forms:</w:t>
      </w:r>
    </w:p>
    <w:p w:rsidR="006A4D05" w:rsidRPr="00E16507" w:rsidP="4AD6F65D" w14:paraId="6E4D12D2" w14:textId="122DB5AD">
      <w:pPr>
        <w:pStyle w:val="BodyText0"/>
        <w:spacing w:after="200" w:line="276" w:lineRule="auto"/>
        <w:ind w:left="720"/>
        <w:rPr>
          <w:rFonts w:asciiTheme="minorHAnsi" w:hAnsiTheme="minorHAnsi"/>
          <w:b/>
          <w:bCs/>
          <w:sz w:val="22"/>
          <w:szCs w:val="22"/>
        </w:rPr>
      </w:pPr>
      <w:r w:rsidRPr="4AD6F65D">
        <w:rPr>
          <w:rFonts w:asciiTheme="minorHAnsi" w:hAnsiTheme="minorHAnsi"/>
          <w:sz w:val="22"/>
          <w:szCs w:val="22"/>
        </w:rPr>
        <w:t xml:space="preserve">The Consolidation Application/Promissory Note, LVC, and Request to Add Loans are all available on our website </w:t>
      </w:r>
      <w:r w:rsidRPr="4AD6F65D" w:rsidR="6AE31953">
        <w:rPr>
          <w:rFonts w:asciiTheme="minorHAnsi" w:hAnsiTheme="minorHAnsi"/>
          <w:sz w:val="22"/>
          <w:szCs w:val="22"/>
        </w:rPr>
        <w:t>as a</w:t>
      </w:r>
      <w:r w:rsidR="003A2A35">
        <w:rPr>
          <w:rFonts w:asciiTheme="minorHAnsi" w:hAnsiTheme="minorHAnsi"/>
          <w:sz w:val="22"/>
          <w:szCs w:val="22"/>
        </w:rPr>
        <w:t xml:space="preserve"> </w:t>
      </w:r>
      <w:r w:rsidRPr="4AD6F65D">
        <w:rPr>
          <w:rFonts w:asciiTheme="minorHAnsi" w:hAnsiTheme="minorHAnsi"/>
          <w:sz w:val="22"/>
          <w:szCs w:val="22"/>
        </w:rPr>
        <w:t xml:space="preserve">PDF for respondents to download, complete, and submit. </w:t>
      </w:r>
      <w:r w:rsidRPr="4AD6F65D" w:rsidR="1715AFDA">
        <w:rPr>
          <w:rFonts w:asciiTheme="minorHAnsi" w:hAnsiTheme="minorHAnsi"/>
          <w:sz w:val="22"/>
          <w:szCs w:val="22"/>
        </w:rPr>
        <w:t>R</w:t>
      </w:r>
      <w:r w:rsidRPr="4AD6F65D">
        <w:rPr>
          <w:rFonts w:asciiTheme="minorHAnsi" w:hAnsiTheme="minorHAnsi"/>
          <w:sz w:val="22"/>
          <w:szCs w:val="22"/>
        </w:rPr>
        <w:t xml:space="preserve">espondents may complete the Consolidation Application/Promissory Note and the LVC electronically. Approximately 99% of Direct Consolidation Loan applicants complete and submit the Consolidation Application/Promissory Note electronically on our website. </w:t>
      </w:r>
    </w:p>
    <w:p w:rsidR="006A4D05" w:rsidRPr="00E16507" w:rsidP="4AD6F65D" w14:paraId="1DD7FE99" w14:textId="1A0900A0">
      <w:pPr>
        <w:pStyle w:val="BodyText0"/>
        <w:spacing w:after="200" w:line="276" w:lineRule="auto"/>
        <w:ind w:left="720"/>
        <w:rPr>
          <w:rFonts w:asciiTheme="minorHAnsi" w:hAnsiTheme="minorHAnsi"/>
          <w:b/>
          <w:bCs/>
          <w:sz w:val="22"/>
          <w:szCs w:val="22"/>
        </w:rPr>
      </w:pPr>
      <w:r w:rsidRPr="4AD6F65D">
        <w:rPr>
          <w:rFonts w:asciiTheme="minorHAnsi" w:hAnsiTheme="minorHAnsi"/>
          <w:sz w:val="22"/>
          <w:szCs w:val="22"/>
        </w:rPr>
        <w:t xml:space="preserve">For borrowers who complete and submit the Consolidation Application/Promissory Note electronically on the Department’s website, and in some cases for borrowers who download the </w:t>
      </w:r>
      <w:r w:rsidRPr="4AD6F65D" w:rsidR="4C8E588D">
        <w:rPr>
          <w:rFonts w:asciiTheme="minorHAnsi" w:hAnsiTheme="minorHAnsi"/>
          <w:sz w:val="22"/>
          <w:szCs w:val="22"/>
        </w:rPr>
        <w:t xml:space="preserve">PDF </w:t>
      </w:r>
      <w:r w:rsidRPr="4AD6F65D">
        <w:rPr>
          <w:rFonts w:asciiTheme="minorHAnsi" w:hAnsiTheme="minorHAnsi"/>
          <w:sz w:val="22"/>
          <w:szCs w:val="22"/>
        </w:rPr>
        <w:t xml:space="preserve">from our website, the Department prepopulates the Borrower Information section, the Loans I Want to Consolidate section, and the Loans I Do Not Want to Consolidate section using existing information about the borrower and the borrower’s loans in our loan servicing systems and/or the National Student Loan Data System (NSLDS). The instructions for completing the Consolidation Application/Promissory Note inform borrowers that some of the information in these sections may have been completed for them. Prepopulating portions of the form significantly reduces burden on applicants, since they only </w:t>
      </w:r>
      <w:r w:rsidRPr="4AD6F65D">
        <w:rPr>
          <w:rFonts w:asciiTheme="minorHAnsi" w:hAnsiTheme="minorHAnsi"/>
          <w:sz w:val="22"/>
          <w:szCs w:val="22"/>
        </w:rPr>
        <w:t>have to</w:t>
      </w:r>
      <w:r w:rsidRPr="4AD6F65D">
        <w:rPr>
          <w:rFonts w:asciiTheme="minorHAnsi" w:hAnsiTheme="minorHAnsi"/>
          <w:sz w:val="22"/>
          <w:szCs w:val="22"/>
        </w:rPr>
        <w:t xml:space="preserve"> review the preprinted information for completeness and accuracy and make any necessary changes (e.g., correcting information or indicating that they do not want to consolidate a loan listed in the Loans I Want to Consolidate section).</w:t>
      </w:r>
    </w:p>
    <w:p w:rsidR="00CE74EE" w:rsidRPr="006A4D05" w:rsidP="006A4D05" w14:paraId="024EF440" w14:textId="77777777">
      <w:pPr>
        <w:pStyle w:val="BodyText0"/>
        <w:spacing w:after="200" w:line="276" w:lineRule="auto"/>
        <w:ind w:left="720"/>
        <w:rPr>
          <w:rFonts w:asciiTheme="minorHAnsi" w:hAnsiTheme="minorHAnsi"/>
          <w:b/>
          <w:bCs/>
          <w:sz w:val="22"/>
          <w:szCs w:val="22"/>
        </w:rPr>
      </w:pPr>
      <w:r w:rsidRPr="00E16507">
        <w:rPr>
          <w:rFonts w:asciiTheme="minorHAnsi" w:hAnsiTheme="minorHAnsi"/>
          <w:sz w:val="22"/>
          <w:szCs w:val="22"/>
        </w:rPr>
        <w:t>All loan holders/servicers have the option of completing the LVC electronically. They may do this (1) by completing and returning an LVC for each applicant via our website for loan holders/servicers or (2) by completing and returning LVCs for multiple applicants through a batch process. Both electronic processes reduce burden for loan holders/servicers by providing a more convenient, efficient and expedient way to complete</w:t>
      </w:r>
      <w:r>
        <w:rPr>
          <w:rFonts w:asciiTheme="minorHAnsi" w:hAnsiTheme="minorHAnsi"/>
          <w:sz w:val="22"/>
          <w:szCs w:val="22"/>
        </w:rPr>
        <w:t xml:space="preserve"> and return the required LVCs. </w:t>
      </w:r>
      <w:r w:rsidRPr="00E16507">
        <w:rPr>
          <w:rFonts w:asciiTheme="minorHAnsi" w:hAnsiTheme="minorHAnsi"/>
          <w:sz w:val="22"/>
          <w:szCs w:val="22"/>
        </w:rPr>
        <w:t xml:space="preserve">Approximately </w:t>
      </w:r>
      <w:r w:rsidRPr="00302C07">
        <w:rPr>
          <w:rFonts w:asciiTheme="minorHAnsi" w:hAnsiTheme="minorHAnsi"/>
          <w:sz w:val="22"/>
          <w:szCs w:val="22"/>
        </w:rPr>
        <w:t>90%</w:t>
      </w:r>
      <w:r w:rsidRPr="00E16507">
        <w:rPr>
          <w:rFonts w:asciiTheme="minorHAnsi" w:hAnsiTheme="minorHAnsi"/>
          <w:sz w:val="22"/>
          <w:szCs w:val="22"/>
        </w:rPr>
        <w:t xml:space="preserve"> of LVCs are completed electronically.</w:t>
      </w:r>
    </w:p>
    <w:p w:rsidR="00AD381B" w:rsidRPr="00E622CD" w:rsidP="00E622CD" w14:paraId="29FCE55D"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r w:rsidRPr="00E622CD" w:rsidR="00A23F26">
        <w:rPr>
          <w:rFonts w:asciiTheme="minorHAnsi" w:hAnsiTheme="minorHAnsi" w:cstheme="minorHAnsi"/>
          <w:b/>
          <w:sz w:val="22"/>
          <w:szCs w:val="22"/>
        </w:rPr>
        <w:t xml:space="preserve"> </w:t>
      </w:r>
    </w:p>
    <w:p w:rsidR="00EF4C67" w:rsidRPr="00E622CD" w:rsidP="4AD6F65D" w14:paraId="65F7D769" w14:textId="3C4E5DCF">
      <w:pPr>
        <w:pStyle w:val="ListParagraph"/>
        <w:tabs>
          <w:tab w:val="left" w:pos="0"/>
        </w:tabs>
        <w:suppressAutoHyphens/>
        <w:spacing w:after="120" w:line="276" w:lineRule="auto"/>
        <w:contextualSpacing w:val="0"/>
        <w:rPr>
          <w:rFonts w:asciiTheme="minorHAnsi" w:hAnsiTheme="minorHAnsi" w:cstheme="minorBidi"/>
          <w:sz w:val="22"/>
          <w:szCs w:val="22"/>
        </w:rPr>
      </w:pPr>
      <w:r w:rsidRPr="4AD6F65D">
        <w:rPr>
          <w:rFonts w:ascii="Calibri" w:hAnsi="Calibri"/>
          <w:sz w:val="22"/>
          <w:szCs w:val="22"/>
        </w:rPr>
        <w:t xml:space="preserve"> </w:t>
      </w:r>
      <w:r w:rsidRPr="4AD6F65D" w:rsidR="7B019B86">
        <w:rPr>
          <w:rFonts w:ascii="Calibri" w:hAnsi="Calibri"/>
          <w:sz w:val="22"/>
          <w:szCs w:val="22"/>
        </w:rPr>
        <w:t>T</w:t>
      </w:r>
      <w:r w:rsidRPr="4AD6F65D">
        <w:rPr>
          <w:rFonts w:ascii="Calibri" w:hAnsi="Calibri"/>
          <w:sz w:val="22"/>
          <w:szCs w:val="22"/>
        </w:rPr>
        <w:t>here is no information available from other sources that can be used for the purposes described in Item 2.</w:t>
      </w:r>
      <w:r w:rsidRPr="4AD6F65D" w:rsidR="008365E6">
        <w:rPr>
          <w:rFonts w:ascii="Calibri" w:hAnsi="Calibri"/>
          <w:sz w:val="22"/>
          <w:szCs w:val="22"/>
        </w:rPr>
        <w:t xml:space="preserve"> </w:t>
      </w:r>
    </w:p>
    <w:p w:rsidR="00043C32" w:rsidRPr="00E622CD" w:rsidP="00E622CD" w14:paraId="700FB195" w14:textId="77777777">
      <w:pPr>
        <w:pStyle w:val="ListParagraph"/>
        <w:numPr>
          <w:ilvl w:val="0"/>
          <w:numId w:val="4"/>
        </w:numPr>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E622CD" w:rsidP="00E622CD" w14:paraId="251C8430"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No small businesses are affected by this information collection.</w:t>
      </w:r>
    </w:p>
    <w:p w:rsidR="00043C32" w:rsidRPr="00E622CD" w:rsidP="00E622CD" w14:paraId="5207DE02" w14:textId="77777777">
      <w:pPr>
        <w:pStyle w:val="ListParagraph"/>
        <w:numPr>
          <w:ilvl w:val="0"/>
          <w:numId w:val="4"/>
        </w:numPr>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the consequences </w:t>
      </w:r>
      <w:r w:rsidRPr="00E622CD">
        <w:rPr>
          <w:rFonts w:asciiTheme="minorHAnsi" w:hAnsiTheme="minorHAnsi" w:cstheme="minorHAnsi"/>
          <w:b/>
          <w:sz w:val="22"/>
          <w:szCs w:val="22"/>
        </w:rPr>
        <w:t>to</w:t>
      </w:r>
      <w:r w:rsidRPr="00E622CD">
        <w:rPr>
          <w:rFonts w:asciiTheme="minorHAnsi" w:hAnsiTheme="minorHAnsi" w:cstheme="minorHAnsi"/>
          <w:b/>
          <w:sz w:val="22"/>
          <w:szCs w:val="22"/>
        </w:rPr>
        <w:t xml:space="preserve"> Federal program or policy activities if the collection is not conducted or is conducted less frequently, as well as any technical or legal obstacles to reducing burden.</w:t>
      </w:r>
    </w:p>
    <w:p w:rsidR="00857D80" w:rsidRPr="00857D80" w:rsidP="00857D80" w14:paraId="12DCD1E3" w14:textId="77777777">
      <w:pPr>
        <w:tabs>
          <w:tab w:val="left" w:pos="-720"/>
        </w:tabs>
        <w:suppressAutoHyphens/>
        <w:spacing w:after="200" w:line="276" w:lineRule="auto"/>
        <w:ind w:left="720"/>
        <w:rPr>
          <w:rFonts w:ascii="Calibri" w:hAnsi="Calibri"/>
          <w:sz w:val="22"/>
          <w:szCs w:val="22"/>
        </w:rPr>
      </w:pPr>
      <w:bookmarkStart w:id="0" w:name="cont_here"/>
      <w:bookmarkEnd w:id="0"/>
      <w:r w:rsidRPr="00857D80">
        <w:rPr>
          <w:rFonts w:ascii="Calibri" w:hAnsi="Calibri"/>
          <w:sz w:val="22"/>
          <w:szCs w:val="22"/>
        </w:rPr>
        <w:t>Without this collection of information, borrowers would not be able to receive Direct Loan Program loans. The Subsidized/Unsubsidized and PLUS MPNs minimize the frequency of data collection by allowing a borrower who has completed an initial MPN to receive subsequent loans for up to 10 years without signing another MPN, if the borrower is attending a school that is authorized to make multiple loans under the MPN and chooses to do so. The MPN also reduces burden for borrowers attending schools that are not authorized to use the multi-year feature of the MPN (or that choose not to do so), since they may receive subsequent loans during the same academic year without having to sign a new MPN.</w:t>
      </w:r>
    </w:p>
    <w:p w:rsidR="00857D80" w:rsidRPr="00857D80" w:rsidP="00857D80" w14:paraId="3C6CBF2B" w14:textId="77777777">
      <w:pPr>
        <w:tabs>
          <w:tab w:val="left" w:pos="-720"/>
        </w:tabs>
        <w:suppressAutoHyphens/>
        <w:spacing w:after="200" w:line="276" w:lineRule="auto"/>
        <w:ind w:left="720"/>
        <w:rPr>
          <w:rFonts w:asciiTheme="minorHAnsi" w:hAnsiTheme="minorHAnsi"/>
          <w:sz w:val="22"/>
          <w:szCs w:val="22"/>
        </w:rPr>
      </w:pPr>
      <w:r w:rsidRPr="00857D80">
        <w:rPr>
          <w:rFonts w:asciiTheme="minorHAnsi" w:hAnsiTheme="minorHAnsi"/>
          <w:sz w:val="22"/>
          <w:szCs w:val="22"/>
        </w:rPr>
        <w:t>The PLUS Endorser Addendum must be completed each time a borrower who is determined to have an adverse credit history obtains an endorser for a Direct PLUS Loan.</w:t>
      </w:r>
    </w:p>
    <w:p w:rsidR="00EF4C67" w:rsidRPr="00E622CD" w:rsidP="00857D80" w14:paraId="32EE95F6" w14:textId="77777777">
      <w:pPr>
        <w:pStyle w:val="BodyTextIndent"/>
        <w:spacing w:after="120" w:line="276" w:lineRule="auto"/>
        <w:rPr>
          <w:rFonts w:asciiTheme="minorHAnsi" w:hAnsiTheme="minorHAnsi" w:cstheme="minorHAnsi"/>
          <w:sz w:val="22"/>
          <w:szCs w:val="22"/>
        </w:rPr>
      </w:pPr>
      <w:r w:rsidRPr="00E16507">
        <w:rPr>
          <w:rFonts w:asciiTheme="minorHAnsi" w:hAnsiTheme="minorHAnsi"/>
          <w:sz w:val="22"/>
          <w:szCs w:val="22"/>
        </w:rPr>
        <w:t xml:space="preserve">The </w:t>
      </w:r>
      <w:r>
        <w:rPr>
          <w:rFonts w:asciiTheme="minorHAnsi" w:hAnsiTheme="minorHAnsi"/>
          <w:sz w:val="22"/>
          <w:szCs w:val="22"/>
        </w:rPr>
        <w:t xml:space="preserve">Consolidation Application/Promissory </w:t>
      </w:r>
      <w:r w:rsidRPr="00E16507">
        <w:rPr>
          <w:rFonts w:asciiTheme="minorHAnsi" w:hAnsiTheme="minorHAnsi"/>
          <w:sz w:val="22"/>
          <w:szCs w:val="22"/>
        </w:rPr>
        <w:t>Note and the LVC will be completed by an applicant or a loan holder/servicer one time for e</w:t>
      </w:r>
      <w:r>
        <w:rPr>
          <w:rFonts w:asciiTheme="minorHAnsi" w:hAnsiTheme="minorHAnsi"/>
          <w:sz w:val="22"/>
          <w:szCs w:val="22"/>
        </w:rPr>
        <w:t xml:space="preserve">ach Direct Consolidation Loan. </w:t>
      </w:r>
      <w:r w:rsidRPr="00E16507">
        <w:rPr>
          <w:rFonts w:asciiTheme="minorHAnsi" w:hAnsiTheme="minorHAnsi"/>
          <w:sz w:val="22"/>
          <w:szCs w:val="22"/>
        </w:rPr>
        <w:t xml:space="preserve">The Request to Add Loans will be completed by a borrower only when the borrower wants to request that one or more loans not included on the original </w:t>
      </w:r>
      <w:r>
        <w:rPr>
          <w:rFonts w:asciiTheme="minorHAnsi" w:hAnsiTheme="minorHAnsi"/>
          <w:sz w:val="22"/>
          <w:szCs w:val="22"/>
        </w:rPr>
        <w:t>Consolidation Note</w:t>
      </w:r>
      <w:r w:rsidRPr="00E16507">
        <w:rPr>
          <w:rFonts w:asciiTheme="minorHAnsi" w:hAnsiTheme="minorHAnsi"/>
          <w:sz w:val="22"/>
          <w:szCs w:val="22"/>
        </w:rPr>
        <w:t xml:space="preserve"> be added to the borrower’s Direct Consolidation Loan, either before the loan is made or within 180 days of the date the loan is made</w:t>
      </w:r>
      <w:r>
        <w:rPr>
          <w:rFonts w:asciiTheme="minorHAnsi" w:hAnsiTheme="minorHAnsi"/>
          <w:sz w:val="22"/>
          <w:szCs w:val="22"/>
        </w:rPr>
        <w:t xml:space="preserve">. </w:t>
      </w:r>
      <w:r w:rsidRPr="00E16507">
        <w:rPr>
          <w:rFonts w:asciiTheme="minorHAnsi" w:hAnsiTheme="minorHAnsi"/>
          <w:sz w:val="22"/>
          <w:szCs w:val="22"/>
        </w:rPr>
        <w:t xml:space="preserve">If the information requested on </w:t>
      </w:r>
      <w:r>
        <w:rPr>
          <w:rFonts w:asciiTheme="minorHAnsi" w:hAnsiTheme="minorHAnsi"/>
          <w:sz w:val="22"/>
          <w:szCs w:val="22"/>
        </w:rPr>
        <w:t>the Direct Consolidation Loan</w:t>
      </w:r>
      <w:r w:rsidRPr="00E16507">
        <w:rPr>
          <w:rFonts w:asciiTheme="minorHAnsi" w:hAnsiTheme="minorHAnsi"/>
          <w:sz w:val="22"/>
          <w:szCs w:val="22"/>
        </w:rPr>
        <w:t xml:space="preserve"> forms were not collected, borrowers would not be able to take advantage of the benefits offered by Direct Consolidation Loans, as described in Item 1 of this supporting statement.</w:t>
      </w:r>
    </w:p>
    <w:p w:rsidR="00043C32" w:rsidRPr="00E622CD" w:rsidP="00E622CD" w14:paraId="05FBC0D5" w14:textId="77777777">
      <w:pPr>
        <w:pStyle w:val="ListParagraph"/>
        <w:numPr>
          <w:ilvl w:val="0"/>
          <w:numId w:val="4"/>
        </w:num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Explain any special circumstances that would cause an information collection to be conducted in a manner:</w:t>
      </w:r>
    </w:p>
    <w:p w:rsidR="00043C32" w:rsidRPr="00E622CD" w:rsidP="00E622CD" w14:paraId="2621634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report information to the agency more often than quarterly;</w:t>
      </w:r>
    </w:p>
    <w:p w:rsidR="00043C32" w:rsidRPr="00E622CD" w:rsidP="00E622CD" w14:paraId="69EA6199"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prepare a written response to a collection of information in fewer than 30 days after receipt of it;</w:t>
      </w:r>
    </w:p>
    <w:p w:rsidR="00043C32" w:rsidRPr="00E622CD" w:rsidP="00E622CD" w14:paraId="5FAF1D5F"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more than an original and two copies of any document;</w:t>
      </w:r>
    </w:p>
    <w:p w:rsidR="00043C32" w:rsidRPr="00E622CD" w:rsidP="00E622CD" w14:paraId="5C06A9D7"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retain records, other than health, medical, government contract, grant-in-aid, or tax records for more than three years;</w:t>
      </w:r>
    </w:p>
    <w:p w:rsidR="00043C32" w:rsidRPr="00E622CD" w:rsidP="00E622CD" w14:paraId="06AE7F44"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622CD" w:rsidP="00E622CD" w14:paraId="6F55053A"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the use of a statistical data classification that has not been reviewed and approved by OMB;</w:t>
      </w:r>
    </w:p>
    <w:p w:rsidR="00043C32" w:rsidRPr="00E622CD" w:rsidP="00E622CD" w14:paraId="2BB684BF"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E622CD" w:rsidP="00E622CD" w14:paraId="140F64D6" w14:textId="77777777">
      <w:pPr>
        <w:numPr>
          <w:ilvl w:val="0"/>
          <w:numId w:val="3"/>
        </w:numPr>
        <w:tabs>
          <w:tab w:val="left" w:pos="-720"/>
          <w:tab w:val="clear" w:pos="144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EF4C67" w:rsidRPr="00E622CD" w:rsidP="00E622CD" w14:paraId="2D9C2A3A" w14:textId="77777777">
      <w:pPr>
        <w:tabs>
          <w:tab w:val="left" w:pos="720"/>
        </w:tabs>
        <w:suppressAutoHyphens/>
        <w:spacing w:after="120" w:line="276" w:lineRule="auto"/>
        <w:ind w:left="720"/>
        <w:rPr>
          <w:rFonts w:asciiTheme="minorHAnsi" w:hAnsiTheme="minorHAnsi" w:cstheme="minorHAnsi"/>
          <w:sz w:val="22"/>
          <w:szCs w:val="22"/>
        </w:rPr>
      </w:pPr>
      <w:r w:rsidRPr="00E16507">
        <w:rPr>
          <w:rFonts w:asciiTheme="minorHAnsi" w:hAnsiTheme="minorHAnsi"/>
          <w:sz w:val="22"/>
          <w:szCs w:val="22"/>
        </w:rPr>
        <w:t xml:space="preserve">The collection of this information will be conducted in a manner that is consistent with the guidelines in 5 CFR 1320.5(d)(2), with one exception. The </w:t>
      </w:r>
      <w:r>
        <w:rPr>
          <w:rFonts w:asciiTheme="minorHAnsi" w:hAnsiTheme="minorHAnsi"/>
          <w:sz w:val="22"/>
          <w:szCs w:val="22"/>
        </w:rPr>
        <w:t>LVC m</w:t>
      </w:r>
      <w:r w:rsidRPr="00E16507">
        <w:rPr>
          <w:rFonts w:asciiTheme="minorHAnsi" w:hAnsiTheme="minorHAnsi"/>
          <w:sz w:val="22"/>
          <w:szCs w:val="22"/>
        </w:rPr>
        <w:t>ust be completed and returned by the loan holder/servicer within 10 business days of the date received. This deadline is established in 34 CFR 685.220(f)(1)(i).</w:t>
      </w:r>
    </w:p>
    <w:p w:rsidR="00D75313" w:rsidRPr="00E622CD" w:rsidP="00E622CD" w14:paraId="5B0CCDA8" w14:textId="77777777">
      <w:pPr>
        <w:pStyle w:val="ListParagraph"/>
        <w:numPr>
          <w:ilvl w:val="0"/>
          <w:numId w:val="5"/>
        </w:numPr>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As applicable</w:t>
      </w:r>
      <w:r w:rsidRPr="00E622CD">
        <w:rPr>
          <w:rFonts w:asciiTheme="minorHAnsi" w:hAnsiTheme="minorHAnsi" w:cstheme="minorHAnsi"/>
          <w:b/>
          <w:sz w:val="22"/>
          <w:szCs w:val="22"/>
        </w:rPr>
        <w:t>, state that</w:t>
      </w:r>
      <w:r w:rsidRPr="00E622CD">
        <w:rPr>
          <w:rFonts w:asciiTheme="minorHAnsi" w:hAnsiTheme="minorHAnsi" w:cstheme="minorHAnsi"/>
          <w:b/>
          <w:sz w:val="22"/>
          <w:szCs w:val="22"/>
        </w:rPr>
        <w:t xml:space="preserve"> the Department has published the 60 and 30 Federal Register notices as required by 5 CFR 1320.8(d), soliciting comments on the information collection prior to submission to OMB.</w:t>
      </w:r>
    </w:p>
    <w:p w:rsidR="00043C32" w:rsidRPr="00E622CD" w:rsidP="00E622CD" w14:paraId="153A9707"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Include a citation for the </w:t>
      </w:r>
      <w:r w:rsidRPr="00E622CD">
        <w:rPr>
          <w:rFonts w:asciiTheme="minorHAnsi" w:hAnsiTheme="minorHAnsi" w:cstheme="minorHAnsi"/>
          <w:b/>
          <w:sz w:val="22"/>
          <w:szCs w:val="22"/>
        </w:rPr>
        <w:t>60 day</w:t>
      </w:r>
      <w:r w:rsidRPr="00E622CD">
        <w:rPr>
          <w:rFonts w:asciiTheme="minorHAnsi" w:hAnsiTheme="minorHAnsi" w:cstheme="minorHAnsi"/>
          <w:b/>
          <w:sz w:val="22"/>
          <w:szCs w:val="22"/>
        </w:rPr>
        <w:t xml:space="preserve"> comment period (e.g. Vol. 84 FR ##### and the date of publication). Summarize public comments received in response to the </w:t>
      </w:r>
      <w:r w:rsidRPr="00E622CD">
        <w:rPr>
          <w:rFonts w:asciiTheme="minorHAnsi" w:hAnsiTheme="minorHAnsi" w:cstheme="minorHAnsi"/>
          <w:b/>
          <w:sz w:val="22"/>
          <w:szCs w:val="22"/>
        </w:rPr>
        <w:t>60 day</w:t>
      </w:r>
      <w:r w:rsidRPr="00E622CD">
        <w:rPr>
          <w:rFonts w:asciiTheme="minorHAnsi" w:hAnsiTheme="minorHAnsi" w:cstheme="minorHAnsi"/>
          <w:b/>
          <w:sz w:val="22"/>
          <w:szCs w:val="22"/>
        </w:rPr>
        <w:t xml:space="preserve"> notice and describe actions taken by the agency in response to these comments.  Specifically address comments received on cost and hour burden.</w:t>
      </w:r>
      <w:r w:rsidRPr="00E622CD" w:rsidR="007C0A4C">
        <w:rPr>
          <w:rFonts w:asciiTheme="minorHAnsi" w:hAnsiTheme="minorHAnsi" w:cstheme="minorHAnsi"/>
          <w:b/>
          <w:sz w:val="22"/>
          <w:szCs w:val="22"/>
        </w:rPr>
        <w:t xml:space="preserve">  If only non-substantive comments are provided, please provide a statement to that effect and that it did not relate or </w:t>
      </w:r>
      <w:r w:rsidRPr="00E622CD" w:rsidR="007C0A4C">
        <w:rPr>
          <w:rFonts w:asciiTheme="minorHAnsi" w:hAnsiTheme="minorHAnsi" w:cstheme="minorHAnsi"/>
          <w:b/>
          <w:sz w:val="22"/>
          <w:szCs w:val="22"/>
        </w:rPr>
        <w:t>warrant</w:t>
      </w:r>
      <w:r w:rsidRPr="00E622CD" w:rsidR="007C0A4C">
        <w:rPr>
          <w:rFonts w:asciiTheme="minorHAnsi" w:hAnsiTheme="minorHAnsi" w:cstheme="minorHAnsi"/>
          <w:b/>
          <w:sz w:val="22"/>
          <w:szCs w:val="22"/>
        </w:rPr>
        <w:t xml:space="preserve"> any change</w:t>
      </w:r>
      <w:r w:rsidRPr="00E622CD">
        <w:rPr>
          <w:rFonts w:asciiTheme="minorHAnsi" w:hAnsiTheme="minorHAnsi" w:cstheme="minorHAnsi"/>
          <w:b/>
          <w:sz w:val="22"/>
          <w:szCs w:val="22"/>
        </w:rPr>
        <w:t>s to this information collection request</w:t>
      </w:r>
      <w:r w:rsidRPr="00E622CD" w:rsidR="007C0A4C">
        <w:rPr>
          <w:rFonts w:asciiTheme="minorHAnsi" w:hAnsiTheme="minorHAnsi" w:cstheme="minorHAnsi"/>
          <w:b/>
          <w:sz w:val="22"/>
          <w:szCs w:val="22"/>
        </w:rPr>
        <w:t xml:space="preserve">. </w:t>
      </w:r>
      <w:r w:rsidRPr="00E622CD">
        <w:rPr>
          <w:rFonts w:asciiTheme="minorHAnsi" w:hAnsiTheme="minorHAnsi" w:cstheme="minorHAnsi"/>
          <w:b/>
          <w:sz w:val="22"/>
          <w:szCs w:val="22"/>
        </w:rPr>
        <w:t>In your comments, please also indicate the number of public comments received.</w:t>
      </w:r>
    </w:p>
    <w:p w:rsidR="00D75313" w:rsidRPr="00E622CD" w:rsidP="00E622CD" w14:paraId="03C097BA" w14:textId="77777777">
      <w:pPr>
        <w:pStyle w:val="ListParagraph"/>
        <w:tabs>
          <w:tab w:val="left" w:pos="-720"/>
          <w:tab w:val="left" w:pos="375"/>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For the </w:t>
      </w:r>
      <w:r w:rsidRPr="00E622CD">
        <w:rPr>
          <w:rFonts w:asciiTheme="minorHAnsi" w:hAnsiTheme="minorHAnsi" w:cstheme="minorHAnsi"/>
          <w:b/>
          <w:sz w:val="22"/>
          <w:szCs w:val="22"/>
        </w:rPr>
        <w:t>30 day</w:t>
      </w:r>
      <w:r w:rsidRPr="00E622CD">
        <w:rPr>
          <w:rFonts w:asciiTheme="minorHAnsi" w:hAnsiTheme="minorHAnsi" w:cstheme="minorHAnsi"/>
          <w:b/>
          <w:sz w:val="22"/>
          <w:szCs w:val="22"/>
        </w:rPr>
        <w:t xml:space="preserve"> notice, indicate that a notice will be published.</w:t>
      </w:r>
    </w:p>
    <w:p w:rsidR="00043C32" w:rsidRPr="00E622CD" w:rsidP="00E622CD" w14:paraId="0E89662F"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Describe efforts to consult with </w:t>
      </w:r>
      <w:r w:rsidRPr="00E622CD">
        <w:rPr>
          <w:rStyle w:val="a"/>
          <w:rFonts w:asciiTheme="minorHAnsi" w:hAnsiTheme="minorHAnsi" w:cstheme="minorHAnsi"/>
          <w:b/>
          <w:sz w:val="22"/>
          <w:szCs w:val="22"/>
        </w:rPr>
        <w:t>persons</w:t>
      </w:r>
      <w:r w:rsidRPr="00E622CD">
        <w:rPr>
          <w:rStyle w:val="a"/>
          <w:rFonts w:asciiTheme="minorHAnsi" w:hAnsiTheme="minorHAnsi" w:cstheme="minorHAnsi"/>
          <w:b/>
          <w:sz w:val="22"/>
          <w:szCs w:val="22"/>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E622CD" w:rsidP="00E622CD" w14:paraId="4821C19C" w14:textId="77777777">
      <w:pPr>
        <w:tabs>
          <w:tab w:val="left" w:pos="-720"/>
        </w:tabs>
        <w:suppressAutoHyphens/>
        <w:spacing w:after="120" w:line="276" w:lineRule="auto"/>
        <w:ind w:left="720"/>
        <w:rPr>
          <w:rStyle w:val="a"/>
          <w:rFonts w:asciiTheme="minorHAnsi" w:hAnsiTheme="minorHAnsi" w:cstheme="minorHAnsi"/>
          <w:b/>
          <w:sz w:val="22"/>
          <w:szCs w:val="22"/>
        </w:rPr>
      </w:pPr>
      <w:r w:rsidRPr="00E622CD">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679E" w:rsidP="28756F95" w14:paraId="0C3A74FA" w14:textId="08D85758">
      <w:pPr>
        <w:spacing w:after="120" w:line="276" w:lineRule="auto"/>
        <w:ind w:left="720"/>
        <w:rPr>
          <w:rFonts w:asciiTheme="minorHAnsi" w:hAnsiTheme="minorHAnsi" w:cstheme="minorBidi"/>
          <w:sz w:val="22"/>
          <w:szCs w:val="22"/>
        </w:rPr>
      </w:pPr>
      <w:r w:rsidRPr="28756F95">
        <w:rPr>
          <w:rFonts w:asciiTheme="minorHAnsi" w:hAnsiTheme="minorHAnsi" w:cstheme="minorBidi"/>
          <w:sz w:val="22"/>
          <w:szCs w:val="22"/>
        </w:rPr>
        <w:t>On</w:t>
      </w:r>
      <w:r w:rsidRPr="28756F95" w:rsidR="007C569A">
        <w:rPr>
          <w:rFonts w:asciiTheme="minorHAnsi" w:hAnsiTheme="minorHAnsi" w:cstheme="minorBidi"/>
          <w:sz w:val="22"/>
          <w:szCs w:val="22"/>
        </w:rPr>
        <w:t xml:space="preserve"> April </w:t>
      </w:r>
      <w:r w:rsidRPr="28756F95" w:rsidR="009A06EB">
        <w:rPr>
          <w:rFonts w:asciiTheme="minorHAnsi" w:hAnsiTheme="minorHAnsi" w:cstheme="minorBidi"/>
          <w:sz w:val="22"/>
          <w:szCs w:val="22"/>
        </w:rPr>
        <w:t xml:space="preserve">4, </w:t>
      </w:r>
      <w:r w:rsidRPr="28756F95" w:rsidR="0022509A">
        <w:rPr>
          <w:rFonts w:asciiTheme="minorHAnsi" w:hAnsiTheme="minorHAnsi" w:cstheme="minorBidi"/>
          <w:sz w:val="22"/>
          <w:szCs w:val="22"/>
        </w:rPr>
        <w:t>2026,</w:t>
      </w:r>
      <w:r w:rsidRPr="28756F95" w:rsidR="009A06EB">
        <w:rPr>
          <w:rFonts w:asciiTheme="minorHAnsi" w:hAnsiTheme="minorHAnsi" w:cstheme="minorBidi"/>
          <w:sz w:val="22"/>
          <w:szCs w:val="22"/>
        </w:rPr>
        <w:t xml:space="preserve"> the Department published a Federal </w:t>
      </w:r>
      <w:r w:rsidRPr="28756F95" w:rsidR="0068254E">
        <w:rPr>
          <w:rFonts w:asciiTheme="minorHAnsi" w:hAnsiTheme="minorHAnsi" w:cstheme="minorBidi"/>
          <w:sz w:val="22"/>
          <w:szCs w:val="22"/>
        </w:rPr>
        <w:t>R</w:t>
      </w:r>
      <w:r w:rsidRPr="28756F95" w:rsidR="009A06EB">
        <w:rPr>
          <w:rFonts w:asciiTheme="minorHAnsi" w:hAnsiTheme="minorHAnsi" w:cstheme="minorBidi"/>
          <w:sz w:val="22"/>
          <w:szCs w:val="22"/>
        </w:rPr>
        <w:t>egister</w:t>
      </w:r>
      <w:r w:rsidRPr="28756F95" w:rsidR="0068254E">
        <w:rPr>
          <w:rFonts w:asciiTheme="minorHAnsi" w:hAnsiTheme="minorHAnsi" w:cstheme="minorBidi"/>
          <w:sz w:val="22"/>
          <w:szCs w:val="22"/>
        </w:rPr>
        <w:t xml:space="preserve"> Notice (</w:t>
      </w:r>
      <w:r w:rsidRPr="28756F95" w:rsidR="00A65313">
        <w:rPr>
          <w:rFonts w:asciiTheme="minorHAnsi" w:hAnsiTheme="minorHAnsi" w:cstheme="minorBidi"/>
          <w:sz w:val="22"/>
          <w:szCs w:val="22"/>
        </w:rPr>
        <w:t xml:space="preserve">91 FR 17956) opening a </w:t>
      </w:r>
      <w:r w:rsidRPr="28756F95" w:rsidR="29B7E785">
        <w:rPr>
          <w:rFonts w:asciiTheme="minorHAnsi" w:hAnsiTheme="minorHAnsi" w:cstheme="minorBidi"/>
          <w:sz w:val="22"/>
          <w:szCs w:val="22"/>
        </w:rPr>
        <w:t>60-day</w:t>
      </w:r>
      <w:r w:rsidRPr="28756F95" w:rsidR="00A65313">
        <w:rPr>
          <w:rFonts w:asciiTheme="minorHAnsi" w:hAnsiTheme="minorHAnsi" w:cstheme="minorBidi"/>
          <w:sz w:val="22"/>
          <w:szCs w:val="22"/>
        </w:rPr>
        <w:t xml:space="preserve"> public comment period on this collection</w:t>
      </w:r>
      <w:r w:rsidR="00134CFA">
        <w:rPr>
          <w:rFonts w:asciiTheme="minorHAnsi" w:hAnsiTheme="minorHAnsi" w:cstheme="minorBidi"/>
          <w:sz w:val="22"/>
          <w:szCs w:val="22"/>
        </w:rPr>
        <w:t>.</w:t>
      </w:r>
      <w:r w:rsidRPr="28756F95" w:rsidR="00A65313">
        <w:rPr>
          <w:rFonts w:asciiTheme="minorHAnsi" w:hAnsiTheme="minorHAnsi" w:cstheme="minorBidi"/>
          <w:sz w:val="22"/>
          <w:szCs w:val="22"/>
        </w:rPr>
        <w:t xml:space="preserve"> </w:t>
      </w:r>
      <w:r w:rsidR="00134CFA">
        <w:rPr>
          <w:rFonts w:asciiTheme="minorHAnsi" w:hAnsiTheme="minorHAnsi" w:cstheme="minorBidi"/>
          <w:sz w:val="22"/>
          <w:szCs w:val="22"/>
        </w:rPr>
        <w:t>C</w:t>
      </w:r>
      <w:r w:rsidRPr="28756F95" w:rsidR="007B2EC2">
        <w:rPr>
          <w:rFonts w:asciiTheme="minorHAnsi" w:hAnsiTheme="minorHAnsi" w:cstheme="minorBidi"/>
          <w:sz w:val="22"/>
          <w:szCs w:val="22"/>
        </w:rPr>
        <w:t xml:space="preserve">omments were received and the responses to those comments are </w:t>
      </w:r>
      <w:r w:rsidRPr="28756F95" w:rsidR="00D55E61">
        <w:rPr>
          <w:rFonts w:asciiTheme="minorHAnsi" w:hAnsiTheme="minorHAnsi" w:cstheme="minorBidi"/>
          <w:sz w:val="22"/>
          <w:szCs w:val="22"/>
        </w:rPr>
        <w:t xml:space="preserve">attached in a separate document titled </w:t>
      </w:r>
      <w:r w:rsidRPr="007C3263" w:rsidR="004E6A87">
        <w:rPr>
          <w:rFonts w:asciiTheme="minorHAnsi" w:hAnsiTheme="minorHAnsi" w:cstheme="minorBidi"/>
          <w:i/>
          <w:iCs/>
          <w:sz w:val="22"/>
          <w:szCs w:val="22"/>
        </w:rPr>
        <w:t>60 Day Comment Responses_1845-0007</w:t>
      </w:r>
      <w:r w:rsidRPr="28756F95" w:rsidR="004E6A87">
        <w:rPr>
          <w:rFonts w:asciiTheme="minorHAnsi" w:hAnsiTheme="minorHAnsi" w:cstheme="minorBidi"/>
          <w:sz w:val="22"/>
          <w:szCs w:val="22"/>
        </w:rPr>
        <w:t>.</w:t>
      </w:r>
      <w:r w:rsidRPr="28756F95" w:rsidR="4AAF9E70">
        <w:rPr>
          <w:rFonts w:asciiTheme="minorHAnsi" w:hAnsiTheme="minorHAnsi" w:cstheme="minorBidi"/>
          <w:sz w:val="22"/>
          <w:szCs w:val="22"/>
        </w:rPr>
        <w:t xml:space="preserve"> </w:t>
      </w:r>
    </w:p>
    <w:p w:rsidR="002B679E" w:rsidP="28756F95" w14:paraId="59F67BAB" w14:textId="14CF06A9">
      <w:pPr>
        <w:spacing w:after="120" w:line="276" w:lineRule="auto"/>
        <w:ind w:left="720"/>
        <w:rPr>
          <w:rFonts w:asciiTheme="minorHAnsi" w:hAnsiTheme="minorHAnsi" w:cstheme="minorBidi"/>
          <w:sz w:val="22"/>
          <w:szCs w:val="22"/>
        </w:rPr>
      </w:pPr>
      <w:r w:rsidRPr="28756F95">
        <w:rPr>
          <w:rFonts w:asciiTheme="minorHAnsi" w:hAnsiTheme="minorHAnsi" w:cstheme="minorBidi"/>
          <w:sz w:val="22"/>
          <w:szCs w:val="22"/>
        </w:rPr>
        <w:t xml:space="preserve">One commenter requested that the Income-Based Repayment (IBR) capitalization rules be clarified to ensure that </w:t>
      </w:r>
      <w:r w:rsidRPr="28756F95" w:rsidR="5FCBBABA">
        <w:rPr>
          <w:rFonts w:asciiTheme="minorHAnsi" w:hAnsiTheme="minorHAnsi" w:cstheme="minorBidi"/>
          <w:sz w:val="22"/>
          <w:szCs w:val="22"/>
        </w:rPr>
        <w:t>borrowers understand when interest capitalization occurs. The Department agreed to add “or you otherwise leave the IBR plan” to account for a circumstance that causes interest cap</w:t>
      </w:r>
      <w:r w:rsidRPr="28756F95" w:rsidR="78A6F8D9">
        <w:rPr>
          <w:rFonts w:asciiTheme="minorHAnsi" w:hAnsiTheme="minorHAnsi" w:cstheme="minorBidi"/>
          <w:sz w:val="22"/>
          <w:szCs w:val="22"/>
        </w:rPr>
        <w:t>italization that was not clear.</w:t>
      </w:r>
    </w:p>
    <w:p w:rsidR="002B679E" w:rsidP="28756F95" w14:paraId="5CA6D593" w14:textId="3FD9500B">
      <w:pPr>
        <w:spacing w:after="120" w:line="276" w:lineRule="auto"/>
        <w:ind w:left="720"/>
        <w:rPr>
          <w:rFonts w:asciiTheme="minorHAnsi" w:hAnsiTheme="minorHAnsi" w:cstheme="minorBidi"/>
          <w:sz w:val="22"/>
          <w:szCs w:val="22"/>
        </w:rPr>
      </w:pPr>
      <w:r w:rsidRPr="28756F95">
        <w:rPr>
          <w:rFonts w:asciiTheme="minorHAnsi" w:hAnsiTheme="minorHAnsi" w:cstheme="minorBidi"/>
          <w:sz w:val="22"/>
          <w:szCs w:val="22"/>
        </w:rPr>
        <w:t>The same commenter also requested that the provisions of the new lifetime</w:t>
      </w:r>
      <w:r w:rsidRPr="28756F95" w:rsidR="65DE6829">
        <w:rPr>
          <w:rFonts w:asciiTheme="minorHAnsi" w:hAnsiTheme="minorHAnsi" w:cstheme="minorBidi"/>
          <w:sz w:val="22"/>
          <w:szCs w:val="22"/>
        </w:rPr>
        <w:t xml:space="preserve"> limits be further clarified to ensure borrowers understand the meaning of “regardless of amounts paid or forgiven”</w:t>
      </w:r>
      <w:r w:rsidRPr="28756F95" w:rsidR="1C09F61A">
        <w:rPr>
          <w:rFonts w:asciiTheme="minorHAnsi" w:hAnsiTheme="minorHAnsi" w:cstheme="minorBidi"/>
          <w:sz w:val="22"/>
          <w:szCs w:val="22"/>
        </w:rPr>
        <w:t xml:space="preserve"> </w:t>
      </w:r>
      <w:r w:rsidRPr="28756F95" w:rsidR="3DEB6813">
        <w:rPr>
          <w:rFonts w:asciiTheme="minorHAnsi" w:hAnsiTheme="minorHAnsi" w:cstheme="minorBidi"/>
          <w:sz w:val="22"/>
          <w:szCs w:val="22"/>
        </w:rPr>
        <w:t xml:space="preserve">in relation to their inability to pay down their lifetime loan limit to borrow more loans in the future. The Department agreed with the commenter and updated the language to more closely align with the regulatory text. </w:t>
      </w:r>
    </w:p>
    <w:p w:rsidR="002B679E" w:rsidP="28756F95" w14:paraId="0C976853" w14:textId="2CED6F56">
      <w:pPr>
        <w:spacing w:after="120" w:line="276" w:lineRule="auto"/>
        <w:ind w:left="720"/>
        <w:rPr>
          <w:rFonts w:asciiTheme="minorHAnsi" w:hAnsiTheme="minorHAnsi" w:cstheme="minorBidi"/>
          <w:sz w:val="22"/>
          <w:szCs w:val="22"/>
        </w:rPr>
      </w:pPr>
      <w:r w:rsidRPr="28756F95">
        <w:rPr>
          <w:rFonts w:asciiTheme="minorHAnsi" w:hAnsiTheme="minorHAnsi" w:cstheme="minorBidi"/>
          <w:sz w:val="22"/>
          <w:szCs w:val="22"/>
        </w:rPr>
        <w:t xml:space="preserve">A minor edit was suggested to make the </w:t>
      </w:r>
      <w:r w:rsidRPr="28756F95" w:rsidR="7AD1304B">
        <w:rPr>
          <w:rFonts w:asciiTheme="minorHAnsi" w:hAnsiTheme="minorHAnsi" w:cstheme="minorBidi"/>
          <w:sz w:val="22"/>
          <w:szCs w:val="22"/>
        </w:rPr>
        <w:t xml:space="preserve">Subsidized and Unsubsidized </w:t>
      </w:r>
      <w:r w:rsidRPr="28756F95">
        <w:rPr>
          <w:rFonts w:asciiTheme="minorHAnsi" w:hAnsiTheme="minorHAnsi" w:cstheme="minorBidi"/>
          <w:sz w:val="22"/>
          <w:szCs w:val="22"/>
        </w:rPr>
        <w:t xml:space="preserve">Master Promissory Note (MPN) easier to follow by adding </w:t>
      </w:r>
      <w:r w:rsidRPr="28756F95" w:rsidR="6CD5270B">
        <w:rPr>
          <w:rFonts w:asciiTheme="minorHAnsi" w:hAnsiTheme="minorHAnsi" w:cstheme="minorBidi"/>
          <w:sz w:val="22"/>
          <w:szCs w:val="22"/>
        </w:rPr>
        <w:t>“the chart shown below” instead of just “the chart” when outlining enrollment-based</w:t>
      </w:r>
      <w:r w:rsidRPr="28756F95" w:rsidR="004E6A87">
        <w:rPr>
          <w:rFonts w:asciiTheme="minorHAnsi" w:hAnsiTheme="minorHAnsi" w:cstheme="minorBidi"/>
          <w:sz w:val="22"/>
          <w:szCs w:val="22"/>
        </w:rPr>
        <w:t xml:space="preserve"> </w:t>
      </w:r>
      <w:r w:rsidRPr="28756F95" w:rsidR="705EA1B8">
        <w:rPr>
          <w:rFonts w:asciiTheme="minorHAnsi" w:hAnsiTheme="minorHAnsi" w:cstheme="minorBidi"/>
          <w:sz w:val="22"/>
          <w:szCs w:val="22"/>
        </w:rPr>
        <w:t xml:space="preserve">loan limit provisions. The Department agreed that because the MPNs are multi-page </w:t>
      </w:r>
      <w:r w:rsidRPr="28756F95" w:rsidR="00BD20D5">
        <w:rPr>
          <w:rFonts w:asciiTheme="minorHAnsi" w:hAnsiTheme="minorHAnsi" w:cstheme="minorBidi"/>
          <w:sz w:val="22"/>
          <w:szCs w:val="22"/>
        </w:rPr>
        <w:t>documents,</w:t>
      </w:r>
      <w:r w:rsidRPr="28756F95" w:rsidR="705EA1B8">
        <w:rPr>
          <w:rFonts w:asciiTheme="minorHAnsi" w:hAnsiTheme="minorHAnsi" w:cstheme="minorBidi"/>
          <w:sz w:val="22"/>
          <w:szCs w:val="22"/>
        </w:rPr>
        <w:t xml:space="preserve"> adding this modification would make the form easier to understand for borrowers. This change was also made </w:t>
      </w:r>
      <w:r w:rsidRPr="28756F95" w:rsidR="705EA1B8">
        <w:rPr>
          <w:rFonts w:asciiTheme="minorHAnsi" w:hAnsiTheme="minorHAnsi" w:cstheme="minorBidi"/>
          <w:sz w:val="22"/>
          <w:szCs w:val="22"/>
        </w:rPr>
        <w:t>on</w:t>
      </w:r>
      <w:r w:rsidRPr="28756F95" w:rsidR="705EA1B8">
        <w:rPr>
          <w:rFonts w:asciiTheme="minorHAnsi" w:hAnsiTheme="minorHAnsi" w:cstheme="minorBidi"/>
          <w:sz w:val="22"/>
          <w:szCs w:val="22"/>
        </w:rPr>
        <w:t xml:space="preserve"> the PLUS </w:t>
      </w:r>
      <w:r w:rsidRPr="28756F95" w:rsidR="3A2CDD72">
        <w:rPr>
          <w:rFonts w:asciiTheme="minorHAnsi" w:hAnsiTheme="minorHAnsi" w:cstheme="minorBidi"/>
          <w:sz w:val="22"/>
          <w:szCs w:val="22"/>
        </w:rPr>
        <w:t>Endorser MPN and the PLUS MPN.</w:t>
      </w:r>
    </w:p>
    <w:p w:rsidR="002B679E" w:rsidP="28756F95" w14:paraId="49398BB9" w14:textId="3B6C0801">
      <w:pPr>
        <w:spacing w:after="120" w:line="276" w:lineRule="auto"/>
        <w:ind w:left="720"/>
        <w:rPr>
          <w:rFonts w:asciiTheme="minorHAnsi" w:hAnsiTheme="minorHAnsi" w:cstheme="minorBidi"/>
          <w:sz w:val="22"/>
          <w:szCs w:val="22"/>
        </w:rPr>
      </w:pPr>
      <w:r w:rsidRPr="28756F95">
        <w:rPr>
          <w:rFonts w:asciiTheme="minorHAnsi" w:hAnsiTheme="minorHAnsi" w:cstheme="minorBidi"/>
          <w:sz w:val="22"/>
          <w:szCs w:val="22"/>
        </w:rPr>
        <w:t xml:space="preserve">A commenter found an incorrect cross reference </w:t>
      </w:r>
      <w:r w:rsidRPr="28756F95" w:rsidR="02C0AFAF">
        <w:rPr>
          <w:rFonts w:asciiTheme="minorHAnsi" w:hAnsiTheme="minorHAnsi" w:cstheme="minorBidi"/>
          <w:sz w:val="22"/>
          <w:szCs w:val="22"/>
        </w:rPr>
        <w:t xml:space="preserve">for Item 14 on the PLUS MPN that should have </w:t>
      </w:r>
      <w:r w:rsidRPr="28756F95" w:rsidR="02C0AFAF">
        <w:rPr>
          <w:rFonts w:asciiTheme="minorHAnsi" w:hAnsiTheme="minorHAnsi" w:cstheme="minorBidi"/>
          <w:sz w:val="22"/>
          <w:szCs w:val="22"/>
        </w:rPr>
        <w:t>actually been</w:t>
      </w:r>
      <w:r w:rsidRPr="28756F95" w:rsidR="02C0AFAF">
        <w:rPr>
          <w:rFonts w:asciiTheme="minorHAnsi" w:hAnsiTheme="minorHAnsi" w:cstheme="minorBidi"/>
          <w:sz w:val="22"/>
          <w:szCs w:val="22"/>
        </w:rPr>
        <w:t xml:space="preserve"> referencing Item 15. The Department fixed the error.</w:t>
      </w:r>
    </w:p>
    <w:p w:rsidR="006B3AFD" w:rsidP="00603773" w14:paraId="729BCC99" w14:textId="77777777">
      <w:pPr>
        <w:spacing w:after="120" w:line="276" w:lineRule="auto"/>
        <w:ind w:left="720"/>
        <w:rPr>
          <w:rFonts w:asciiTheme="minorHAnsi" w:hAnsiTheme="minorHAnsi" w:cstheme="minorBidi"/>
          <w:sz w:val="22"/>
          <w:szCs w:val="22"/>
        </w:rPr>
      </w:pPr>
      <w:r w:rsidRPr="28756F95">
        <w:rPr>
          <w:rFonts w:asciiTheme="minorHAnsi" w:hAnsiTheme="minorHAnsi" w:cstheme="minorBidi"/>
          <w:sz w:val="22"/>
          <w:szCs w:val="22"/>
        </w:rPr>
        <w:t xml:space="preserve">A commenter requested that the Department </w:t>
      </w:r>
      <w:r w:rsidRPr="28756F95" w:rsidR="5D9D98CA">
        <w:rPr>
          <w:rFonts w:asciiTheme="minorHAnsi" w:hAnsiTheme="minorHAnsi" w:cstheme="minorBidi"/>
          <w:sz w:val="22"/>
          <w:szCs w:val="22"/>
        </w:rPr>
        <w:t>clearly explained the consequences for a Parent PLUS Loan borrower to taking out new loans as of July 1, 2026 included only having access to repay any Parent PLUS</w:t>
      </w:r>
      <w:r w:rsidRPr="28756F95" w:rsidR="6D1A242B">
        <w:rPr>
          <w:rFonts w:asciiTheme="minorHAnsi" w:hAnsiTheme="minorHAnsi" w:cstheme="minorBidi"/>
          <w:sz w:val="22"/>
          <w:szCs w:val="22"/>
        </w:rPr>
        <w:t xml:space="preserve"> Loans or Consolidation Loans that included an underlying Parent PLUS Loan to only be eligible to be repaid under Tiered Standard which is not an eligible repayment plan for Public Service Loan Forgiveness (PSLF). The Department agreed to </w:t>
      </w:r>
      <w:r w:rsidRPr="28756F95" w:rsidR="2F6F7B95">
        <w:rPr>
          <w:rFonts w:asciiTheme="minorHAnsi" w:hAnsiTheme="minorHAnsi" w:cstheme="minorBidi"/>
          <w:sz w:val="22"/>
          <w:szCs w:val="22"/>
        </w:rPr>
        <w:t xml:space="preserve">the clarification and added, </w:t>
      </w:r>
      <w:r w:rsidRPr="006B3AFD" w:rsidR="2F6F7B95">
        <w:rPr>
          <w:rFonts w:asciiTheme="minorHAnsi" w:hAnsiTheme="minorHAnsi" w:cstheme="minorBidi"/>
          <w:sz w:val="22"/>
          <w:szCs w:val="22"/>
        </w:rPr>
        <w:t>“</w:t>
      </w:r>
      <w:r w:rsidRPr="006B3AFD" w:rsidR="2F6F7B95">
        <w:rPr>
          <w:rFonts w:ascii="Calibri" w:eastAsia="Calibri" w:hAnsi="Calibri" w:cs="Calibri"/>
          <w:sz w:val="22"/>
          <w:szCs w:val="22"/>
        </w:rPr>
        <w:t xml:space="preserve">Note: Payments made while enrolled in the Tiered Standard Plan are not considered qualifying payments for Public Service Loan Forgiveness (PSLF) or Temporary Expanded Public Service Loan Forgiveness (TEPSLF)” to the PLUS MPN and PLUS Endorser Addendum </w:t>
      </w:r>
      <w:r w:rsidRPr="006B3AFD" w:rsidR="2D24A1C2">
        <w:rPr>
          <w:rFonts w:ascii="Calibri" w:eastAsia="Calibri" w:hAnsi="Calibri" w:cs="Calibri"/>
          <w:sz w:val="22"/>
          <w:szCs w:val="22"/>
        </w:rPr>
        <w:t>as part of the Tiered Standard repayment plan description.</w:t>
      </w:r>
    </w:p>
    <w:p w:rsidR="009D3878" w:rsidP="00603773" w14:paraId="602DD9A5" w14:textId="756D0668">
      <w:pPr>
        <w:spacing w:after="120" w:line="276" w:lineRule="auto"/>
        <w:ind w:left="720"/>
        <w:rPr>
          <w:rFonts w:asciiTheme="minorHAnsi" w:hAnsiTheme="minorHAnsi" w:cstheme="minorHAnsi"/>
          <w:sz w:val="22"/>
          <w:szCs w:val="22"/>
        </w:rPr>
      </w:pPr>
      <w:r w:rsidRPr="009D3878">
        <w:rPr>
          <w:rFonts w:asciiTheme="minorHAnsi" w:hAnsiTheme="minorHAnsi" w:cstheme="minorHAnsi"/>
          <w:sz w:val="22"/>
          <w:szCs w:val="22"/>
        </w:rPr>
        <w:t xml:space="preserve">The Department is </w:t>
      </w:r>
      <w:r w:rsidR="00C35ACB">
        <w:rPr>
          <w:rFonts w:asciiTheme="minorHAnsi" w:hAnsiTheme="minorHAnsi" w:cstheme="minorHAnsi"/>
          <w:sz w:val="22"/>
          <w:szCs w:val="22"/>
        </w:rPr>
        <w:t xml:space="preserve">now </w:t>
      </w:r>
      <w:r w:rsidRPr="009D3878">
        <w:rPr>
          <w:rFonts w:asciiTheme="minorHAnsi" w:hAnsiTheme="minorHAnsi" w:cstheme="minorHAnsi"/>
          <w:sz w:val="22"/>
          <w:szCs w:val="22"/>
        </w:rPr>
        <w:t xml:space="preserve">requesting </w:t>
      </w:r>
      <w:r w:rsidR="004D37CB">
        <w:rPr>
          <w:rFonts w:asciiTheme="minorHAnsi" w:hAnsiTheme="minorHAnsi" w:cstheme="minorHAnsi"/>
          <w:sz w:val="22"/>
          <w:szCs w:val="22"/>
        </w:rPr>
        <w:t xml:space="preserve">that </w:t>
      </w:r>
      <w:r w:rsidR="00150FE0">
        <w:rPr>
          <w:rFonts w:asciiTheme="minorHAnsi" w:hAnsiTheme="minorHAnsi" w:cstheme="minorHAnsi"/>
          <w:sz w:val="22"/>
          <w:szCs w:val="22"/>
        </w:rPr>
        <w:t xml:space="preserve">a Federal Register Notice opening the 30-day public comment period </w:t>
      </w:r>
      <w:r w:rsidR="00603773">
        <w:rPr>
          <w:rFonts w:asciiTheme="minorHAnsi" w:hAnsiTheme="minorHAnsi" w:cstheme="minorHAnsi"/>
          <w:sz w:val="22"/>
          <w:szCs w:val="22"/>
        </w:rPr>
        <w:t>be published</w:t>
      </w:r>
      <w:r>
        <w:rPr>
          <w:rFonts w:asciiTheme="minorHAnsi" w:hAnsiTheme="minorHAnsi" w:cstheme="minorHAnsi"/>
          <w:sz w:val="22"/>
          <w:szCs w:val="22"/>
        </w:rPr>
        <w:t>.</w:t>
      </w:r>
    </w:p>
    <w:p w:rsidR="00043C32" w:rsidRPr="00E622CD" w:rsidP="00E622CD" w14:paraId="1E39AE53" w14:textId="77777777">
      <w:pPr>
        <w:pStyle w:val="ListParagraph"/>
        <w:numPr>
          <w:ilvl w:val="0"/>
          <w:numId w:val="5"/>
        </w:numPr>
        <w:tabs>
          <w:tab w:val="left" w:pos="-720"/>
        </w:tabs>
        <w:suppressAutoHyphens/>
        <w:spacing w:after="120" w:line="276" w:lineRule="auto"/>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EF4C67" w:rsidRPr="00E622CD" w:rsidP="00E622CD" w14:paraId="25E163A2"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No payments or gifts will be provided to respondents.</w:t>
      </w:r>
    </w:p>
    <w:p w:rsidR="00043C32" w:rsidRPr="00E622CD" w:rsidP="00E622CD" w14:paraId="52B805E5"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E622CD">
        <w:rPr>
          <w:rFonts w:asciiTheme="minorHAnsi" w:hAnsiTheme="minorHAnsi" w:cstheme="minorHAnsi"/>
          <w:b/>
          <w:sz w:val="22"/>
          <w:szCs w:val="22"/>
        </w:rPr>
        <w:t>on</w:t>
      </w:r>
      <w:r w:rsidRPr="00E622CD">
        <w:rPr>
          <w:rFonts w:asciiTheme="minorHAnsi" w:hAnsiTheme="minorHAnsi" w:cstheme="minorHAnsi"/>
          <w:b/>
          <w:sz w:val="22"/>
          <w:szCs w:val="22"/>
        </w:rPr>
        <w:t xml:space="preserve"> the instrument. Please provide a citation for the Systems of Record Notice and the date </w:t>
      </w:r>
      <w:r w:rsidRPr="00E622CD">
        <w:rPr>
          <w:rFonts w:asciiTheme="minorHAnsi" w:hAnsiTheme="minorHAnsi" w:cstheme="minorHAnsi"/>
          <w:b/>
          <w:sz w:val="22"/>
          <w:szCs w:val="22"/>
        </w:rPr>
        <w:t>a Privacy</w:t>
      </w:r>
      <w:r w:rsidRPr="00E622CD">
        <w:rPr>
          <w:rFonts w:asciiTheme="minorHAnsi" w:hAnsiTheme="minorHAnsi" w:cstheme="minorHAnsi"/>
          <w:b/>
          <w:sz w:val="22"/>
          <w:szCs w:val="22"/>
        </w:rPr>
        <w:t xml:space="preserve"> Impact Assessment was completed as indicated on the IC Data Form. A confidentiality statement with a legal citation that authorizes the pledge of confidentiality should be provided.</w:t>
      </w:r>
      <w:r>
        <w:rPr>
          <w:rStyle w:val="FootnoteReference"/>
          <w:rFonts w:asciiTheme="minorHAnsi" w:hAnsiTheme="minorHAnsi" w:cstheme="minorHAnsi"/>
          <w:b/>
          <w:sz w:val="22"/>
          <w:szCs w:val="22"/>
        </w:rPr>
        <w:footnoteReference w:id="3"/>
      </w:r>
      <w:r w:rsidRPr="00E622CD">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E622CD" w:rsidR="00920F63">
        <w:rPr>
          <w:rFonts w:asciiTheme="minorHAnsi" w:hAnsiTheme="minorHAnsi" w:cstheme="minorHAnsi"/>
          <w:b/>
          <w:sz w:val="22"/>
          <w:szCs w:val="22"/>
        </w:rPr>
        <w:t>ity</w:t>
      </w:r>
      <w:r w:rsidRPr="00E622CD">
        <w:rPr>
          <w:rFonts w:asciiTheme="minorHAnsi" w:hAnsiTheme="minorHAnsi" w:cstheme="minorHAnsi"/>
          <w:b/>
          <w:sz w:val="22"/>
          <w:szCs w:val="22"/>
        </w:rPr>
        <w:t xml:space="preserve"> of the data.</w:t>
      </w:r>
      <w:r w:rsidRPr="00E622CD" w:rsidR="009767AF">
        <w:rPr>
          <w:rFonts w:asciiTheme="minorHAnsi" w:hAnsiTheme="minorHAnsi" w:cstheme="minorHAnsi"/>
          <w:b/>
          <w:sz w:val="22"/>
          <w:szCs w:val="22"/>
        </w:rPr>
        <w:t xml:space="preserve"> If no PII will be collected, state that no assurance of confidentiality is provided to respondents.</w:t>
      </w:r>
      <w:r w:rsidRPr="00E622CD"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EF4C67" w:rsidRPr="00E622CD" w:rsidP="00E622CD" w14:paraId="78C701AF" w14:textId="77777777">
      <w:pPr>
        <w:tabs>
          <w:tab w:val="left" w:pos="-72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 xml:space="preserve">promissory notes and PLUS Endorser Addendum </w:t>
      </w:r>
      <w:r w:rsidRPr="001564B4">
        <w:rPr>
          <w:rFonts w:ascii="Calibri" w:hAnsi="Calibri"/>
          <w:sz w:val="22"/>
          <w:szCs w:val="22"/>
        </w:rPr>
        <w:t xml:space="preserve">include a Privacy Act </w:t>
      </w:r>
      <w:r>
        <w:rPr>
          <w:rFonts w:ascii="Calibri" w:hAnsi="Calibri"/>
          <w:sz w:val="22"/>
          <w:szCs w:val="22"/>
        </w:rPr>
        <w:t>Statement</w:t>
      </w:r>
      <w:r w:rsidRPr="001564B4">
        <w:rPr>
          <w:rFonts w:ascii="Calibri" w:hAnsi="Calibri"/>
          <w:sz w:val="22"/>
          <w:szCs w:val="22"/>
        </w:rPr>
        <w:t xml:space="preserve"> that (1) informs the borrower </w:t>
      </w:r>
      <w:r>
        <w:rPr>
          <w:rFonts w:ascii="Calibri" w:hAnsi="Calibri"/>
          <w:sz w:val="22"/>
          <w:szCs w:val="22"/>
        </w:rPr>
        <w:t xml:space="preserve">or endorser </w:t>
      </w:r>
      <w:r w:rsidRPr="001564B4">
        <w:rPr>
          <w:rFonts w:ascii="Calibri" w:hAnsi="Calibri"/>
          <w:sz w:val="22"/>
          <w:szCs w:val="22"/>
        </w:rPr>
        <w:t>of the statutory authority for the information collection</w:t>
      </w:r>
      <w:r>
        <w:rPr>
          <w:rFonts w:ascii="Calibri" w:hAnsi="Calibri"/>
          <w:sz w:val="22"/>
          <w:szCs w:val="22"/>
        </w:rPr>
        <w:t>;</w:t>
      </w:r>
      <w:r w:rsidRPr="001564B4">
        <w:rPr>
          <w:rFonts w:ascii="Calibri" w:hAnsi="Calibri"/>
          <w:sz w:val="22"/>
          <w:szCs w:val="22"/>
        </w:rPr>
        <w:t xml:space="preserve"> (2) explains that disclosure of the information is voluntary, but is required in order to </w:t>
      </w:r>
      <w:r>
        <w:rPr>
          <w:rFonts w:ascii="Calibri" w:hAnsi="Calibri"/>
          <w:sz w:val="22"/>
          <w:szCs w:val="22"/>
        </w:rPr>
        <w:t>receive a benefit under the Direct Loan Program;</w:t>
      </w:r>
      <w:r w:rsidRPr="001564B4">
        <w:rPr>
          <w:rFonts w:ascii="Calibri" w:hAnsi="Calibri"/>
          <w:sz w:val="22"/>
          <w:szCs w:val="22"/>
        </w:rPr>
        <w:t xml:space="preserve"> and (3) identifies the third parties to whom the information may be disclosed, and explains the circumstances under which such disclosures may occur.</w:t>
      </w:r>
    </w:p>
    <w:p w:rsidR="00043C32" w:rsidRPr="00E622CD" w:rsidP="00E622CD" w14:paraId="059896DB" w14:textId="77777777">
      <w:pPr>
        <w:pStyle w:val="ListParagraph"/>
        <w:numPr>
          <w:ilvl w:val="0"/>
          <w:numId w:val="5"/>
        </w:numPr>
        <w:tabs>
          <w:tab w:val="left" w:pos="-720"/>
        </w:tabs>
        <w:suppressAutoHyphens/>
        <w:spacing w:after="120" w:line="276" w:lineRule="auto"/>
        <w:ind w:hanging="540"/>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E622CD">
        <w:rPr>
          <w:rFonts w:asciiTheme="minorHAnsi" w:hAnsiTheme="minorHAnsi" w:cstheme="minorHAnsi"/>
          <w:b/>
          <w:sz w:val="22"/>
          <w:szCs w:val="22"/>
        </w:rPr>
        <w:t>persons</w:t>
      </w:r>
      <w:r w:rsidRPr="00E622CD">
        <w:rPr>
          <w:rFonts w:asciiTheme="minorHAnsi" w:hAnsiTheme="minorHAnsi" w:cstheme="minorHAnsi"/>
          <w:b/>
          <w:sz w:val="22"/>
          <w:szCs w:val="22"/>
        </w:rPr>
        <w:t xml:space="preserve"> from whom the information is requested, and any steps to be taken to obtain their consent.</w:t>
      </w:r>
    </w:p>
    <w:p w:rsidR="00EF4C67" w:rsidRPr="00E622CD" w:rsidP="00E622CD" w14:paraId="49E001D6" w14:textId="77777777">
      <w:pPr>
        <w:tabs>
          <w:tab w:val="left" w:pos="0"/>
        </w:tabs>
        <w:suppressAutoHyphens/>
        <w:spacing w:after="120" w:line="276" w:lineRule="auto"/>
        <w:ind w:left="720"/>
        <w:rPr>
          <w:rFonts w:asciiTheme="minorHAnsi" w:hAnsiTheme="minorHAnsi" w:cstheme="minorHAnsi"/>
          <w:sz w:val="22"/>
          <w:szCs w:val="22"/>
        </w:rPr>
      </w:pPr>
      <w:r w:rsidRPr="001564B4">
        <w:rPr>
          <w:rFonts w:ascii="Calibri" w:hAnsi="Calibri"/>
          <w:sz w:val="22"/>
          <w:szCs w:val="22"/>
        </w:rPr>
        <w:t xml:space="preserve">The </w:t>
      </w:r>
      <w:r>
        <w:rPr>
          <w:rFonts w:ascii="Calibri" w:hAnsi="Calibri"/>
          <w:sz w:val="22"/>
          <w:szCs w:val="22"/>
        </w:rPr>
        <w:t>forms included with this submission do not require respondents</w:t>
      </w:r>
      <w:r w:rsidRPr="001564B4">
        <w:rPr>
          <w:rFonts w:ascii="Calibri" w:hAnsi="Calibri"/>
          <w:sz w:val="22"/>
          <w:szCs w:val="22"/>
        </w:rPr>
        <w:t xml:space="preserve"> to provide any information that would be considered sensitive.</w:t>
      </w:r>
    </w:p>
    <w:p w:rsidR="00043C32" w:rsidRPr="00E622CD" w:rsidP="00E622CD" w14:paraId="31B34403" w14:textId="77777777">
      <w:pPr>
        <w:pStyle w:val="ListParagraph"/>
        <w:numPr>
          <w:ilvl w:val="0"/>
          <w:numId w:val="5"/>
        </w:numPr>
        <w:tabs>
          <w:tab w:val="left" w:pos="-720"/>
        </w:tabs>
        <w:suppressAutoHyphens/>
        <w:spacing w:after="120" w:line="276" w:lineRule="auto"/>
        <w:ind w:hanging="54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the hour burden </w:t>
      </w:r>
      <w:r w:rsidRPr="00E622CD" w:rsidR="00F5782B">
        <w:rPr>
          <w:rStyle w:val="a"/>
          <w:rFonts w:asciiTheme="minorHAnsi" w:hAnsiTheme="minorHAnsi" w:cstheme="minorHAnsi"/>
          <w:b/>
          <w:sz w:val="22"/>
          <w:szCs w:val="22"/>
        </w:rPr>
        <w:t xml:space="preserve">for </w:t>
      </w:r>
      <w:r w:rsidRPr="00E622CD">
        <w:rPr>
          <w:rStyle w:val="a"/>
          <w:rFonts w:asciiTheme="minorHAnsi" w:hAnsiTheme="minorHAnsi" w:cstheme="minorHAnsi"/>
          <w:b/>
          <w:sz w:val="22"/>
          <w:szCs w:val="22"/>
        </w:rPr>
        <w:t>th</w:t>
      </w:r>
      <w:r w:rsidRPr="00E622CD" w:rsidR="00F5782B">
        <w:rPr>
          <w:rStyle w:val="a"/>
          <w:rFonts w:asciiTheme="minorHAnsi" w:hAnsiTheme="minorHAnsi" w:cstheme="minorHAnsi"/>
          <w:b/>
          <w:sz w:val="22"/>
          <w:szCs w:val="22"/>
        </w:rPr>
        <w:t>is</w:t>
      </w:r>
      <w:r w:rsidRPr="00E622CD">
        <w:rPr>
          <w:rStyle w:val="a"/>
          <w:rFonts w:asciiTheme="minorHAnsi" w:hAnsiTheme="minorHAnsi" w:cstheme="minorHAnsi"/>
          <w:b/>
          <w:sz w:val="22"/>
          <w:szCs w:val="22"/>
        </w:rPr>
        <w:t xml:space="preserve"> </w:t>
      </w:r>
      <w:r w:rsidRPr="00E622CD" w:rsidR="00F31BEC">
        <w:rPr>
          <w:rStyle w:val="a"/>
          <w:rFonts w:asciiTheme="minorHAnsi" w:hAnsiTheme="minorHAnsi" w:cstheme="minorHAnsi"/>
          <w:b/>
          <w:sz w:val="22"/>
          <w:szCs w:val="22"/>
        </w:rPr>
        <w:t>current information collection request</w:t>
      </w:r>
      <w:r w:rsidRPr="00E622CD">
        <w:rPr>
          <w:rStyle w:val="a"/>
          <w:rFonts w:asciiTheme="minorHAnsi" w:hAnsiTheme="minorHAnsi" w:cstheme="minorHAnsi"/>
          <w:b/>
          <w:sz w:val="22"/>
          <w:szCs w:val="22"/>
        </w:rPr>
        <w:t>.  The statement should:</w:t>
      </w:r>
    </w:p>
    <w:p w:rsidR="00C224FD" w:rsidRPr="00E622CD" w:rsidP="00E622CD" w14:paraId="4544F5B1"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an explanation of how the burden was estimated, including identification of burden type: recordkeeping, reporting or </w:t>
      </w:r>
      <w:r w:rsidRPr="00E622CD">
        <w:rPr>
          <w:rStyle w:val="a"/>
          <w:rFonts w:asciiTheme="minorHAnsi" w:hAnsiTheme="minorHAnsi" w:cstheme="minorHAnsi"/>
          <w:b/>
          <w:sz w:val="22"/>
          <w:szCs w:val="22"/>
        </w:rPr>
        <w:t>third party</w:t>
      </w:r>
      <w:r w:rsidRPr="00E622CD">
        <w:rPr>
          <w:rStyle w:val="a"/>
          <w:rFonts w:asciiTheme="minorHAnsi" w:hAnsiTheme="minorHAnsi" w:cstheme="minorHAnsi"/>
          <w:b/>
          <w:sz w:val="22"/>
          <w:szCs w:val="22"/>
        </w:rPr>
        <w:t xml:space="preserve"> disclosure.  Address changes in burden due to the use of technology (if applicable). Generally, estimates should not include burden hours for customary and usual business practices.</w:t>
      </w:r>
    </w:p>
    <w:p w:rsidR="00F5782B" w:rsidRPr="00E622CD" w:rsidP="00E622CD" w14:paraId="01924F89"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622CD" w:rsidP="00E622CD" w14:paraId="6501F224" w14:textId="77777777">
      <w:pPr>
        <w:numPr>
          <w:ilvl w:val="0"/>
          <w:numId w:val="2"/>
        </w:numPr>
        <w:tabs>
          <w:tab w:val="left" w:pos="-720"/>
          <w:tab w:val="left" w:pos="1247"/>
        </w:tabs>
        <w:suppressAutoHyphens/>
        <w:spacing w:after="120" w:line="276" w:lineRule="auto"/>
        <w:rPr>
          <w:rStyle w:val="a"/>
          <w:rFonts w:asciiTheme="minorHAnsi" w:hAnsiTheme="minorHAnsi" w:cstheme="minorHAnsi"/>
          <w:sz w:val="22"/>
          <w:szCs w:val="22"/>
        </w:rPr>
      </w:pPr>
      <w:r w:rsidRPr="00E622CD">
        <w:rPr>
          <w:rStyle w:val="a"/>
          <w:rFonts w:asciiTheme="minorHAnsi" w:hAnsiTheme="minorHAnsi" w:cstheme="minorHAnsi"/>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E622CD" w:rsidR="00C224FD">
        <w:rPr>
          <w:rStyle w:val="a"/>
          <w:rFonts w:asciiTheme="minorHAnsi" w:hAnsiTheme="minorHAnsi" w:cstheme="minorHAnsi"/>
          <w:b/>
          <w:sz w:val="22"/>
          <w:szCs w:val="22"/>
        </w:rPr>
        <w:t>.</w:t>
      </w:r>
      <w:r w:rsidRPr="00E622CD">
        <w:rPr>
          <w:rStyle w:val="a"/>
          <w:rFonts w:asciiTheme="minorHAnsi" w:hAnsiTheme="minorHAnsi" w:cstheme="minorHAnsi"/>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E622CD" w:rsidP="00E622CD" w14:paraId="16B331D6" w14:textId="77777777">
      <w:pPr>
        <w:numPr>
          <w:ilvl w:val="0"/>
          <w:numId w:val="2"/>
        </w:numPr>
        <w:tabs>
          <w:tab w:val="left" w:pos="-720"/>
          <w:tab w:val="left" w:pos="1247"/>
        </w:tabs>
        <w:suppressAutoHyphens/>
        <w:spacing w:after="120" w:line="276" w:lineRule="auto"/>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If this request for approval covers more than one form, provide separate hour burden estimates for each form and aggregate the hour burden in the </w:t>
      </w:r>
      <w:r w:rsidRPr="00E622CD" w:rsidR="00C224FD">
        <w:rPr>
          <w:rStyle w:val="a"/>
          <w:rFonts w:asciiTheme="minorHAnsi" w:hAnsiTheme="minorHAnsi" w:cstheme="minorHAnsi"/>
          <w:b/>
          <w:sz w:val="22"/>
          <w:szCs w:val="22"/>
        </w:rPr>
        <w:t>table below.</w:t>
      </w:r>
    </w:p>
    <w:p w:rsidR="00043C32" w:rsidRPr="00E622CD" w:rsidP="00E622CD" w14:paraId="738BAD1D" w14:textId="77777777">
      <w:pPr>
        <w:numPr>
          <w:ilvl w:val="0"/>
          <w:numId w:val="2"/>
        </w:numPr>
        <w:tabs>
          <w:tab w:val="left" w:pos="-720"/>
          <w:tab w:val="left" w:pos="1247"/>
        </w:tabs>
        <w:suppressAutoHyphens/>
        <w:spacing w:after="120" w:line="276" w:lineRule="auto"/>
        <w:ind w:left="1166"/>
        <w:rPr>
          <w:rStyle w:val="a"/>
          <w:rFonts w:asciiTheme="minorHAnsi" w:hAnsiTheme="minorHAnsi" w:cstheme="minorHAnsi"/>
          <w:sz w:val="22"/>
          <w:szCs w:val="22"/>
        </w:rPr>
      </w:pPr>
      <w:r w:rsidRPr="00E622CD">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10" w:history="1">
        <w:r w:rsidRPr="00E622CD" w:rsidR="00C92035">
          <w:rPr>
            <w:rStyle w:val="Hyperlink"/>
            <w:rFonts w:asciiTheme="minorHAnsi" w:hAnsiTheme="minorHAnsi" w:cstheme="minorHAnsi"/>
            <w:b/>
            <w:sz w:val="22"/>
            <w:szCs w:val="22"/>
          </w:rPr>
          <w:t>U</w:t>
        </w:r>
        <w:r w:rsidRPr="00E622CD" w:rsidR="00960C86">
          <w:rPr>
            <w:rStyle w:val="Hyperlink"/>
            <w:rFonts w:asciiTheme="minorHAnsi" w:hAnsiTheme="minorHAnsi" w:cstheme="minorHAnsi"/>
            <w:b/>
            <w:sz w:val="22"/>
            <w:szCs w:val="22"/>
          </w:rPr>
          <w:t>se this site</w:t>
        </w:r>
      </w:hyperlink>
      <w:r w:rsidRPr="00E622CD" w:rsidR="00960C86">
        <w:rPr>
          <w:rStyle w:val="a"/>
          <w:rFonts w:asciiTheme="minorHAnsi" w:hAnsiTheme="minorHAnsi" w:cstheme="minorHAnsi"/>
          <w:b/>
          <w:sz w:val="22"/>
          <w:szCs w:val="22"/>
        </w:rPr>
        <w:t xml:space="preserve"> to research the appropriate wage rate. </w:t>
      </w:r>
      <w:r w:rsidRPr="00E622CD">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622CD"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BC77D6" w:rsidP="00CF4BED" w14:paraId="10D17250" w14:textId="77777777">
      <w:pPr>
        <w:pStyle w:val="ListParagraph"/>
        <w:tabs>
          <w:tab w:val="left" w:pos="-720"/>
        </w:tabs>
        <w:suppressAutoHyphens/>
        <w:spacing w:after="120" w:line="276" w:lineRule="auto"/>
        <w:contextualSpacing w:val="0"/>
        <w:rPr>
          <w:rFonts w:asciiTheme="minorHAnsi" w:hAnsiTheme="minorHAnsi" w:cstheme="minorHAnsi"/>
          <w:sz w:val="22"/>
          <w:szCs w:val="22"/>
        </w:rPr>
      </w:pPr>
      <w:bookmarkStart w:id="1" w:name="_Hlk118704198"/>
    </w:p>
    <w:p w:rsidR="002E2072" w:rsidRPr="002E2072" w:rsidP="001D0C8D" w14:paraId="20489C2F" w14:textId="77777777">
      <w:pPr>
        <w:spacing w:after="120" w:line="276" w:lineRule="auto"/>
        <w:rPr>
          <w:rFonts w:ascii="Calibri" w:hAnsi="Calibri"/>
          <w:sz w:val="22"/>
          <w:szCs w:val="22"/>
        </w:rPr>
      </w:pPr>
      <w:r w:rsidRPr="07225738">
        <w:rPr>
          <w:rFonts w:ascii="Calibri" w:hAnsi="Calibri"/>
          <w:sz w:val="22"/>
          <w:szCs w:val="22"/>
        </w:rPr>
        <w:t xml:space="preserve">The estimated burden hours for each requirement for individuals in this collection </w:t>
      </w:r>
      <w:r w:rsidRPr="07225738">
        <w:rPr>
          <w:rFonts w:ascii="Calibri" w:hAnsi="Calibri"/>
          <w:sz w:val="22"/>
          <w:szCs w:val="22"/>
        </w:rPr>
        <w:t>is</w:t>
      </w:r>
      <w:r w:rsidRPr="07225738">
        <w:rPr>
          <w:rFonts w:ascii="Calibri" w:hAnsi="Calibri"/>
          <w:sz w:val="22"/>
          <w:szCs w:val="22"/>
        </w:rPr>
        <w:t xml:space="preserve"> 0.5 hours (30 minutes). Individuals complete and sign the forms.</w:t>
      </w:r>
    </w:p>
    <w:p w:rsidR="002E2072" w:rsidRPr="002E2072" w:rsidP="001D0C8D" w14:paraId="1C9C7F15" w14:textId="77777777">
      <w:pPr>
        <w:spacing w:after="120" w:line="276" w:lineRule="auto"/>
        <w:rPr>
          <w:rFonts w:ascii="Calibri" w:hAnsi="Calibri" w:cs="Calibri"/>
          <w:sz w:val="22"/>
          <w:szCs w:val="22"/>
        </w:rPr>
      </w:pPr>
      <w:r w:rsidRPr="002E2072">
        <w:rPr>
          <w:rFonts w:ascii="Calibri" w:hAnsi="Calibri"/>
          <w:sz w:val="22"/>
          <w:szCs w:val="22"/>
        </w:rPr>
        <w:t>The Department estimates the total annual number of individual respondents for this information collection to be 7,301,837 calculated as follows:</w:t>
      </w:r>
    </w:p>
    <w:tbl>
      <w:tblPr>
        <w:tblStyle w:val="TableGrid"/>
        <w:tblW w:w="0" w:type="auto"/>
        <w:tblInd w:w="715" w:type="dxa"/>
        <w:tblLook w:val="04A0"/>
      </w:tblPr>
      <w:tblGrid>
        <w:gridCol w:w="5072"/>
        <w:gridCol w:w="3563"/>
      </w:tblGrid>
      <w:tr w14:paraId="0E5E4FEA" w14:textId="77777777">
        <w:tblPrEx>
          <w:tblW w:w="0" w:type="auto"/>
          <w:tblInd w:w="715" w:type="dxa"/>
          <w:tblLook w:val="04A0"/>
        </w:tblPrEx>
        <w:tc>
          <w:tcPr>
            <w:tcW w:w="5072" w:type="dxa"/>
          </w:tcPr>
          <w:p w:rsidR="002E2072" w:rsidRPr="002E2072" w:rsidP="002E2072" w14:paraId="3AC41176"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Subsidized/Unsubsidized MPN Respondents</w:t>
            </w:r>
          </w:p>
        </w:tc>
        <w:tc>
          <w:tcPr>
            <w:tcW w:w="3563" w:type="dxa"/>
          </w:tcPr>
          <w:p w:rsidR="002E2072" w:rsidRPr="002E2072" w:rsidP="002E2072" w14:paraId="0EDEA4A0"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5,026,129</w:t>
            </w:r>
          </w:p>
        </w:tc>
      </w:tr>
      <w:tr w14:paraId="29ED82FB" w14:textId="77777777">
        <w:tblPrEx>
          <w:tblW w:w="0" w:type="auto"/>
          <w:tblInd w:w="715" w:type="dxa"/>
          <w:tblLook w:val="04A0"/>
        </w:tblPrEx>
        <w:tc>
          <w:tcPr>
            <w:tcW w:w="5072" w:type="dxa"/>
          </w:tcPr>
          <w:p w:rsidR="002E2072" w:rsidRPr="002E2072" w:rsidP="002E2072" w14:paraId="532C89EA"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PLUS</w:t>
            </w:r>
            <w:r w:rsidRPr="002E2072">
              <w:rPr>
                <w:rFonts w:ascii="Calibri" w:eastAsia="Aptos" w:hAnsi="Calibri"/>
                <w:kern w:val="2"/>
                <w:sz w:val="22"/>
                <w:szCs w:val="22"/>
                <w14:ligatures w14:val="standardContextual"/>
              </w:rPr>
              <w:t xml:space="preserve"> MPN and PLUS Endorser Addendum Respondents</w:t>
            </w:r>
          </w:p>
        </w:tc>
        <w:tc>
          <w:tcPr>
            <w:tcW w:w="3563" w:type="dxa"/>
          </w:tcPr>
          <w:p w:rsidR="002E2072" w:rsidRPr="002E2072" w:rsidP="002E2072" w14:paraId="6EB3C1E7" w14:textId="77777777">
            <w:pPr>
              <w:tabs>
                <w:tab w:val="left" w:pos="-720"/>
              </w:tabs>
              <w:spacing w:after="160" w:line="276" w:lineRule="auto"/>
              <w:ind w:left="720"/>
              <w:jc w:val="right"/>
              <w:rPr>
                <w:rFonts w:ascii="Calibri" w:eastAsia="Aptos" w:hAnsi="Calibri"/>
                <w:kern w:val="2"/>
                <w:sz w:val="22"/>
                <w:szCs w:val="22"/>
                <w14:ligatures w14:val="standardContextual"/>
              </w:rPr>
            </w:pPr>
          </w:p>
          <w:p w:rsidR="002E2072" w:rsidRPr="002E2072" w:rsidP="002E2072" w14:paraId="0122AA57"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1,379,766</w:t>
            </w:r>
          </w:p>
        </w:tc>
      </w:tr>
      <w:tr w14:paraId="465EBF36" w14:textId="77777777">
        <w:tblPrEx>
          <w:tblW w:w="0" w:type="auto"/>
          <w:tblInd w:w="715" w:type="dxa"/>
          <w:tblLook w:val="04A0"/>
        </w:tblPrEx>
        <w:tc>
          <w:tcPr>
            <w:tcW w:w="5072" w:type="dxa"/>
          </w:tcPr>
          <w:p w:rsidR="002E2072" w:rsidRPr="002E2072" w:rsidP="002E2072" w14:paraId="17C69394"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Consolidation Application/Promissory Note and related forms respondents</w:t>
            </w:r>
          </w:p>
        </w:tc>
        <w:tc>
          <w:tcPr>
            <w:tcW w:w="3563" w:type="dxa"/>
          </w:tcPr>
          <w:p w:rsidR="002E2072" w:rsidRPr="002E2072" w:rsidP="002E2072" w14:paraId="3818632E" w14:textId="77777777">
            <w:pPr>
              <w:tabs>
                <w:tab w:val="left" w:pos="-720"/>
              </w:tabs>
              <w:spacing w:after="160" w:line="276" w:lineRule="auto"/>
              <w:ind w:left="720"/>
              <w:jc w:val="right"/>
              <w:rPr>
                <w:rFonts w:ascii="Calibri" w:eastAsia="Aptos" w:hAnsi="Calibri"/>
                <w:kern w:val="2"/>
                <w:sz w:val="22"/>
                <w:szCs w:val="22"/>
                <w14:ligatures w14:val="standardContextual"/>
              </w:rPr>
            </w:pPr>
          </w:p>
          <w:p w:rsidR="002E2072" w:rsidRPr="002E2072" w:rsidP="002E2072" w14:paraId="1AA1A5B5"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895,942</w:t>
            </w:r>
          </w:p>
        </w:tc>
      </w:tr>
      <w:tr w14:paraId="62FD2B2A" w14:textId="77777777">
        <w:tblPrEx>
          <w:tblW w:w="0" w:type="auto"/>
          <w:tblInd w:w="715" w:type="dxa"/>
          <w:tblLook w:val="04A0"/>
        </w:tblPrEx>
        <w:tc>
          <w:tcPr>
            <w:tcW w:w="5072" w:type="dxa"/>
          </w:tcPr>
          <w:p w:rsidR="002E2072" w:rsidRPr="002E2072" w:rsidP="002E2072" w14:paraId="3BDA45C5" w14:textId="77777777">
            <w:pPr>
              <w:tabs>
                <w:tab w:val="left" w:pos="-720"/>
              </w:tabs>
              <w:spacing w:after="160" w:line="276" w:lineRule="auto"/>
              <w:ind w:left="720"/>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Total Individual Respondents</w:t>
            </w:r>
          </w:p>
        </w:tc>
        <w:tc>
          <w:tcPr>
            <w:tcW w:w="3563" w:type="dxa"/>
          </w:tcPr>
          <w:p w:rsidR="002E2072" w:rsidRPr="002E2072" w:rsidP="002E2072" w14:paraId="3FB37786" w14:textId="77777777">
            <w:pPr>
              <w:tabs>
                <w:tab w:val="left" w:pos="-720"/>
              </w:tabs>
              <w:spacing w:after="160" w:line="276" w:lineRule="auto"/>
              <w:ind w:left="720"/>
              <w:jc w:val="right"/>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7,301,837</w:t>
            </w:r>
          </w:p>
        </w:tc>
      </w:tr>
    </w:tbl>
    <w:p w:rsidR="002E2072" w:rsidRPr="002E2072" w:rsidP="001D0C8D" w14:paraId="256DE225" w14:textId="77777777">
      <w:pPr>
        <w:spacing w:before="120" w:after="120" w:line="276" w:lineRule="auto"/>
        <w:rPr>
          <w:rFonts w:ascii="Calibri" w:hAnsi="Calibri"/>
          <w:sz w:val="22"/>
          <w:szCs w:val="22"/>
        </w:rPr>
      </w:pPr>
      <w:r w:rsidRPr="002E2072">
        <w:rPr>
          <w:rFonts w:ascii="Calibri" w:hAnsi="Calibri"/>
          <w:sz w:val="22"/>
          <w:szCs w:val="22"/>
        </w:rPr>
        <w:t>The Department estimates the total annual number of individual responses for this information collection to be 9,860,371 calculated as follows:</w:t>
      </w:r>
    </w:p>
    <w:tbl>
      <w:tblPr>
        <w:tblStyle w:val="TableGrid"/>
        <w:tblW w:w="0" w:type="auto"/>
        <w:tblInd w:w="715" w:type="dxa"/>
        <w:tblLook w:val="04A0"/>
      </w:tblPr>
      <w:tblGrid>
        <w:gridCol w:w="5105"/>
        <w:gridCol w:w="3530"/>
      </w:tblGrid>
      <w:tr w14:paraId="49AA3966" w14:textId="77777777">
        <w:tblPrEx>
          <w:tblW w:w="0" w:type="auto"/>
          <w:tblInd w:w="715" w:type="dxa"/>
          <w:tblLook w:val="04A0"/>
        </w:tblPrEx>
        <w:tc>
          <w:tcPr>
            <w:tcW w:w="5105" w:type="dxa"/>
          </w:tcPr>
          <w:p w:rsidR="002E2072" w:rsidRPr="002E2072" w:rsidP="002E2072" w14:paraId="038970E6" w14:textId="77777777">
            <w:pPr>
              <w:tabs>
                <w:tab w:val="left" w:pos="-720"/>
              </w:tabs>
              <w:spacing w:after="160" w:line="276" w:lineRule="auto"/>
              <w:ind w:left="720"/>
              <w:rPr>
                <w:rFonts w:ascii="Calibri" w:eastAsia="Aptos" w:hAnsi="Calibri"/>
                <w:kern w:val="2"/>
                <w:sz w:val="22"/>
                <w:szCs w:val="22"/>
                <w14:ligatures w14:val="standardContextual"/>
              </w:rPr>
            </w:pPr>
            <w:bookmarkStart w:id="2" w:name="_Hlk225497420"/>
            <w:r w:rsidRPr="002E2072">
              <w:rPr>
                <w:rFonts w:ascii="Calibri" w:eastAsia="Aptos" w:hAnsi="Calibri"/>
                <w:kern w:val="2"/>
                <w:sz w:val="22"/>
                <w:szCs w:val="22"/>
                <w14:ligatures w14:val="standardContextual"/>
              </w:rPr>
              <w:t>Individual Subsidized/Unsubsidized MPN Responses</w:t>
            </w:r>
          </w:p>
        </w:tc>
        <w:tc>
          <w:tcPr>
            <w:tcW w:w="3530" w:type="dxa"/>
          </w:tcPr>
          <w:p w:rsidR="002E2072" w:rsidRPr="002E2072" w:rsidP="002E2072" w14:paraId="4ABCD7A9"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5,026,129</w:t>
            </w:r>
          </w:p>
        </w:tc>
      </w:tr>
      <w:tr w14:paraId="6C82D89E" w14:textId="77777777">
        <w:tblPrEx>
          <w:tblW w:w="0" w:type="auto"/>
          <w:tblInd w:w="715" w:type="dxa"/>
          <w:tblLook w:val="04A0"/>
        </w:tblPrEx>
        <w:tc>
          <w:tcPr>
            <w:tcW w:w="5105" w:type="dxa"/>
          </w:tcPr>
          <w:p w:rsidR="002E2072" w:rsidRPr="002E2072" w:rsidP="002E2072" w14:paraId="2268D114"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Individual PLUS MPN and PLUS Endorser Addendum Responses</w:t>
            </w:r>
          </w:p>
        </w:tc>
        <w:tc>
          <w:tcPr>
            <w:tcW w:w="3530" w:type="dxa"/>
          </w:tcPr>
          <w:p w:rsidR="002E2072" w:rsidRPr="002E2072" w:rsidP="002E2072" w14:paraId="2A29A9A2" w14:textId="77777777">
            <w:pPr>
              <w:tabs>
                <w:tab w:val="left" w:pos="-720"/>
              </w:tabs>
              <w:spacing w:after="160" w:line="276" w:lineRule="auto"/>
              <w:ind w:left="720"/>
              <w:jc w:val="right"/>
              <w:rPr>
                <w:rFonts w:ascii="Calibri" w:eastAsia="Aptos" w:hAnsi="Calibri"/>
                <w:kern w:val="2"/>
                <w:sz w:val="22"/>
                <w:szCs w:val="22"/>
                <w14:ligatures w14:val="standardContextual"/>
              </w:rPr>
            </w:pPr>
          </w:p>
          <w:p w:rsidR="002E2072" w:rsidRPr="002E2072" w:rsidP="002E2072" w14:paraId="1B5D7CA0"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1,379,766</w:t>
            </w:r>
          </w:p>
        </w:tc>
      </w:tr>
      <w:tr w14:paraId="7819F60E" w14:textId="77777777">
        <w:tblPrEx>
          <w:tblW w:w="0" w:type="auto"/>
          <w:tblInd w:w="715" w:type="dxa"/>
          <w:tblLook w:val="04A0"/>
        </w:tblPrEx>
        <w:tc>
          <w:tcPr>
            <w:tcW w:w="5105" w:type="dxa"/>
          </w:tcPr>
          <w:p w:rsidR="002E2072" w:rsidRPr="002E2072" w:rsidP="002E2072" w14:paraId="72BD2513"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 xml:space="preserve">Individual Consolidation Application/Promissory Note and </w:t>
            </w:r>
            <w:r w:rsidRPr="002E2072">
              <w:rPr>
                <w:rFonts w:ascii="Calibri" w:eastAsia="Aptos" w:hAnsi="Calibri"/>
                <w:kern w:val="2"/>
                <w:sz w:val="22"/>
                <w:szCs w:val="22"/>
                <w14:ligatures w14:val="standardContextual"/>
              </w:rPr>
              <w:t>related</w:t>
            </w:r>
            <w:r w:rsidRPr="002E2072">
              <w:rPr>
                <w:rFonts w:ascii="Calibri" w:eastAsia="Aptos" w:hAnsi="Calibri"/>
                <w:kern w:val="2"/>
                <w:sz w:val="22"/>
                <w:szCs w:val="22"/>
                <w14:ligatures w14:val="standardContextual"/>
              </w:rPr>
              <w:t xml:space="preserve"> forms Responses</w:t>
            </w:r>
          </w:p>
        </w:tc>
        <w:tc>
          <w:tcPr>
            <w:tcW w:w="3530" w:type="dxa"/>
          </w:tcPr>
          <w:p w:rsidR="002E2072" w:rsidRPr="002E2072" w:rsidP="002E2072" w14:paraId="5D443785" w14:textId="77777777">
            <w:pPr>
              <w:tabs>
                <w:tab w:val="left" w:pos="-720"/>
              </w:tabs>
              <w:spacing w:after="160" w:line="276" w:lineRule="auto"/>
              <w:ind w:left="720"/>
              <w:jc w:val="right"/>
              <w:rPr>
                <w:rFonts w:ascii="Calibri" w:eastAsia="Aptos" w:hAnsi="Calibri"/>
                <w:kern w:val="2"/>
                <w:sz w:val="22"/>
                <w:szCs w:val="22"/>
                <w14:ligatures w14:val="standardContextual"/>
              </w:rPr>
            </w:pPr>
          </w:p>
          <w:p w:rsidR="002E2072" w:rsidRPr="002E2072" w:rsidP="002E2072" w14:paraId="1D12DFA1"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3,454,476</w:t>
            </w:r>
          </w:p>
        </w:tc>
      </w:tr>
      <w:tr w14:paraId="78ED4A71" w14:textId="77777777">
        <w:tblPrEx>
          <w:tblW w:w="0" w:type="auto"/>
          <w:tblInd w:w="715" w:type="dxa"/>
          <w:tblLook w:val="04A0"/>
        </w:tblPrEx>
        <w:tc>
          <w:tcPr>
            <w:tcW w:w="5105" w:type="dxa"/>
          </w:tcPr>
          <w:p w:rsidR="002E2072" w:rsidRPr="002E2072" w:rsidP="002E2072" w14:paraId="17017DBC" w14:textId="77777777">
            <w:pPr>
              <w:tabs>
                <w:tab w:val="left" w:pos="-720"/>
              </w:tabs>
              <w:spacing w:after="160" w:line="276" w:lineRule="auto"/>
              <w:ind w:left="720"/>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Total responses</w:t>
            </w:r>
          </w:p>
        </w:tc>
        <w:tc>
          <w:tcPr>
            <w:tcW w:w="3530" w:type="dxa"/>
          </w:tcPr>
          <w:p w:rsidR="002E2072" w:rsidRPr="002E2072" w:rsidP="002E2072" w14:paraId="2F415882" w14:textId="77777777">
            <w:pPr>
              <w:tabs>
                <w:tab w:val="left" w:pos="-720"/>
              </w:tabs>
              <w:spacing w:after="160" w:line="276" w:lineRule="auto"/>
              <w:ind w:left="720"/>
              <w:jc w:val="right"/>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9,860,371</w:t>
            </w:r>
          </w:p>
        </w:tc>
      </w:tr>
      <w:bookmarkEnd w:id="2"/>
    </w:tbl>
    <w:p w:rsidR="002E2072" w:rsidRPr="002E2072" w:rsidP="002E2072" w14:paraId="424DBB60" w14:textId="77777777">
      <w:pPr>
        <w:tabs>
          <w:tab w:val="left" w:pos="-720"/>
          <w:tab w:val="left" w:pos="0"/>
        </w:tabs>
        <w:suppressAutoHyphens/>
        <w:spacing w:before="120" w:after="120" w:line="276" w:lineRule="auto"/>
        <w:rPr>
          <w:rFonts w:ascii="Calibri" w:hAnsi="Calibri"/>
          <w:sz w:val="22"/>
          <w:szCs w:val="22"/>
        </w:rPr>
      </w:pPr>
    </w:p>
    <w:p w:rsidR="002E2072" w:rsidRPr="002E2072" w:rsidP="002E2072" w14:paraId="3B1A2220" w14:textId="77777777">
      <w:pPr>
        <w:tabs>
          <w:tab w:val="left" w:pos="-720"/>
          <w:tab w:val="left" w:pos="0"/>
        </w:tabs>
        <w:suppressAutoHyphens/>
        <w:spacing w:before="120" w:after="120" w:line="276" w:lineRule="auto"/>
        <w:rPr>
          <w:rFonts w:ascii="Calibri" w:hAnsi="Calibri"/>
          <w:sz w:val="22"/>
          <w:szCs w:val="22"/>
        </w:rPr>
      </w:pPr>
      <w:r w:rsidRPr="002E2072">
        <w:rPr>
          <w:rFonts w:ascii="Calibri" w:hAnsi="Calibri"/>
          <w:sz w:val="22"/>
          <w:szCs w:val="22"/>
        </w:rPr>
        <w:t xml:space="preserve">The estimated total burden hours for individuals </w:t>
      </w:r>
      <w:r w:rsidRPr="002E2072">
        <w:rPr>
          <w:rFonts w:ascii="Calibri" w:hAnsi="Calibri"/>
          <w:sz w:val="22"/>
          <w:szCs w:val="22"/>
        </w:rPr>
        <w:t>is</w:t>
      </w:r>
      <w:r w:rsidRPr="002E2072">
        <w:rPr>
          <w:rFonts w:ascii="Calibri" w:hAnsi="Calibri"/>
          <w:sz w:val="22"/>
          <w:szCs w:val="22"/>
        </w:rPr>
        <w:t xml:space="preserve"> 4,930,185 hours calculated as follows:</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2240"/>
        <w:gridCol w:w="2040"/>
        <w:gridCol w:w="2700"/>
        <w:gridCol w:w="1640"/>
      </w:tblGrid>
      <w:tr w14:paraId="37E5398D" w14:textId="77777777" w:rsidTr="007C2AEB">
        <w:tblPrEx>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70" w:type="dxa"/>
            <w:noWrap/>
            <w:vAlign w:val="bottom"/>
            <w:hideMark/>
          </w:tcPr>
          <w:p w:rsidR="002E2072" w:rsidRPr="002E2072" w:rsidP="002E2072" w14:paraId="749BEDB4" w14:textId="77777777">
            <w:pPr>
              <w:rPr>
                <w:rFonts w:ascii="Aptos Narrow" w:hAnsi="Aptos Narrow"/>
                <w:color w:val="000000"/>
                <w:sz w:val="22"/>
                <w:szCs w:val="22"/>
              </w:rPr>
            </w:pPr>
            <w:r w:rsidRPr="002E2072">
              <w:rPr>
                <w:rFonts w:ascii="Aptos Narrow" w:hAnsi="Aptos Narrow"/>
                <w:color w:val="000000"/>
                <w:sz w:val="22"/>
                <w:szCs w:val="22"/>
              </w:rPr>
              <w:t>Entity</w:t>
            </w:r>
          </w:p>
        </w:tc>
        <w:tc>
          <w:tcPr>
            <w:tcW w:w="2240" w:type="dxa"/>
            <w:noWrap/>
            <w:vAlign w:val="bottom"/>
            <w:hideMark/>
          </w:tcPr>
          <w:p w:rsidR="002E2072" w:rsidRPr="002E2072" w:rsidP="002E2072" w14:paraId="1CFB088E" w14:textId="77777777">
            <w:pPr>
              <w:rPr>
                <w:rFonts w:ascii="Aptos Narrow" w:hAnsi="Aptos Narrow"/>
                <w:color w:val="000000"/>
                <w:sz w:val="22"/>
                <w:szCs w:val="22"/>
              </w:rPr>
            </w:pPr>
            <w:r w:rsidRPr="002E2072">
              <w:rPr>
                <w:rFonts w:ascii="Aptos Narrow" w:hAnsi="Aptos Narrow"/>
                <w:color w:val="000000"/>
                <w:sz w:val="22"/>
                <w:szCs w:val="22"/>
              </w:rPr>
              <w:t>Number of Respondents</w:t>
            </w:r>
          </w:p>
        </w:tc>
        <w:tc>
          <w:tcPr>
            <w:tcW w:w="2040" w:type="dxa"/>
            <w:noWrap/>
            <w:vAlign w:val="bottom"/>
            <w:hideMark/>
          </w:tcPr>
          <w:p w:rsidR="002E2072" w:rsidRPr="002E2072" w:rsidP="002E2072" w14:paraId="6583F44B" w14:textId="77777777">
            <w:pPr>
              <w:rPr>
                <w:rFonts w:ascii="Aptos Narrow" w:hAnsi="Aptos Narrow"/>
                <w:color w:val="000000"/>
                <w:sz w:val="22"/>
                <w:szCs w:val="22"/>
              </w:rPr>
            </w:pPr>
            <w:r w:rsidRPr="002E2072">
              <w:rPr>
                <w:rFonts w:ascii="Aptos Narrow" w:hAnsi="Aptos Narrow"/>
                <w:color w:val="000000"/>
                <w:sz w:val="22"/>
                <w:szCs w:val="22"/>
              </w:rPr>
              <w:t>Number of Responses</w:t>
            </w:r>
          </w:p>
        </w:tc>
        <w:tc>
          <w:tcPr>
            <w:tcW w:w="2700" w:type="dxa"/>
            <w:noWrap/>
            <w:vAlign w:val="bottom"/>
            <w:hideMark/>
          </w:tcPr>
          <w:p w:rsidR="002E2072" w:rsidRPr="002E2072" w:rsidP="002E2072" w14:paraId="123FD0BE" w14:textId="77777777">
            <w:pPr>
              <w:rPr>
                <w:rFonts w:ascii="Aptos Narrow" w:hAnsi="Aptos Narrow"/>
                <w:color w:val="000000"/>
                <w:sz w:val="22"/>
                <w:szCs w:val="22"/>
              </w:rPr>
            </w:pPr>
            <w:r w:rsidRPr="002E2072">
              <w:rPr>
                <w:rFonts w:ascii="Aptos Narrow" w:hAnsi="Aptos Narrow"/>
                <w:color w:val="000000"/>
                <w:sz w:val="22"/>
                <w:szCs w:val="22"/>
              </w:rPr>
              <w:t>Average Burden per response</w:t>
            </w:r>
          </w:p>
        </w:tc>
        <w:tc>
          <w:tcPr>
            <w:tcW w:w="1640" w:type="dxa"/>
            <w:noWrap/>
            <w:vAlign w:val="bottom"/>
            <w:hideMark/>
          </w:tcPr>
          <w:p w:rsidR="002E2072" w:rsidRPr="002E2072" w:rsidP="002E2072" w14:paraId="3537C74A" w14:textId="77777777">
            <w:pPr>
              <w:rPr>
                <w:rFonts w:ascii="Aptos Narrow" w:hAnsi="Aptos Narrow"/>
                <w:color w:val="000000"/>
                <w:sz w:val="22"/>
                <w:szCs w:val="22"/>
              </w:rPr>
            </w:pPr>
            <w:r w:rsidRPr="002E2072">
              <w:rPr>
                <w:rFonts w:ascii="Aptos Narrow" w:hAnsi="Aptos Narrow"/>
                <w:color w:val="000000"/>
                <w:sz w:val="22"/>
                <w:szCs w:val="22"/>
              </w:rPr>
              <w:t>Total Burden hours</w:t>
            </w:r>
          </w:p>
        </w:tc>
      </w:tr>
      <w:tr w14:paraId="637F68D5" w14:textId="77777777" w:rsidTr="007C2AEB">
        <w:tblPrEx>
          <w:tblW w:w="9690" w:type="dxa"/>
          <w:tblLook w:val="04A0"/>
        </w:tblPrEx>
        <w:trPr>
          <w:trHeight w:val="290"/>
        </w:trPr>
        <w:tc>
          <w:tcPr>
            <w:tcW w:w="1070" w:type="dxa"/>
            <w:noWrap/>
            <w:vAlign w:val="bottom"/>
            <w:hideMark/>
          </w:tcPr>
          <w:p w:rsidR="002E2072" w:rsidRPr="002E2072" w:rsidP="002E2072" w14:paraId="6FDD9DA0" w14:textId="77777777">
            <w:pPr>
              <w:rPr>
                <w:rFonts w:ascii="Aptos Narrow" w:hAnsi="Aptos Narrow"/>
                <w:color w:val="000000"/>
                <w:sz w:val="22"/>
                <w:szCs w:val="22"/>
              </w:rPr>
            </w:pPr>
            <w:r w:rsidRPr="002E2072">
              <w:rPr>
                <w:rFonts w:ascii="Aptos Narrow" w:hAnsi="Aptos Narrow"/>
                <w:color w:val="000000"/>
                <w:sz w:val="22"/>
                <w:szCs w:val="22"/>
              </w:rPr>
              <w:t>Individual</w:t>
            </w:r>
          </w:p>
        </w:tc>
        <w:tc>
          <w:tcPr>
            <w:tcW w:w="2240" w:type="dxa"/>
            <w:noWrap/>
            <w:vAlign w:val="bottom"/>
            <w:hideMark/>
          </w:tcPr>
          <w:p w:rsidR="002E2072" w:rsidRPr="002E2072" w:rsidP="002E2072" w14:paraId="23F5074D" w14:textId="77777777">
            <w:pPr>
              <w:jc w:val="right"/>
              <w:rPr>
                <w:rFonts w:ascii="Aptos Narrow" w:hAnsi="Aptos Narrow"/>
                <w:color w:val="000000"/>
                <w:sz w:val="22"/>
                <w:szCs w:val="22"/>
              </w:rPr>
            </w:pPr>
            <w:r w:rsidRPr="002E2072">
              <w:rPr>
                <w:rFonts w:ascii="Aptos Narrow" w:hAnsi="Aptos Narrow"/>
                <w:color w:val="000000"/>
                <w:sz w:val="22"/>
                <w:szCs w:val="22"/>
              </w:rPr>
              <w:t>7,301,837</w:t>
            </w:r>
          </w:p>
        </w:tc>
        <w:tc>
          <w:tcPr>
            <w:tcW w:w="2040" w:type="dxa"/>
            <w:noWrap/>
            <w:vAlign w:val="bottom"/>
            <w:hideMark/>
          </w:tcPr>
          <w:p w:rsidR="002E2072" w:rsidRPr="002E2072" w:rsidP="002E2072" w14:paraId="0A25D856" w14:textId="77777777">
            <w:pPr>
              <w:jc w:val="right"/>
              <w:rPr>
                <w:rFonts w:ascii="Aptos Narrow" w:hAnsi="Aptos Narrow"/>
                <w:color w:val="000000"/>
                <w:sz w:val="22"/>
                <w:szCs w:val="22"/>
              </w:rPr>
            </w:pPr>
            <w:r w:rsidRPr="002E2072">
              <w:rPr>
                <w:rFonts w:ascii="Aptos Narrow" w:hAnsi="Aptos Narrow"/>
                <w:color w:val="000000"/>
                <w:sz w:val="22"/>
                <w:szCs w:val="22"/>
              </w:rPr>
              <w:t>9,860,371</w:t>
            </w:r>
          </w:p>
        </w:tc>
        <w:tc>
          <w:tcPr>
            <w:tcW w:w="2700" w:type="dxa"/>
            <w:noWrap/>
            <w:vAlign w:val="bottom"/>
            <w:hideMark/>
          </w:tcPr>
          <w:p w:rsidR="002E2072" w:rsidRPr="002E2072" w:rsidP="002E2072" w14:paraId="68E91A08" w14:textId="77777777">
            <w:pPr>
              <w:jc w:val="right"/>
              <w:rPr>
                <w:rFonts w:ascii="Aptos Narrow" w:hAnsi="Aptos Narrow"/>
                <w:color w:val="000000"/>
                <w:sz w:val="22"/>
                <w:szCs w:val="22"/>
              </w:rPr>
            </w:pPr>
            <w:r w:rsidRPr="002E2072">
              <w:rPr>
                <w:rFonts w:ascii="Aptos Narrow" w:hAnsi="Aptos Narrow"/>
                <w:color w:val="000000"/>
                <w:sz w:val="22"/>
                <w:szCs w:val="22"/>
              </w:rPr>
              <w:t>0.5</w:t>
            </w:r>
          </w:p>
        </w:tc>
        <w:tc>
          <w:tcPr>
            <w:tcW w:w="1640" w:type="dxa"/>
            <w:noWrap/>
            <w:vAlign w:val="bottom"/>
            <w:hideMark/>
          </w:tcPr>
          <w:p w:rsidR="002E2072" w:rsidRPr="002E2072" w:rsidP="002E2072" w14:paraId="519886FD" w14:textId="77777777">
            <w:pPr>
              <w:jc w:val="right"/>
              <w:rPr>
                <w:rFonts w:ascii="Aptos Narrow" w:hAnsi="Aptos Narrow"/>
                <w:color w:val="000000"/>
                <w:sz w:val="22"/>
                <w:szCs w:val="22"/>
              </w:rPr>
            </w:pPr>
            <w:r w:rsidRPr="002E2072">
              <w:rPr>
                <w:rFonts w:ascii="Aptos Narrow" w:hAnsi="Aptos Narrow"/>
                <w:color w:val="000000"/>
                <w:sz w:val="22"/>
                <w:szCs w:val="22"/>
              </w:rPr>
              <w:t>4,930,185</w:t>
            </w:r>
          </w:p>
        </w:tc>
      </w:tr>
      <w:tr w14:paraId="51CBD19D" w14:textId="77777777" w:rsidTr="007C2AEB">
        <w:tblPrEx>
          <w:tblW w:w="9690" w:type="dxa"/>
          <w:tblLook w:val="04A0"/>
        </w:tblPrEx>
        <w:trPr>
          <w:trHeight w:val="290"/>
        </w:trPr>
        <w:tc>
          <w:tcPr>
            <w:tcW w:w="1070" w:type="dxa"/>
            <w:noWrap/>
            <w:vAlign w:val="bottom"/>
            <w:hideMark/>
          </w:tcPr>
          <w:p w:rsidR="002E2072" w:rsidRPr="002E2072" w:rsidP="002E2072" w14:paraId="29E593D0" w14:textId="77777777">
            <w:pPr>
              <w:jc w:val="right"/>
              <w:rPr>
                <w:rFonts w:ascii="Aptos Narrow" w:hAnsi="Aptos Narrow"/>
                <w:b/>
                <w:bCs/>
                <w:color w:val="000000"/>
                <w:sz w:val="22"/>
                <w:szCs w:val="22"/>
              </w:rPr>
            </w:pPr>
            <w:r w:rsidRPr="002E2072">
              <w:rPr>
                <w:rFonts w:ascii="Aptos Narrow" w:hAnsi="Aptos Narrow"/>
                <w:b/>
                <w:bCs/>
                <w:color w:val="000000"/>
                <w:sz w:val="22"/>
                <w:szCs w:val="22"/>
              </w:rPr>
              <w:t xml:space="preserve">Total </w:t>
            </w:r>
          </w:p>
        </w:tc>
        <w:tc>
          <w:tcPr>
            <w:tcW w:w="2240" w:type="dxa"/>
            <w:noWrap/>
            <w:vAlign w:val="bottom"/>
            <w:hideMark/>
          </w:tcPr>
          <w:p w:rsidR="002E2072" w:rsidRPr="002E2072" w:rsidP="002E2072" w14:paraId="676463A2" w14:textId="77777777">
            <w:pPr>
              <w:jc w:val="right"/>
              <w:rPr>
                <w:rFonts w:ascii="Aptos Narrow" w:hAnsi="Aptos Narrow"/>
                <w:b/>
                <w:bCs/>
                <w:color w:val="000000"/>
                <w:sz w:val="22"/>
                <w:szCs w:val="22"/>
              </w:rPr>
            </w:pPr>
            <w:r w:rsidRPr="002E2072">
              <w:rPr>
                <w:rFonts w:ascii="Aptos Narrow" w:hAnsi="Aptos Narrow"/>
                <w:b/>
                <w:bCs/>
                <w:color w:val="000000"/>
                <w:sz w:val="22"/>
                <w:szCs w:val="22"/>
              </w:rPr>
              <w:t>7,301,837</w:t>
            </w:r>
          </w:p>
        </w:tc>
        <w:tc>
          <w:tcPr>
            <w:tcW w:w="2040" w:type="dxa"/>
            <w:noWrap/>
            <w:vAlign w:val="bottom"/>
            <w:hideMark/>
          </w:tcPr>
          <w:p w:rsidR="002E2072" w:rsidRPr="002E2072" w:rsidP="002E2072" w14:paraId="114F2C39" w14:textId="77777777">
            <w:pPr>
              <w:jc w:val="right"/>
              <w:rPr>
                <w:rFonts w:ascii="Aptos Narrow" w:hAnsi="Aptos Narrow"/>
                <w:b/>
                <w:bCs/>
                <w:color w:val="000000"/>
                <w:sz w:val="22"/>
                <w:szCs w:val="22"/>
              </w:rPr>
            </w:pPr>
            <w:r w:rsidRPr="002E2072">
              <w:rPr>
                <w:rFonts w:ascii="Aptos Narrow" w:hAnsi="Aptos Narrow"/>
                <w:b/>
                <w:bCs/>
                <w:color w:val="000000"/>
                <w:sz w:val="22"/>
                <w:szCs w:val="22"/>
              </w:rPr>
              <w:t>9,860,371</w:t>
            </w:r>
          </w:p>
        </w:tc>
        <w:tc>
          <w:tcPr>
            <w:tcW w:w="2700" w:type="dxa"/>
            <w:noWrap/>
            <w:vAlign w:val="bottom"/>
            <w:hideMark/>
          </w:tcPr>
          <w:p w:rsidR="002E2072" w:rsidRPr="002E2072" w:rsidP="002E2072" w14:paraId="25604F8A" w14:textId="77777777">
            <w:pPr>
              <w:jc w:val="right"/>
              <w:rPr>
                <w:rFonts w:ascii="Aptos Narrow" w:hAnsi="Aptos Narrow"/>
                <w:b/>
                <w:bCs/>
                <w:color w:val="000000"/>
                <w:sz w:val="22"/>
                <w:szCs w:val="22"/>
              </w:rPr>
            </w:pPr>
          </w:p>
        </w:tc>
        <w:tc>
          <w:tcPr>
            <w:tcW w:w="1640" w:type="dxa"/>
            <w:noWrap/>
            <w:vAlign w:val="bottom"/>
            <w:hideMark/>
          </w:tcPr>
          <w:p w:rsidR="002E2072" w:rsidRPr="002E2072" w:rsidP="002E2072" w14:paraId="7AD829E3" w14:textId="77777777">
            <w:pPr>
              <w:jc w:val="right"/>
              <w:rPr>
                <w:rFonts w:ascii="Aptos Narrow" w:hAnsi="Aptos Narrow"/>
                <w:b/>
                <w:bCs/>
                <w:color w:val="000000"/>
                <w:sz w:val="22"/>
                <w:szCs w:val="22"/>
              </w:rPr>
            </w:pPr>
            <w:r w:rsidRPr="002E2072">
              <w:rPr>
                <w:rFonts w:ascii="Aptos Narrow" w:hAnsi="Aptos Narrow"/>
                <w:b/>
                <w:bCs/>
                <w:color w:val="000000"/>
                <w:sz w:val="22"/>
                <w:szCs w:val="22"/>
              </w:rPr>
              <w:t>4,930,185</w:t>
            </w:r>
          </w:p>
        </w:tc>
      </w:tr>
    </w:tbl>
    <w:p w:rsidR="002E2072" w:rsidRPr="002E2072" w:rsidP="002E2072" w14:paraId="13356076" w14:textId="77777777">
      <w:pPr>
        <w:tabs>
          <w:tab w:val="left" w:pos="-720"/>
          <w:tab w:val="left" w:pos="0"/>
        </w:tabs>
        <w:suppressAutoHyphens/>
        <w:spacing w:before="120" w:after="120" w:line="276" w:lineRule="auto"/>
        <w:rPr>
          <w:rFonts w:ascii="Calibri" w:hAnsi="Calibri"/>
          <w:b/>
          <w:bCs/>
          <w:sz w:val="22"/>
          <w:szCs w:val="22"/>
        </w:rPr>
      </w:pPr>
    </w:p>
    <w:p w:rsidR="002E2072" w:rsidRPr="002E2072" w:rsidP="002E2072" w14:paraId="01C23BFA" w14:textId="77777777">
      <w:pPr>
        <w:tabs>
          <w:tab w:val="left" w:pos="-720"/>
          <w:tab w:val="left" w:pos="0"/>
        </w:tabs>
        <w:suppressAutoHyphens/>
        <w:spacing w:before="120" w:after="120" w:line="276" w:lineRule="auto"/>
        <w:rPr>
          <w:rFonts w:ascii="Calibri" w:hAnsi="Calibri"/>
          <w:sz w:val="22"/>
          <w:szCs w:val="22"/>
        </w:rPr>
      </w:pPr>
      <w:r w:rsidRPr="002E2072">
        <w:rPr>
          <w:rFonts w:ascii="Calibri" w:hAnsi="Calibri"/>
          <w:sz w:val="22"/>
          <w:szCs w:val="22"/>
        </w:rPr>
        <w:t>Institutions and loan servicers process the forms. We estimate this will take ten minutes per form, or 0.17 hours.</w:t>
      </w:r>
    </w:p>
    <w:p w:rsidR="002E2072" w:rsidRPr="002E2072" w:rsidP="002E2072" w14:paraId="1383A6A3" w14:textId="292776D0">
      <w:pPr>
        <w:tabs>
          <w:tab w:val="left" w:pos="-720"/>
          <w:tab w:val="left" w:pos="0"/>
        </w:tabs>
        <w:suppressAutoHyphens/>
        <w:spacing w:before="120" w:after="120" w:line="276" w:lineRule="auto"/>
        <w:rPr>
          <w:rFonts w:ascii="Calibri" w:hAnsi="Calibri"/>
          <w:sz w:val="22"/>
          <w:szCs w:val="22"/>
        </w:rPr>
      </w:pPr>
      <w:r w:rsidRPr="002E2072">
        <w:rPr>
          <w:rFonts w:ascii="Calibri" w:hAnsi="Calibri"/>
          <w:sz w:val="22"/>
          <w:szCs w:val="22"/>
        </w:rPr>
        <w:t>There are 1</w:t>
      </w:r>
      <w:r w:rsidR="005341BD">
        <w:rPr>
          <w:rFonts w:ascii="Calibri" w:hAnsi="Calibri"/>
          <w:sz w:val="22"/>
          <w:szCs w:val="22"/>
        </w:rPr>
        <w:t>,</w:t>
      </w:r>
      <w:r w:rsidRPr="002E2072">
        <w:rPr>
          <w:rFonts w:ascii="Calibri" w:hAnsi="Calibri"/>
          <w:sz w:val="22"/>
          <w:szCs w:val="22"/>
        </w:rPr>
        <w:t>869 public institutions, 1</w:t>
      </w:r>
      <w:r w:rsidR="00D611CA">
        <w:rPr>
          <w:rFonts w:ascii="Calibri" w:hAnsi="Calibri"/>
          <w:sz w:val="22"/>
          <w:szCs w:val="22"/>
        </w:rPr>
        <w:t>,</w:t>
      </w:r>
      <w:r w:rsidRPr="002E2072">
        <w:rPr>
          <w:rFonts w:ascii="Calibri" w:hAnsi="Calibri"/>
          <w:sz w:val="22"/>
          <w:szCs w:val="22"/>
        </w:rPr>
        <w:t>674 private, and 2,083 for-profit. Additionally, there are approximately 279 for-profit loan servicers, and there are approximately 58 private loan servicers. The Department has calculated the annual number of respondents as follows:</w:t>
      </w:r>
    </w:p>
    <w:p w:rsidR="002E2072" w:rsidRPr="002E2072" w:rsidP="002E2072" w14:paraId="3C9C7344" w14:textId="77777777">
      <w:pPr>
        <w:tabs>
          <w:tab w:val="left" w:pos="-720"/>
          <w:tab w:val="left" w:pos="0"/>
        </w:tabs>
        <w:suppressAutoHyphens/>
        <w:spacing w:before="120" w:after="120" w:line="276" w:lineRule="auto"/>
        <w:rPr>
          <w:rFonts w:ascii="Calibri" w:hAnsi="Calibri"/>
          <w:sz w:val="22"/>
          <w:szCs w:val="22"/>
        </w:rPr>
      </w:pPr>
    </w:p>
    <w:tbl>
      <w:tblPr>
        <w:tblStyle w:val="TableGrid"/>
        <w:tblW w:w="0" w:type="auto"/>
        <w:tblInd w:w="715" w:type="dxa"/>
        <w:tblLook w:val="04A0"/>
      </w:tblPr>
      <w:tblGrid>
        <w:gridCol w:w="5105"/>
        <w:gridCol w:w="3530"/>
      </w:tblGrid>
      <w:tr w14:paraId="4B38C5DC" w14:textId="77777777">
        <w:tblPrEx>
          <w:tblW w:w="0" w:type="auto"/>
          <w:tblInd w:w="715" w:type="dxa"/>
          <w:tblLook w:val="04A0"/>
        </w:tblPrEx>
        <w:tc>
          <w:tcPr>
            <w:tcW w:w="5105" w:type="dxa"/>
          </w:tcPr>
          <w:p w:rsidR="002E2072" w:rsidRPr="002E2072" w:rsidP="002E2072" w14:paraId="58FEBD16"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Public Entities</w:t>
            </w:r>
          </w:p>
        </w:tc>
        <w:tc>
          <w:tcPr>
            <w:tcW w:w="3530" w:type="dxa"/>
          </w:tcPr>
          <w:p w:rsidR="002E2072" w:rsidRPr="002E2072" w:rsidP="002E2072" w14:paraId="3FA8D679"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1,869</w:t>
            </w:r>
          </w:p>
        </w:tc>
      </w:tr>
      <w:tr w14:paraId="6592AD3A" w14:textId="77777777">
        <w:tblPrEx>
          <w:tblW w:w="0" w:type="auto"/>
          <w:tblInd w:w="715" w:type="dxa"/>
          <w:tblLook w:val="04A0"/>
        </w:tblPrEx>
        <w:tc>
          <w:tcPr>
            <w:tcW w:w="5105" w:type="dxa"/>
          </w:tcPr>
          <w:p w:rsidR="002E2072" w:rsidRPr="002E2072" w:rsidP="002E2072" w14:paraId="5C0B63F5"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Private Entities</w:t>
            </w:r>
          </w:p>
        </w:tc>
        <w:tc>
          <w:tcPr>
            <w:tcW w:w="3530" w:type="dxa"/>
          </w:tcPr>
          <w:p w:rsidR="002E2072" w:rsidRPr="002E2072" w:rsidP="002E2072" w14:paraId="3C06A271"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1,732</w:t>
            </w:r>
          </w:p>
        </w:tc>
      </w:tr>
      <w:tr w14:paraId="1A5BC60A" w14:textId="77777777">
        <w:tblPrEx>
          <w:tblW w:w="0" w:type="auto"/>
          <w:tblInd w:w="715" w:type="dxa"/>
          <w:tblLook w:val="04A0"/>
        </w:tblPrEx>
        <w:tc>
          <w:tcPr>
            <w:tcW w:w="5105" w:type="dxa"/>
          </w:tcPr>
          <w:p w:rsidR="002E2072" w:rsidRPr="002E2072" w:rsidP="002E2072" w14:paraId="470C84A7"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 xml:space="preserve">For-Profit Entities </w:t>
            </w:r>
          </w:p>
        </w:tc>
        <w:tc>
          <w:tcPr>
            <w:tcW w:w="3530" w:type="dxa"/>
          </w:tcPr>
          <w:p w:rsidR="002E2072" w:rsidRPr="002E2072" w:rsidP="002E2072" w14:paraId="4649DACD"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2,362</w:t>
            </w:r>
          </w:p>
        </w:tc>
      </w:tr>
      <w:tr w14:paraId="6521C5D3" w14:textId="77777777">
        <w:tblPrEx>
          <w:tblW w:w="0" w:type="auto"/>
          <w:tblInd w:w="715" w:type="dxa"/>
          <w:tblLook w:val="04A0"/>
        </w:tblPrEx>
        <w:tc>
          <w:tcPr>
            <w:tcW w:w="5105" w:type="dxa"/>
          </w:tcPr>
          <w:p w:rsidR="002E2072" w:rsidRPr="002E2072" w:rsidP="002E2072" w14:paraId="4DC91FC2" w14:textId="77777777">
            <w:pPr>
              <w:tabs>
                <w:tab w:val="left" w:pos="-720"/>
              </w:tabs>
              <w:spacing w:after="160" w:line="276" w:lineRule="auto"/>
              <w:ind w:left="720"/>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Total responses</w:t>
            </w:r>
          </w:p>
        </w:tc>
        <w:tc>
          <w:tcPr>
            <w:tcW w:w="3530" w:type="dxa"/>
          </w:tcPr>
          <w:p w:rsidR="002E2072" w:rsidRPr="002E2072" w:rsidP="002E2072" w14:paraId="37D4432C" w14:textId="77777777">
            <w:pPr>
              <w:tabs>
                <w:tab w:val="left" w:pos="-720"/>
              </w:tabs>
              <w:spacing w:after="160" w:line="276" w:lineRule="auto"/>
              <w:ind w:left="720"/>
              <w:jc w:val="right"/>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5,963</w:t>
            </w:r>
          </w:p>
        </w:tc>
      </w:tr>
    </w:tbl>
    <w:p w:rsidR="002E2072" w:rsidRPr="002E2072" w:rsidP="002E2072" w14:paraId="5BAF1D7F" w14:textId="77777777">
      <w:pPr>
        <w:tabs>
          <w:tab w:val="left" w:pos="-720"/>
          <w:tab w:val="left" w:pos="0"/>
        </w:tabs>
        <w:suppressAutoHyphens/>
        <w:spacing w:before="120" w:after="120" w:line="276" w:lineRule="auto"/>
        <w:rPr>
          <w:rFonts w:ascii="Calibri" w:hAnsi="Calibri"/>
          <w:sz w:val="22"/>
          <w:szCs w:val="22"/>
        </w:rPr>
      </w:pPr>
      <w:r w:rsidRPr="002E2072">
        <w:rPr>
          <w:rFonts w:ascii="Calibri" w:hAnsi="Calibri"/>
          <w:sz w:val="22"/>
          <w:szCs w:val="22"/>
        </w:rPr>
        <w:t>The Department estimates the total annual number of responses for public, private, and for-profit entities are as follows:</w:t>
      </w:r>
    </w:p>
    <w:tbl>
      <w:tblPr>
        <w:tblStyle w:val="TableGrid"/>
        <w:tblW w:w="0" w:type="auto"/>
        <w:tblInd w:w="715" w:type="dxa"/>
        <w:tblLook w:val="04A0"/>
      </w:tblPr>
      <w:tblGrid>
        <w:gridCol w:w="5105"/>
        <w:gridCol w:w="3530"/>
      </w:tblGrid>
      <w:tr w14:paraId="0B748134" w14:textId="77777777">
        <w:tblPrEx>
          <w:tblW w:w="0" w:type="auto"/>
          <w:tblInd w:w="715" w:type="dxa"/>
          <w:tblLook w:val="04A0"/>
        </w:tblPrEx>
        <w:tc>
          <w:tcPr>
            <w:tcW w:w="5105" w:type="dxa"/>
          </w:tcPr>
          <w:p w:rsidR="002E2072" w:rsidRPr="002E2072" w:rsidP="002E2072" w14:paraId="680B75EA"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Public Entities</w:t>
            </w:r>
          </w:p>
        </w:tc>
        <w:tc>
          <w:tcPr>
            <w:tcW w:w="3530" w:type="dxa"/>
          </w:tcPr>
          <w:p w:rsidR="002E2072" w:rsidRPr="002E2072" w:rsidP="002E2072" w14:paraId="1AB7779D"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1,869</w:t>
            </w:r>
          </w:p>
        </w:tc>
      </w:tr>
      <w:tr w14:paraId="0CBBBECB" w14:textId="77777777">
        <w:tblPrEx>
          <w:tblW w:w="0" w:type="auto"/>
          <w:tblInd w:w="715" w:type="dxa"/>
          <w:tblLook w:val="04A0"/>
        </w:tblPrEx>
        <w:tc>
          <w:tcPr>
            <w:tcW w:w="5105" w:type="dxa"/>
          </w:tcPr>
          <w:p w:rsidR="002E2072" w:rsidRPr="002E2072" w:rsidP="002E2072" w14:paraId="0F8D6017"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Private Entities</w:t>
            </w:r>
          </w:p>
        </w:tc>
        <w:tc>
          <w:tcPr>
            <w:tcW w:w="3530" w:type="dxa"/>
          </w:tcPr>
          <w:p w:rsidR="002E2072" w:rsidRPr="002E2072" w:rsidP="002E2072" w14:paraId="3DAC0EAC"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436,740</w:t>
            </w:r>
          </w:p>
        </w:tc>
      </w:tr>
      <w:tr w14:paraId="5B610A22" w14:textId="77777777">
        <w:tblPrEx>
          <w:tblW w:w="0" w:type="auto"/>
          <w:tblInd w:w="715" w:type="dxa"/>
          <w:tblLook w:val="04A0"/>
        </w:tblPrEx>
        <w:tc>
          <w:tcPr>
            <w:tcW w:w="5105" w:type="dxa"/>
          </w:tcPr>
          <w:p w:rsidR="002E2072" w:rsidRPr="002E2072" w:rsidP="002E2072" w14:paraId="19933137" w14:textId="77777777">
            <w:pPr>
              <w:tabs>
                <w:tab w:val="left" w:pos="-720"/>
              </w:tabs>
              <w:spacing w:after="160" w:line="276" w:lineRule="auto"/>
              <w:ind w:left="720"/>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 xml:space="preserve">For-Profit Entities </w:t>
            </w:r>
          </w:p>
        </w:tc>
        <w:tc>
          <w:tcPr>
            <w:tcW w:w="3530" w:type="dxa"/>
          </w:tcPr>
          <w:p w:rsidR="002E2072" w:rsidRPr="002E2072" w:rsidP="002E2072" w14:paraId="3ED3B8B0" w14:textId="77777777">
            <w:pPr>
              <w:tabs>
                <w:tab w:val="left" w:pos="-720"/>
              </w:tabs>
              <w:spacing w:after="160" w:line="276" w:lineRule="auto"/>
              <w:ind w:left="720"/>
              <w:jc w:val="right"/>
              <w:rPr>
                <w:rFonts w:ascii="Calibri" w:eastAsia="Aptos" w:hAnsi="Calibri"/>
                <w:kern w:val="2"/>
                <w:sz w:val="22"/>
                <w:szCs w:val="22"/>
                <w14:ligatures w14:val="standardContextual"/>
              </w:rPr>
            </w:pPr>
            <w:r w:rsidRPr="002E2072">
              <w:rPr>
                <w:rFonts w:ascii="Calibri" w:eastAsia="Aptos" w:hAnsi="Calibri"/>
                <w:kern w:val="2"/>
                <w:sz w:val="22"/>
                <w:szCs w:val="22"/>
                <w14:ligatures w14:val="standardContextual"/>
              </w:rPr>
              <w:t>2,123,863</w:t>
            </w:r>
          </w:p>
        </w:tc>
      </w:tr>
      <w:tr w14:paraId="1F9317CF" w14:textId="77777777">
        <w:tblPrEx>
          <w:tblW w:w="0" w:type="auto"/>
          <w:tblInd w:w="715" w:type="dxa"/>
          <w:tblLook w:val="04A0"/>
        </w:tblPrEx>
        <w:tc>
          <w:tcPr>
            <w:tcW w:w="5105" w:type="dxa"/>
          </w:tcPr>
          <w:p w:rsidR="002E2072" w:rsidRPr="002E2072" w:rsidP="002E2072" w14:paraId="34CE9E28" w14:textId="77777777">
            <w:pPr>
              <w:tabs>
                <w:tab w:val="left" w:pos="-720"/>
              </w:tabs>
              <w:spacing w:after="160" w:line="276" w:lineRule="auto"/>
              <w:ind w:left="720"/>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Total responses</w:t>
            </w:r>
          </w:p>
        </w:tc>
        <w:tc>
          <w:tcPr>
            <w:tcW w:w="3530" w:type="dxa"/>
          </w:tcPr>
          <w:p w:rsidR="002E2072" w:rsidRPr="002E2072" w:rsidP="002E2072" w14:paraId="75963C45" w14:textId="77777777">
            <w:pPr>
              <w:tabs>
                <w:tab w:val="left" w:pos="-720"/>
              </w:tabs>
              <w:spacing w:after="160" w:line="276" w:lineRule="auto"/>
              <w:ind w:left="720"/>
              <w:jc w:val="right"/>
              <w:rPr>
                <w:rFonts w:ascii="Calibri" w:eastAsia="Aptos" w:hAnsi="Calibri"/>
                <w:b/>
                <w:kern w:val="2"/>
                <w:sz w:val="22"/>
                <w:szCs w:val="22"/>
                <w14:ligatures w14:val="standardContextual"/>
              </w:rPr>
            </w:pPr>
            <w:r w:rsidRPr="002E2072">
              <w:rPr>
                <w:rFonts w:ascii="Calibri" w:eastAsia="Aptos" w:hAnsi="Calibri"/>
                <w:b/>
                <w:kern w:val="2"/>
                <w:sz w:val="22"/>
                <w:szCs w:val="22"/>
                <w14:ligatures w14:val="standardContextual"/>
              </w:rPr>
              <w:t>2,562,472</w:t>
            </w:r>
          </w:p>
        </w:tc>
      </w:tr>
    </w:tbl>
    <w:p w:rsidR="002E2072" w:rsidRPr="002E2072" w:rsidP="002E2072" w14:paraId="690513AC" w14:textId="77777777">
      <w:pPr>
        <w:tabs>
          <w:tab w:val="left" w:pos="-720"/>
          <w:tab w:val="left" w:pos="0"/>
        </w:tabs>
        <w:suppressAutoHyphens/>
        <w:spacing w:before="120" w:after="120" w:line="276" w:lineRule="auto"/>
        <w:rPr>
          <w:rFonts w:ascii="Calibri" w:hAnsi="Calibri"/>
          <w:sz w:val="22"/>
          <w:szCs w:val="2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2240"/>
        <w:gridCol w:w="2040"/>
        <w:gridCol w:w="2700"/>
        <w:gridCol w:w="1640"/>
      </w:tblGrid>
      <w:tr w14:paraId="60A080A6" w14:textId="77777777" w:rsidTr="007C2AEB">
        <w:tblPrEx>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70" w:type="dxa"/>
            <w:noWrap/>
            <w:vAlign w:val="bottom"/>
            <w:hideMark/>
          </w:tcPr>
          <w:p w:rsidR="002E2072" w:rsidRPr="002E2072" w:rsidP="002E2072" w14:paraId="02D0A586" w14:textId="77777777">
            <w:pPr>
              <w:rPr>
                <w:rFonts w:ascii="Aptos Narrow" w:hAnsi="Aptos Narrow"/>
                <w:color w:val="000000"/>
                <w:sz w:val="22"/>
                <w:szCs w:val="22"/>
              </w:rPr>
            </w:pPr>
            <w:r w:rsidRPr="002E2072">
              <w:rPr>
                <w:rFonts w:ascii="Aptos Narrow" w:hAnsi="Aptos Narrow"/>
                <w:color w:val="000000"/>
                <w:sz w:val="22"/>
                <w:szCs w:val="22"/>
              </w:rPr>
              <w:t>Entity</w:t>
            </w:r>
          </w:p>
        </w:tc>
        <w:tc>
          <w:tcPr>
            <w:tcW w:w="2240" w:type="dxa"/>
            <w:noWrap/>
            <w:vAlign w:val="bottom"/>
            <w:hideMark/>
          </w:tcPr>
          <w:p w:rsidR="002E2072" w:rsidRPr="002E2072" w:rsidP="002E2072" w14:paraId="196AB8B5" w14:textId="77777777">
            <w:pPr>
              <w:rPr>
                <w:rFonts w:ascii="Aptos Narrow" w:hAnsi="Aptos Narrow"/>
                <w:color w:val="000000"/>
                <w:sz w:val="22"/>
                <w:szCs w:val="22"/>
              </w:rPr>
            </w:pPr>
            <w:r w:rsidRPr="002E2072">
              <w:rPr>
                <w:rFonts w:ascii="Aptos Narrow" w:hAnsi="Aptos Narrow"/>
                <w:color w:val="000000"/>
                <w:sz w:val="22"/>
                <w:szCs w:val="22"/>
              </w:rPr>
              <w:t>Number of Respondents</w:t>
            </w:r>
          </w:p>
        </w:tc>
        <w:tc>
          <w:tcPr>
            <w:tcW w:w="2040" w:type="dxa"/>
            <w:noWrap/>
            <w:vAlign w:val="bottom"/>
            <w:hideMark/>
          </w:tcPr>
          <w:p w:rsidR="002E2072" w:rsidRPr="002E2072" w:rsidP="002E2072" w14:paraId="2E3CC5FC" w14:textId="77777777">
            <w:pPr>
              <w:rPr>
                <w:rFonts w:ascii="Aptos Narrow" w:hAnsi="Aptos Narrow"/>
                <w:color w:val="000000"/>
                <w:sz w:val="22"/>
                <w:szCs w:val="22"/>
              </w:rPr>
            </w:pPr>
            <w:r w:rsidRPr="002E2072">
              <w:rPr>
                <w:rFonts w:ascii="Aptos Narrow" w:hAnsi="Aptos Narrow"/>
                <w:color w:val="000000"/>
                <w:sz w:val="22"/>
                <w:szCs w:val="22"/>
              </w:rPr>
              <w:t>Number of Responses</w:t>
            </w:r>
          </w:p>
        </w:tc>
        <w:tc>
          <w:tcPr>
            <w:tcW w:w="2700" w:type="dxa"/>
            <w:noWrap/>
            <w:vAlign w:val="bottom"/>
            <w:hideMark/>
          </w:tcPr>
          <w:p w:rsidR="002E2072" w:rsidRPr="002E2072" w:rsidP="002E2072" w14:paraId="6C8410F0" w14:textId="77777777">
            <w:pPr>
              <w:rPr>
                <w:rFonts w:ascii="Aptos Narrow" w:hAnsi="Aptos Narrow"/>
                <w:color w:val="000000"/>
                <w:sz w:val="22"/>
                <w:szCs w:val="22"/>
              </w:rPr>
            </w:pPr>
            <w:r w:rsidRPr="002E2072">
              <w:rPr>
                <w:rFonts w:ascii="Aptos Narrow" w:hAnsi="Aptos Narrow"/>
                <w:color w:val="000000"/>
                <w:sz w:val="22"/>
                <w:szCs w:val="22"/>
              </w:rPr>
              <w:t>Average Burden per response</w:t>
            </w:r>
          </w:p>
        </w:tc>
        <w:tc>
          <w:tcPr>
            <w:tcW w:w="1640" w:type="dxa"/>
            <w:noWrap/>
            <w:vAlign w:val="bottom"/>
            <w:hideMark/>
          </w:tcPr>
          <w:p w:rsidR="002E2072" w:rsidRPr="002E2072" w:rsidP="002E2072" w14:paraId="218AB077" w14:textId="77777777">
            <w:pPr>
              <w:rPr>
                <w:rFonts w:ascii="Aptos Narrow" w:hAnsi="Aptos Narrow"/>
                <w:color w:val="000000"/>
                <w:sz w:val="22"/>
                <w:szCs w:val="22"/>
              </w:rPr>
            </w:pPr>
            <w:r w:rsidRPr="002E2072">
              <w:rPr>
                <w:rFonts w:ascii="Aptos Narrow" w:hAnsi="Aptos Narrow"/>
                <w:color w:val="000000"/>
                <w:sz w:val="22"/>
                <w:szCs w:val="22"/>
              </w:rPr>
              <w:t>Total Burden hours</w:t>
            </w:r>
          </w:p>
        </w:tc>
      </w:tr>
      <w:tr w14:paraId="42C225F2" w14:textId="77777777" w:rsidTr="007C2AEB">
        <w:tblPrEx>
          <w:tblW w:w="9690" w:type="dxa"/>
          <w:tblLook w:val="04A0"/>
        </w:tblPrEx>
        <w:trPr>
          <w:trHeight w:val="290"/>
        </w:trPr>
        <w:tc>
          <w:tcPr>
            <w:tcW w:w="1070" w:type="dxa"/>
            <w:noWrap/>
            <w:vAlign w:val="bottom"/>
            <w:hideMark/>
          </w:tcPr>
          <w:p w:rsidR="002E2072" w:rsidRPr="002E2072" w:rsidP="002E2072" w14:paraId="08743BB9" w14:textId="77777777">
            <w:pPr>
              <w:rPr>
                <w:rFonts w:ascii="Aptos Narrow" w:hAnsi="Aptos Narrow"/>
                <w:color w:val="000000"/>
                <w:sz w:val="22"/>
                <w:szCs w:val="22"/>
              </w:rPr>
            </w:pPr>
            <w:r w:rsidRPr="002E2072">
              <w:rPr>
                <w:rFonts w:ascii="Aptos Narrow" w:hAnsi="Aptos Narrow"/>
                <w:color w:val="000000"/>
                <w:sz w:val="22"/>
                <w:szCs w:val="22"/>
              </w:rPr>
              <w:t>Public</w:t>
            </w:r>
          </w:p>
        </w:tc>
        <w:tc>
          <w:tcPr>
            <w:tcW w:w="2240" w:type="dxa"/>
            <w:noWrap/>
            <w:vAlign w:val="bottom"/>
            <w:hideMark/>
          </w:tcPr>
          <w:p w:rsidR="002E2072" w:rsidRPr="002E2072" w:rsidP="002E2072" w14:paraId="6E23CC65" w14:textId="77777777">
            <w:pPr>
              <w:jc w:val="right"/>
              <w:rPr>
                <w:rFonts w:ascii="Aptos Narrow" w:hAnsi="Aptos Narrow"/>
                <w:color w:val="000000"/>
                <w:sz w:val="22"/>
                <w:szCs w:val="22"/>
              </w:rPr>
            </w:pPr>
            <w:r w:rsidRPr="002E2072">
              <w:rPr>
                <w:rFonts w:ascii="Aptos Narrow" w:hAnsi="Aptos Narrow"/>
                <w:color w:val="000000"/>
                <w:sz w:val="22"/>
                <w:szCs w:val="22"/>
              </w:rPr>
              <w:t>1,869</w:t>
            </w:r>
          </w:p>
        </w:tc>
        <w:tc>
          <w:tcPr>
            <w:tcW w:w="2040" w:type="dxa"/>
            <w:noWrap/>
            <w:vAlign w:val="bottom"/>
            <w:hideMark/>
          </w:tcPr>
          <w:p w:rsidR="002E2072" w:rsidRPr="002E2072" w:rsidP="002E2072" w14:paraId="6E6534A0" w14:textId="77777777">
            <w:pPr>
              <w:jc w:val="right"/>
              <w:rPr>
                <w:rFonts w:ascii="Aptos Narrow" w:hAnsi="Aptos Narrow"/>
                <w:color w:val="000000"/>
                <w:sz w:val="22"/>
                <w:szCs w:val="22"/>
              </w:rPr>
            </w:pPr>
            <w:r w:rsidRPr="002E2072">
              <w:rPr>
                <w:rFonts w:ascii="Aptos Narrow" w:hAnsi="Aptos Narrow"/>
                <w:color w:val="000000"/>
                <w:sz w:val="22"/>
                <w:szCs w:val="22"/>
              </w:rPr>
              <w:t>1,869</w:t>
            </w:r>
          </w:p>
        </w:tc>
        <w:tc>
          <w:tcPr>
            <w:tcW w:w="2700" w:type="dxa"/>
            <w:noWrap/>
            <w:vAlign w:val="bottom"/>
            <w:hideMark/>
          </w:tcPr>
          <w:p w:rsidR="002E2072" w:rsidRPr="002E2072" w:rsidP="002E2072" w14:paraId="3BA0DABB" w14:textId="77777777">
            <w:pPr>
              <w:jc w:val="right"/>
              <w:rPr>
                <w:rFonts w:ascii="Aptos Narrow" w:hAnsi="Aptos Narrow"/>
                <w:color w:val="000000"/>
                <w:sz w:val="22"/>
                <w:szCs w:val="22"/>
              </w:rPr>
            </w:pPr>
            <w:r w:rsidRPr="002E2072">
              <w:rPr>
                <w:rFonts w:ascii="Aptos Narrow" w:hAnsi="Aptos Narrow"/>
                <w:color w:val="000000"/>
                <w:sz w:val="22"/>
                <w:szCs w:val="22"/>
              </w:rPr>
              <w:t>0.17</w:t>
            </w:r>
          </w:p>
        </w:tc>
        <w:tc>
          <w:tcPr>
            <w:tcW w:w="1640" w:type="dxa"/>
            <w:noWrap/>
            <w:vAlign w:val="bottom"/>
            <w:hideMark/>
          </w:tcPr>
          <w:p w:rsidR="002E2072" w:rsidRPr="002E2072" w:rsidP="002E2072" w14:paraId="24F41479" w14:textId="77777777">
            <w:pPr>
              <w:jc w:val="right"/>
              <w:rPr>
                <w:rFonts w:ascii="Aptos Narrow" w:hAnsi="Aptos Narrow"/>
                <w:color w:val="000000"/>
                <w:sz w:val="22"/>
                <w:szCs w:val="22"/>
              </w:rPr>
            </w:pPr>
            <w:r w:rsidRPr="002E2072">
              <w:rPr>
                <w:rFonts w:ascii="Aptos Narrow" w:hAnsi="Aptos Narrow"/>
                <w:color w:val="000000"/>
                <w:sz w:val="22"/>
                <w:szCs w:val="22"/>
              </w:rPr>
              <w:t>318</w:t>
            </w:r>
          </w:p>
        </w:tc>
      </w:tr>
      <w:tr w14:paraId="5AA60DE1" w14:textId="77777777" w:rsidTr="007C2AEB">
        <w:tblPrEx>
          <w:tblW w:w="9690" w:type="dxa"/>
          <w:tblLook w:val="04A0"/>
        </w:tblPrEx>
        <w:trPr>
          <w:trHeight w:val="290"/>
        </w:trPr>
        <w:tc>
          <w:tcPr>
            <w:tcW w:w="1070" w:type="dxa"/>
            <w:noWrap/>
            <w:vAlign w:val="bottom"/>
            <w:hideMark/>
          </w:tcPr>
          <w:p w:rsidR="002E2072" w:rsidRPr="002E2072" w:rsidP="002E2072" w14:paraId="2D369366" w14:textId="77777777">
            <w:pPr>
              <w:rPr>
                <w:rFonts w:ascii="Aptos Narrow" w:hAnsi="Aptos Narrow"/>
                <w:color w:val="000000"/>
                <w:sz w:val="22"/>
                <w:szCs w:val="22"/>
              </w:rPr>
            </w:pPr>
            <w:r w:rsidRPr="002E2072">
              <w:rPr>
                <w:rFonts w:ascii="Aptos Narrow" w:hAnsi="Aptos Narrow"/>
                <w:color w:val="000000"/>
                <w:sz w:val="22"/>
                <w:szCs w:val="22"/>
              </w:rPr>
              <w:t xml:space="preserve">Private </w:t>
            </w:r>
          </w:p>
        </w:tc>
        <w:tc>
          <w:tcPr>
            <w:tcW w:w="2240" w:type="dxa"/>
            <w:noWrap/>
            <w:vAlign w:val="bottom"/>
            <w:hideMark/>
          </w:tcPr>
          <w:p w:rsidR="002E2072" w:rsidRPr="002E2072" w:rsidP="002E2072" w14:paraId="21C18BC5" w14:textId="77777777">
            <w:pPr>
              <w:jc w:val="right"/>
              <w:rPr>
                <w:rFonts w:ascii="Aptos Narrow" w:hAnsi="Aptos Narrow"/>
                <w:color w:val="000000"/>
                <w:sz w:val="22"/>
                <w:szCs w:val="22"/>
              </w:rPr>
            </w:pPr>
            <w:r w:rsidRPr="002E2072">
              <w:rPr>
                <w:rFonts w:ascii="Aptos Narrow" w:hAnsi="Aptos Narrow"/>
                <w:color w:val="000000"/>
                <w:sz w:val="22"/>
                <w:szCs w:val="22"/>
              </w:rPr>
              <w:t>1,732</w:t>
            </w:r>
          </w:p>
        </w:tc>
        <w:tc>
          <w:tcPr>
            <w:tcW w:w="2040" w:type="dxa"/>
            <w:noWrap/>
            <w:vAlign w:val="bottom"/>
            <w:hideMark/>
          </w:tcPr>
          <w:p w:rsidR="002E2072" w:rsidRPr="002E2072" w:rsidP="002E2072" w14:paraId="191BC4A2" w14:textId="77777777">
            <w:pPr>
              <w:jc w:val="right"/>
              <w:rPr>
                <w:rFonts w:ascii="Aptos Narrow" w:hAnsi="Aptos Narrow"/>
                <w:color w:val="000000"/>
                <w:sz w:val="22"/>
                <w:szCs w:val="22"/>
              </w:rPr>
            </w:pPr>
            <w:r w:rsidRPr="002E2072">
              <w:rPr>
                <w:rFonts w:ascii="Aptos Narrow" w:hAnsi="Aptos Narrow"/>
                <w:color w:val="000000"/>
                <w:sz w:val="22"/>
                <w:szCs w:val="22"/>
              </w:rPr>
              <w:t>436,740</w:t>
            </w:r>
          </w:p>
        </w:tc>
        <w:tc>
          <w:tcPr>
            <w:tcW w:w="2700" w:type="dxa"/>
            <w:noWrap/>
            <w:vAlign w:val="bottom"/>
            <w:hideMark/>
          </w:tcPr>
          <w:p w:rsidR="002E2072" w:rsidRPr="002E2072" w:rsidP="002E2072" w14:paraId="595339F1" w14:textId="77777777">
            <w:pPr>
              <w:jc w:val="right"/>
              <w:rPr>
                <w:rFonts w:ascii="Aptos Narrow" w:hAnsi="Aptos Narrow"/>
                <w:color w:val="000000"/>
                <w:sz w:val="22"/>
                <w:szCs w:val="22"/>
              </w:rPr>
            </w:pPr>
            <w:r w:rsidRPr="002E2072">
              <w:rPr>
                <w:rFonts w:ascii="Aptos Narrow" w:hAnsi="Aptos Narrow"/>
                <w:color w:val="000000"/>
                <w:sz w:val="22"/>
                <w:szCs w:val="22"/>
              </w:rPr>
              <w:t>0.17</w:t>
            </w:r>
          </w:p>
        </w:tc>
        <w:tc>
          <w:tcPr>
            <w:tcW w:w="1640" w:type="dxa"/>
            <w:noWrap/>
            <w:vAlign w:val="bottom"/>
            <w:hideMark/>
          </w:tcPr>
          <w:p w:rsidR="002E2072" w:rsidRPr="002E2072" w:rsidP="002E2072" w14:paraId="68E2AA24" w14:textId="77777777">
            <w:pPr>
              <w:jc w:val="right"/>
              <w:rPr>
                <w:rFonts w:ascii="Aptos Narrow" w:hAnsi="Aptos Narrow"/>
                <w:color w:val="000000"/>
                <w:sz w:val="22"/>
                <w:szCs w:val="22"/>
              </w:rPr>
            </w:pPr>
            <w:r w:rsidRPr="002E2072">
              <w:rPr>
                <w:rFonts w:ascii="Aptos Narrow" w:hAnsi="Aptos Narrow"/>
                <w:color w:val="000000"/>
                <w:sz w:val="22"/>
                <w:szCs w:val="22"/>
              </w:rPr>
              <w:t>74,246</w:t>
            </w:r>
          </w:p>
        </w:tc>
      </w:tr>
      <w:tr w14:paraId="51E4E9EB" w14:textId="77777777" w:rsidTr="007C2AEB">
        <w:tblPrEx>
          <w:tblW w:w="9690" w:type="dxa"/>
          <w:tblLook w:val="04A0"/>
        </w:tblPrEx>
        <w:trPr>
          <w:trHeight w:val="290"/>
        </w:trPr>
        <w:tc>
          <w:tcPr>
            <w:tcW w:w="1070" w:type="dxa"/>
            <w:noWrap/>
            <w:vAlign w:val="bottom"/>
            <w:hideMark/>
          </w:tcPr>
          <w:p w:rsidR="002E2072" w:rsidRPr="002E2072" w:rsidP="002E2072" w14:paraId="2F6F52AC" w14:textId="77777777">
            <w:pPr>
              <w:rPr>
                <w:rFonts w:ascii="Aptos Narrow" w:hAnsi="Aptos Narrow"/>
                <w:color w:val="000000"/>
                <w:sz w:val="22"/>
                <w:szCs w:val="22"/>
              </w:rPr>
            </w:pPr>
            <w:r w:rsidRPr="002E2072">
              <w:rPr>
                <w:rFonts w:ascii="Aptos Narrow" w:hAnsi="Aptos Narrow"/>
                <w:color w:val="000000"/>
                <w:sz w:val="22"/>
                <w:szCs w:val="22"/>
              </w:rPr>
              <w:t>For-Profit</w:t>
            </w:r>
          </w:p>
        </w:tc>
        <w:tc>
          <w:tcPr>
            <w:tcW w:w="2240" w:type="dxa"/>
            <w:noWrap/>
            <w:vAlign w:val="bottom"/>
            <w:hideMark/>
          </w:tcPr>
          <w:p w:rsidR="002E2072" w:rsidRPr="002E2072" w:rsidP="002E2072" w14:paraId="5CC35378" w14:textId="77777777">
            <w:pPr>
              <w:jc w:val="right"/>
              <w:rPr>
                <w:rFonts w:ascii="Aptos Narrow" w:hAnsi="Aptos Narrow"/>
                <w:color w:val="000000"/>
                <w:sz w:val="22"/>
                <w:szCs w:val="22"/>
              </w:rPr>
            </w:pPr>
            <w:r w:rsidRPr="002E2072">
              <w:rPr>
                <w:rFonts w:ascii="Aptos Narrow" w:hAnsi="Aptos Narrow"/>
                <w:color w:val="000000"/>
                <w:sz w:val="22"/>
                <w:szCs w:val="22"/>
              </w:rPr>
              <w:t>2,083</w:t>
            </w:r>
          </w:p>
        </w:tc>
        <w:tc>
          <w:tcPr>
            <w:tcW w:w="2040" w:type="dxa"/>
            <w:noWrap/>
            <w:vAlign w:val="bottom"/>
            <w:hideMark/>
          </w:tcPr>
          <w:p w:rsidR="002E2072" w:rsidRPr="002E2072" w:rsidP="002E2072" w14:paraId="4C660B45" w14:textId="77777777">
            <w:pPr>
              <w:jc w:val="right"/>
              <w:rPr>
                <w:rFonts w:ascii="Aptos Narrow" w:hAnsi="Aptos Narrow"/>
                <w:color w:val="000000"/>
                <w:sz w:val="22"/>
                <w:szCs w:val="22"/>
              </w:rPr>
            </w:pPr>
            <w:r w:rsidRPr="002E2072">
              <w:rPr>
                <w:rFonts w:ascii="Aptos Narrow" w:hAnsi="Aptos Narrow"/>
                <w:color w:val="000000"/>
                <w:sz w:val="22"/>
                <w:szCs w:val="22"/>
              </w:rPr>
              <w:t>2,123,863</w:t>
            </w:r>
          </w:p>
        </w:tc>
        <w:tc>
          <w:tcPr>
            <w:tcW w:w="2700" w:type="dxa"/>
            <w:noWrap/>
            <w:vAlign w:val="bottom"/>
            <w:hideMark/>
          </w:tcPr>
          <w:p w:rsidR="002E2072" w:rsidRPr="002E2072" w:rsidP="002E2072" w14:paraId="01CB2665" w14:textId="77777777">
            <w:pPr>
              <w:jc w:val="right"/>
              <w:rPr>
                <w:rFonts w:ascii="Aptos Narrow" w:hAnsi="Aptos Narrow"/>
                <w:color w:val="000000"/>
                <w:sz w:val="22"/>
                <w:szCs w:val="22"/>
              </w:rPr>
            </w:pPr>
            <w:r w:rsidRPr="002E2072">
              <w:rPr>
                <w:rFonts w:ascii="Aptos Narrow" w:hAnsi="Aptos Narrow"/>
                <w:color w:val="000000"/>
                <w:sz w:val="22"/>
                <w:szCs w:val="22"/>
              </w:rPr>
              <w:t>0.17</w:t>
            </w:r>
          </w:p>
        </w:tc>
        <w:tc>
          <w:tcPr>
            <w:tcW w:w="1640" w:type="dxa"/>
            <w:noWrap/>
            <w:vAlign w:val="bottom"/>
            <w:hideMark/>
          </w:tcPr>
          <w:p w:rsidR="002E2072" w:rsidRPr="002E2072" w:rsidP="002E2072" w14:paraId="698C9960" w14:textId="77777777">
            <w:pPr>
              <w:jc w:val="right"/>
              <w:rPr>
                <w:rFonts w:ascii="Aptos Narrow" w:hAnsi="Aptos Narrow"/>
                <w:color w:val="000000"/>
                <w:sz w:val="22"/>
                <w:szCs w:val="22"/>
              </w:rPr>
            </w:pPr>
            <w:r w:rsidRPr="002E2072">
              <w:rPr>
                <w:rFonts w:ascii="Aptos Narrow" w:hAnsi="Aptos Narrow"/>
                <w:color w:val="000000"/>
                <w:sz w:val="22"/>
                <w:szCs w:val="22"/>
              </w:rPr>
              <w:t>361,057</w:t>
            </w:r>
          </w:p>
        </w:tc>
      </w:tr>
      <w:tr w14:paraId="7B73E148" w14:textId="77777777" w:rsidTr="007C2AEB">
        <w:tblPrEx>
          <w:tblW w:w="9690" w:type="dxa"/>
          <w:tblLook w:val="04A0"/>
        </w:tblPrEx>
        <w:trPr>
          <w:trHeight w:val="290"/>
        </w:trPr>
        <w:tc>
          <w:tcPr>
            <w:tcW w:w="1070" w:type="dxa"/>
            <w:noWrap/>
            <w:vAlign w:val="bottom"/>
            <w:hideMark/>
          </w:tcPr>
          <w:p w:rsidR="002E2072" w:rsidRPr="002E2072" w:rsidP="002E2072" w14:paraId="55EEB862" w14:textId="77777777">
            <w:pPr>
              <w:jc w:val="right"/>
              <w:rPr>
                <w:rFonts w:ascii="Aptos Narrow" w:hAnsi="Aptos Narrow"/>
                <w:b/>
                <w:bCs/>
                <w:color w:val="000000"/>
                <w:sz w:val="22"/>
                <w:szCs w:val="22"/>
              </w:rPr>
            </w:pPr>
            <w:r w:rsidRPr="002E2072">
              <w:rPr>
                <w:rFonts w:ascii="Aptos Narrow" w:hAnsi="Aptos Narrow"/>
                <w:b/>
                <w:bCs/>
                <w:color w:val="000000"/>
                <w:sz w:val="22"/>
                <w:szCs w:val="22"/>
              </w:rPr>
              <w:t xml:space="preserve">Total </w:t>
            </w:r>
          </w:p>
        </w:tc>
        <w:tc>
          <w:tcPr>
            <w:tcW w:w="2240" w:type="dxa"/>
            <w:noWrap/>
            <w:vAlign w:val="bottom"/>
            <w:hideMark/>
          </w:tcPr>
          <w:p w:rsidR="002E2072" w:rsidRPr="002E2072" w:rsidP="002E2072" w14:paraId="4224638A" w14:textId="77777777">
            <w:pPr>
              <w:jc w:val="right"/>
              <w:rPr>
                <w:rFonts w:ascii="Aptos Narrow" w:hAnsi="Aptos Narrow"/>
                <w:b/>
                <w:bCs/>
                <w:color w:val="000000"/>
                <w:sz w:val="22"/>
                <w:szCs w:val="22"/>
              </w:rPr>
            </w:pPr>
            <w:r w:rsidRPr="002E2072">
              <w:rPr>
                <w:rFonts w:ascii="Aptos Narrow" w:hAnsi="Aptos Narrow"/>
                <w:b/>
                <w:bCs/>
                <w:color w:val="000000"/>
                <w:sz w:val="22"/>
                <w:szCs w:val="22"/>
              </w:rPr>
              <w:t>5,684</w:t>
            </w:r>
          </w:p>
        </w:tc>
        <w:tc>
          <w:tcPr>
            <w:tcW w:w="2040" w:type="dxa"/>
            <w:noWrap/>
            <w:vAlign w:val="bottom"/>
            <w:hideMark/>
          </w:tcPr>
          <w:p w:rsidR="002E2072" w:rsidRPr="002E2072" w:rsidP="002E2072" w14:paraId="090B7A1B" w14:textId="77777777">
            <w:pPr>
              <w:jc w:val="right"/>
              <w:rPr>
                <w:rFonts w:ascii="Aptos Narrow" w:hAnsi="Aptos Narrow"/>
                <w:b/>
                <w:bCs/>
                <w:color w:val="000000"/>
                <w:sz w:val="22"/>
                <w:szCs w:val="22"/>
              </w:rPr>
            </w:pPr>
            <w:r w:rsidRPr="002E2072">
              <w:rPr>
                <w:rFonts w:ascii="Aptos Narrow" w:hAnsi="Aptos Narrow"/>
                <w:b/>
                <w:bCs/>
                <w:color w:val="000000"/>
                <w:sz w:val="22"/>
                <w:szCs w:val="22"/>
              </w:rPr>
              <w:t>2,562,472</w:t>
            </w:r>
          </w:p>
        </w:tc>
        <w:tc>
          <w:tcPr>
            <w:tcW w:w="2700" w:type="dxa"/>
            <w:noWrap/>
            <w:vAlign w:val="bottom"/>
            <w:hideMark/>
          </w:tcPr>
          <w:p w:rsidR="002E2072" w:rsidRPr="002E2072" w:rsidP="002E2072" w14:paraId="1858108A" w14:textId="77777777">
            <w:pPr>
              <w:jc w:val="right"/>
              <w:rPr>
                <w:rFonts w:ascii="Aptos Narrow" w:hAnsi="Aptos Narrow"/>
                <w:b/>
                <w:bCs/>
                <w:color w:val="000000"/>
                <w:sz w:val="22"/>
                <w:szCs w:val="22"/>
              </w:rPr>
            </w:pPr>
          </w:p>
        </w:tc>
        <w:tc>
          <w:tcPr>
            <w:tcW w:w="1640" w:type="dxa"/>
            <w:noWrap/>
            <w:vAlign w:val="bottom"/>
            <w:hideMark/>
          </w:tcPr>
          <w:p w:rsidR="002E2072" w:rsidRPr="002E2072" w:rsidP="002E2072" w14:paraId="057F307D" w14:textId="77777777">
            <w:pPr>
              <w:jc w:val="right"/>
              <w:rPr>
                <w:rFonts w:ascii="Aptos Narrow" w:hAnsi="Aptos Narrow"/>
                <w:b/>
                <w:bCs/>
                <w:color w:val="000000"/>
                <w:sz w:val="22"/>
                <w:szCs w:val="22"/>
              </w:rPr>
            </w:pPr>
            <w:r w:rsidRPr="002E2072">
              <w:rPr>
                <w:rFonts w:ascii="Aptos Narrow" w:hAnsi="Aptos Narrow"/>
                <w:b/>
                <w:bCs/>
                <w:color w:val="000000"/>
                <w:sz w:val="22"/>
                <w:szCs w:val="22"/>
              </w:rPr>
              <w:t>435,621</w:t>
            </w:r>
          </w:p>
        </w:tc>
      </w:tr>
    </w:tbl>
    <w:p w:rsidR="002E2072" w:rsidRPr="002E2072" w:rsidP="002E2072" w14:paraId="27967800" w14:textId="77777777">
      <w:pPr>
        <w:spacing w:before="120" w:after="120" w:line="276" w:lineRule="auto"/>
        <w:rPr>
          <w:rFonts w:ascii="Calibri" w:hAnsi="Calibri" w:cs="Calibri"/>
          <w:b/>
          <w:bCs/>
          <w:color w:val="000000"/>
          <w:sz w:val="22"/>
          <w:szCs w:val="22"/>
        </w:rPr>
      </w:pPr>
    </w:p>
    <w:p w:rsidR="002E2072" w:rsidRPr="002E2072" w:rsidP="002E2072" w14:paraId="528660C1" w14:textId="77777777">
      <w:pPr>
        <w:spacing w:after="160" w:line="278" w:lineRule="auto"/>
        <w:rPr>
          <w:rFonts w:ascii="Aptos" w:eastAsia="Aptos" w:hAnsi="Aptos"/>
          <w:kern w:val="2"/>
          <w:szCs w:val="24"/>
          <w14:ligatures w14:val="standardContextual"/>
        </w:rPr>
      </w:pPr>
      <w:r w:rsidRPr="002E2072">
        <w:rPr>
          <w:rFonts w:ascii="Aptos" w:eastAsia="Aptos" w:hAnsi="Aptos"/>
          <w:kern w:val="2"/>
          <w:szCs w:val="24"/>
          <w14:ligatures w14:val="standardContextual"/>
        </w:rPr>
        <w:t>The Department estimates the total annual number of respondents for this information collection to be 5,365,806 calculated as follows:</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2240"/>
        <w:gridCol w:w="2040"/>
        <w:gridCol w:w="2700"/>
        <w:gridCol w:w="1640"/>
      </w:tblGrid>
      <w:tr w14:paraId="51AD92F8" w14:textId="77777777" w:rsidTr="07225738">
        <w:tblPrEx>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960" w:type="dxa"/>
            <w:noWrap/>
            <w:vAlign w:val="bottom"/>
            <w:hideMark/>
          </w:tcPr>
          <w:p w:rsidR="002E2072" w:rsidRPr="002E2072" w:rsidP="002E2072" w14:paraId="083AB444" w14:textId="77777777">
            <w:pPr>
              <w:rPr>
                <w:rFonts w:ascii="Aptos Narrow" w:hAnsi="Aptos Narrow"/>
                <w:color w:val="000000"/>
                <w:sz w:val="22"/>
                <w:szCs w:val="22"/>
              </w:rPr>
            </w:pPr>
            <w:r w:rsidRPr="002E2072">
              <w:rPr>
                <w:rFonts w:ascii="Aptos Narrow" w:hAnsi="Aptos Narrow"/>
                <w:color w:val="000000"/>
                <w:sz w:val="22"/>
                <w:szCs w:val="22"/>
              </w:rPr>
              <w:t>Entity</w:t>
            </w:r>
          </w:p>
        </w:tc>
        <w:tc>
          <w:tcPr>
            <w:tcW w:w="2240" w:type="dxa"/>
            <w:noWrap/>
            <w:vAlign w:val="bottom"/>
            <w:hideMark/>
          </w:tcPr>
          <w:p w:rsidR="002E2072" w:rsidRPr="002E2072" w:rsidP="002E2072" w14:paraId="4F225A9C" w14:textId="77777777">
            <w:pPr>
              <w:rPr>
                <w:rFonts w:ascii="Aptos Narrow" w:hAnsi="Aptos Narrow"/>
                <w:color w:val="000000"/>
                <w:sz w:val="22"/>
                <w:szCs w:val="22"/>
              </w:rPr>
            </w:pPr>
            <w:r w:rsidRPr="002E2072">
              <w:rPr>
                <w:rFonts w:ascii="Aptos Narrow" w:hAnsi="Aptos Narrow"/>
                <w:color w:val="000000"/>
                <w:sz w:val="22"/>
                <w:szCs w:val="22"/>
              </w:rPr>
              <w:t>Number of Respondents</w:t>
            </w:r>
          </w:p>
        </w:tc>
        <w:tc>
          <w:tcPr>
            <w:tcW w:w="2040" w:type="dxa"/>
            <w:noWrap/>
            <w:vAlign w:val="bottom"/>
            <w:hideMark/>
          </w:tcPr>
          <w:p w:rsidR="002E2072" w:rsidRPr="002E2072" w:rsidP="002E2072" w14:paraId="73FAFE91" w14:textId="77777777">
            <w:pPr>
              <w:rPr>
                <w:rFonts w:ascii="Aptos Narrow" w:hAnsi="Aptos Narrow"/>
                <w:color w:val="000000"/>
                <w:sz w:val="22"/>
                <w:szCs w:val="22"/>
              </w:rPr>
            </w:pPr>
            <w:r w:rsidRPr="002E2072">
              <w:rPr>
                <w:rFonts w:ascii="Aptos Narrow" w:hAnsi="Aptos Narrow"/>
                <w:color w:val="000000"/>
                <w:sz w:val="22"/>
                <w:szCs w:val="22"/>
              </w:rPr>
              <w:t>Number of Responses</w:t>
            </w:r>
          </w:p>
        </w:tc>
        <w:tc>
          <w:tcPr>
            <w:tcW w:w="2700" w:type="dxa"/>
            <w:noWrap/>
            <w:vAlign w:val="bottom"/>
            <w:hideMark/>
          </w:tcPr>
          <w:p w:rsidR="002E2072" w:rsidRPr="002E2072" w:rsidP="002E2072" w14:paraId="7F04F017" w14:textId="77777777">
            <w:pPr>
              <w:rPr>
                <w:rFonts w:ascii="Aptos Narrow" w:hAnsi="Aptos Narrow"/>
                <w:color w:val="000000"/>
                <w:sz w:val="22"/>
                <w:szCs w:val="22"/>
              </w:rPr>
            </w:pPr>
            <w:r w:rsidRPr="002E2072">
              <w:rPr>
                <w:rFonts w:ascii="Aptos Narrow" w:hAnsi="Aptos Narrow"/>
                <w:color w:val="000000"/>
                <w:sz w:val="22"/>
                <w:szCs w:val="22"/>
              </w:rPr>
              <w:t>Average Burden per response</w:t>
            </w:r>
          </w:p>
        </w:tc>
        <w:tc>
          <w:tcPr>
            <w:tcW w:w="1640" w:type="dxa"/>
            <w:noWrap/>
            <w:vAlign w:val="bottom"/>
            <w:hideMark/>
          </w:tcPr>
          <w:p w:rsidR="002E2072" w:rsidRPr="002E2072" w:rsidP="002E2072" w14:paraId="7B7BA673" w14:textId="77777777">
            <w:pPr>
              <w:rPr>
                <w:rFonts w:ascii="Aptos Narrow" w:hAnsi="Aptos Narrow"/>
                <w:color w:val="000000"/>
                <w:sz w:val="22"/>
                <w:szCs w:val="22"/>
              </w:rPr>
            </w:pPr>
            <w:r w:rsidRPr="002E2072">
              <w:rPr>
                <w:rFonts w:ascii="Aptos Narrow" w:hAnsi="Aptos Narrow"/>
                <w:color w:val="000000"/>
                <w:sz w:val="22"/>
                <w:szCs w:val="22"/>
              </w:rPr>
              <w:t>Total Burden hours</w:t>
            </w:r>
          </w:p>
        </w:tc>
      </w:tr>
      <w:tr w14:paraId="5368C733" w14:textId="77777777" w:rsidTr="07225738">
        <w:tblPrEx>
          <w:tblW w:w="9580" w:type="dxa"/>
          <w:tblLook w:val="04A0"/>
        </w:tblPrEx>
        <w:trPr>
          <w:trHeight w:val="290"/>
        </w:trPr>
        <w:tc>
          <w:tcPr>
            <w:tcW w:w="960" w:type="dxa"/>
            <w:noWrap/>
            <w:vAlign w:val="bottom"/>
            <w:hideMark/>
          </w:tcPr>
          <w:p w:rsidR="002E2072" w:rsidRPr="002E2072" w:rsidP="002E2072" w14:paraId="0AEC246A" w14:textId="77777777">
            <w:pPr>
              <w:rPr>
                <w:rFonts w:ascii="Aptos Narrow" w:hAnsi="Aptos Narrow"/>
                <w:color w:val="000000"/>
                <w:sz w:val="22"/>
                <w:szCs w:val="22"/>
              </w:rPr>
            </w:pPr>
            <w:r w:rsidRPr="002E2072">
              <w:rPr>
                <w:rFonts w:ascii="Aptos Narrow" w:hAnsi="Aptos Narrow"/>
                <w:color w:val="000000"/>
                <w:sz w:val="22"/>
                <w:szCs w:val="22"/>
              </w:rPr>
              <w:t>Individual</w:t>
            </w:r>
          </w:p>
        </w:tc>
        <w:tc>
          <w:tcPr>
            <w:tcW w:w="2240" w:type="dxa"/>
            <w:noWrap/>
            <w:vAlign w:val="bottom"/>
            <w:hideMark/>
          </w:tcPr>
          <w:p w:rsidR="002E2072" w:rsidRPr="002E2072" w:rsidP="002E2072" w14:paraId="203DB4B3" w14:textId="77777777">
            <w:pPr>
              <w:jc w:val="right"/>
              <w:rPr>
                <w:rFonts w:ascii="Aptos Narrow" w:hAnsi="Aptos Narrow"/>
                <w:color w:val="000000"/>
                <w:sz w:val="22"/>
                <w:szCs w:val="22"/>
              </w:rPr>
            </w:pPr>
            <w:r w:rsidRPr="002E2072">
              <w:rPr>
                <w:rFonts w:ascii="Aptos Narrow" w:hAnsi="Aptos Narrow"/>
                <w:color w:val="000000"/>
                <w:sz w:val="22"/>
                <w:szCs w:val="22"/>
              </w:rPr>
              <w:t>7,301,837</w:t>
            </w:r>
          </w:p>
        </w:tc>
        <w:tc>
          <w:tcPr>
            <w:tcW w:w="2040" w:type="dxa"/>
            <w:noWrap/>
            <w:vAlign w:val="bottom"/>
            <w:hideMark/>
          </w:tcPr>
          <w:p w:rsidR="002E2072" w:rsidRPr="002E2072" w:rsidP="002E2072" w14:paraId="7A4A07B9" w14:textId="77777777">
            <w:pPr>
              <w:jc w:val="right"/>
              <w:rPr>
                <w:rFonts w:ascii="Aptos Narrow" w:hAnsi="Aptos Narrow"/>
                <w:color w:val="000000"/>
                <w:sz w:val="22"/>
                <w:szCs w:val="22"/>
              </w:rPr>
            </w:pPr>
            <w:r w:rsidRPr="002E2072">
              <w:rPr>
                <w:rFonts w:ascii="Aptos Narrow" w:hAnsi="Aptos Narrow"/>
                <w:color w:val="000000"/>
                <w:sz w:val="22"/>
                <w:szCs w:val="22"/>
              </w:rPr>
              <w:t>9,860,371</w:t>
            </w:r>
          </w:p>
        </w:tc>
        <w:tc>
          <w:tcPr>
            <w:tcW w:w="2700" w:type="dxa"/>
            <w:noWrap/>
            <w:vAlign w:val="bottom"/>
            <w:hideMark/>
          </w:tcPr>
          <w:p w:rsidR="002E2072" w:rsidRPr="002E2072" w:rsidP="002E2072" w14:paraId="0517361A" w14:textId="77777777">
            <w:pPr>
              <w:jc w:val="right"/>
              <w:rPr>
                <w:rFonts w:ascii="Aptos Narrow" w:hAnsi="Aptos Narrow"/>
                <w:color w:val="000000"/>
                <w:sz w:val="22"/>
                <w:szCs w:val="22"/>
              </w:rPr>
            </w:pPr>
            <w:r w:rsidRPr="002E2072">
              <w:rPr>
                <w:rFonts w:ascii="Aptos Narrow" w:hAnsi="Aptos Narrow"/>
                <w:color w:val="000000"/>
                <w:sz w:val="22"/>
                <w:szCs w:val="22"/>
              </w:rPr>
              <w:t>0.5</w:t>
            </w:r>
          </w:p>
        </w:tc>
        <w:tc>
          <w:tcPr>
            <w:tcW w:w="1640" w:type="dxa"/>
            <w:noWrap/>
            <w:vAlign w:val="bottom"/>
            <w:hideMark/>
          </w:tcPr>
          <w:p w:rsidR="002E2072" w:rsidRPr="002E2072" w:rsidP="002E2072" w14:paraId="66833A84" w14:textId="77777777">
            <w:pPr>
              <w:jc w:val="right"/>
              <w:rPr>
                <w:rFonts w:ascii="Aptos Narrow" w:hAnsi="Aptos Narrow"/>
                <w:color w:val="000000"/>
                <w:sz w:val="22"/>
                <w:szCs w:val="22"/>
              </w:rPr>
            </w:pPr>
            <w:r w:rsidRPr="002E2072">
              <w:rPr>
                <w:rFonts w:ascii="Aptos Narrow" w:hAnsi="Aptos Narrow"/>
                <w:color w:val="000000"/>
                <w:sz w:val="22"/>
                <w:szCs w:val="22"/>
              </w:rPr>
              <w:t>4,930,185</w:t>
            </w:r>
          </w:p>
        </w:tc>
      </w:tr>
      <w:tr w14:paraId="1596EF27" w14:textId="77777777" w:rsidTr="07225738">
        <w:tblPrEx>
          <w:tblW w:w="9580" w:type="dxa"/>
          <w:tblLook w:val="04A0"/>
        </w:tblPrEx>
        <w:trPr>
          <w:trHeight w:val="290"/>
        </w:trPr>
        <w:tc>
          <w:tcPr>
            <w:tcW w:w="960" w:type="dxa"/>
            <w:noWrap/>
            <w:vAlign w:val="bottom"/>
            <w:hideMark/>
          </w:tcPr>
          <w:p w:rsidR="002E2072" w:rsidRPr="002E2072" w:rsidP="002E2072" w14:paraId="75AEC2EB" w14:textId="77777777">
            <w:pPr>
              <w:rPr>
                <w:rFonts w:ascii="Aptos Narrow" w:hAnsi="Aptos Narrow"/>
                <w:color w:val="000000"/>
                <w:sz w:val="22"/>
                <w:szCs w:val="22"/>
              </w:rPr>
            </w:pPr>
            <w:r w:rsidRPr="002E2072">
              <w:rPr>
                <w:rFonts w:ascii="Aptos Narrow" w:hAnsi="Aptos Narrow"/>
                <w:color w:val="000000"/>
                <w:sz w:val="22"/>
                <w:szCs w:val="22"/>
              </w:rPr>
              <w:t>Public</w:t>
            </w:r>
          </w:p>
        </w:tc>
        <w:tc>
          <w:tcPr>
            <w:tcW w:w="2240" w:type="dxa"/>
            <w:noWrap/>
            <w:vAlign w:val="bottom"/>
            <w:hideMark/>
          </w:tcPr>
          <w:p w:rsidR="002E2072" w:rsidRPr="002E2072" w:rsidP="002E2072" w14:paraId="4C78B7F1" w14:textId="77777777">
            <w:pPr>
              <w:jc w:val="right"/>
              <w:rPr>
                <w:rFonts w:ascii="Aptos Narrow" w:hAnsi="Aptos Narrow"/>
                <w:color w:val="000000"/>
                <w:sz w:val="22"/>
                <w:szCs w:val="22"/>
              </w:rPr>
            </w:pPr>
            <w:r w:rsidRPr="002E2072">
              <w:rPr>
                <w:rFonts w:ascii="Aptos Narrow" w:hAnsi="Aptos Narrow"/>
                <w:color w:val="000000"/>
                <w:sz w:val="22"/>
                <w:szCs w:val="22"/>
              </w:rPr>
              <w:t>1,869</w:t>
            </w:r>
          </w:p>
        </w:tc>
        <w:tc>
          <w:tcPr>
            <w:tcW w:w="2040" w:type="dxa"/>
            <w:noWrap/>
            <w:vAlign w:val="bottom"/>
            <w:hideMark/>
          </w:tcPr>
          <w:p w:rsidR="002E2072" w:rsidRPr="002E2072" w:rsidP="002E2072" w14:paraId="4E357B15" w14:textId="77777777">
            <w:pPr>
              <w:jc w:val="right"/>
              <w:rPr>
                <w:rFonts w:ascii="Aptos Narrow" w:hAnsi="Aptos Narrow"/>
                <w:color w:val="000000"/>
                <w:sz w:val="22"/>
                <w:szCs w:val="22"/>
              </w:rPr>
            </w:pPr>
            <w:r w:rsidRPr="002E2072">
              <w:rPr>
                <w:rFonts w:ascii="Aptos Narrow" w:hAnsi="Aptos Narrow"/>
                <w:color w:val="000000"/>
                <w:sz w:val="22"/>
                <w:szCs w:val="22"/>
              </w:rPr>
              <w:t>1,869</w:t>
            </w:r>
          </w:p>
        </w:tc>
        <w:tc>
          <w:tcPr>
            <w:tcW w:w="2700" w:type="dxa"/>
            <w:noWrap/>
            <w:vAlign w:val="bottom"/>
            <w:hideMark/>
          </w:tcPr>
          <w:p w:rsidR="002E2072" w:rsidRPr="002E2072" w:rsidP="002E2072" w14:paraId="74BFA8FF" w14:textId="3EC60790">
            <w:pPr>
              <w:jc w:val="right"/>
              <w:rPr>
                <w:rFonts w:ascii="Aptos Narrow" w:hAnsi="Aptos Narrow"/>
                <w:color w:val="000000"/>
                <w:sz w:val="22"/>
                <w:szCs w:val="22"/>
              </w:rPr>
            </w:pPr>
            <w:r w:rsidRPr="07225738">
              <w:rPr>
                <w:rFonts w:ascii="Aptos Narrow" w:hAnsi="Aptos Narrow"/>
                <w:color w:val="000000" w:themeColor="text1"/>
                <w:sz w:val="22"/>
                <w:szCs w:val="22"/>
              </w:rPr>
              <w:t>0.</w:t>
            </w:r>
            <w:r w:rsidRPr="07225738" w:rsidR="2AB81A8B">
              <w:rPr>
                <w:rFonts w:ascii="Aptos Narrow" w:hAnsi="Aptos Narrow"/>
                <w:color w:val="000000" w:themeColor="text1"/>
                <w:sz w:val="22"/>
                <w:szCs w:val="22"/>
              </w:rPr>
              <w:t>17</w:t>
            </w:r>
          </w:p>
        </w:tc>
        <w:tc>
          <w:tcPr>
            <w:tcW w:w="1640" w:type="dxa"/>
            <w:noWrap/>
            <w:vAlign w:val="bottom"/>
            <w:hideMark/>
          </w:tcPr>
          <w:p w:rsidR="002E2072" w:rsidRPr="002E2072" w:rsidP="002E2072" w14:paraId="77C32CB4" w14:textId="77777777">
            <w:pPr>
              <w:jc w:val="right"/>
              <w:rPr>
                <w:rFonts w:ascii="Aptos Narrow" w:hAnsi="Aptos Narrow"/>
                <w:color w:val="000000"/>
                <w:sz w:val="22"/>
                <w:szCs w:val="22"/>
              </w:rPr>
            </w:pPr>
            <w:r w:rsidRPr="002E2072">
              <w:rPr>
                <w:rFonts w:ascii="Aptos Narrow" w:hAnsi="Aptos Narrow"/>
                <w:color w:val="000000"/>
                <w:sz w:val="22"/>
                <w:szCs w:val="22"/>
              </w:rPr>
              <w:t>318</w:t>
            </w:r>
          </w:p>
        </w:tc>
      </w:tr>
      <w:tr w14:paraId="168239B7" w14:textId="77777777" w:rsidTr="07225738">
        <w:tblPrEx>
          <w:tblW w:w="9580" w:type="dxa"/>
          <w:tblLook w:val="04A0"/>
        </w:tblPrEx>
        <w:trPr>
          <w:trHeight w:val="290"/>
        </w:trPr>
        <w:tc>
          <w:tcPr>
            <w:tcW w:w="960" w:type="dxa"/>
            <w:noWrap/>
            <w:vAlign w:val="bottom"/>
            <w:hideMark/>
          </w:tcPr>
          <w:p w:rsidR="002E2072" w:rsidRPr="002E2072" w:rsidP="002E2072" w14:paraId="5A616516" w14:textId="77777777">
            <w:pPr>
              <w:rPr>
                <w:rFonts w:ascii="Aptos Narrow" w:hAnsi="Aptos Narrow"/>
                <w:color w:val="000000"/>
                <w:sz w:val="22"/>
                <w:szCs w:val="22"/>
              </w:rPr>
            </w:pPr>
            <w:r w:rsidRPr="002E2072">
              <w:rPr>
                <w:rFonts w:ascii="Aptos Narrow" w:hAnsi="Aptos Narrow"/>
                <w:color w:val="000000"/>
                <w:sz w:val="22"/>
                <w:szCs w:val="22"/>
              </w:rPr>
              <w:t xml:space="preserve">Private </w:t>
            </w:r>
          </w:p>
        </w:tc>
        <w:tc>
          <w:tcPr>
            <w:tcW w:w="2240" w:type="dxa"/>
            <w:noWrap/>
            <w:vAlign w:val="bottom"/>
            <w:hideMark/>
          </w:tcPr>
          <w:p w:rsidR="002E2072" w:rsidRPr="002E2072" w:rsidP="002E2072" w14:paraId="656FE67D" w14:textId="77777777">
            <w:pPr>
              <w:jc w:val="right"/>
              <w:rPr>
                <w:rFonts w:ascii="Aptos Narrow" w:hAnsi="Aptos Narrow"/>
                <w:color w:val="000000"/>
                <w:sz w:val="22"/>
                <w:szCs w:val="22"/>
              </w:rPr>
            </w:pPr>
            <w:r w:rsidRPr="002E2072">
              <w:rPr>
                <w:rFonts w:ascii="Aptos Narrow" w:hAnsi="Aptos Narrow"/>
                <w:color w:val="000000"/>
                <w:sz w:val="22"/>
                <w:szCs w:val="22"/>
              </w:rPr>
              <w:t>1732</w:t>
            </w:r>
          </w:p>
        </w:tc>
        <w:tc>
          <w:tcPr>
            <w:tcW w:w="2040" w:type="dxa"/>
            <w:noWrap/>
            <w:vAlign w:val="bottom"/>
            <w:hideMark/>
          </w:tcPr>
          <w:p w:rsidR="002E2072" w:rsidRPr="002E2072" w:rsidP="002E2072" w14:paraId="10EA4006" w14:textId="77777777">
            <w:pPr>
              <w:jc w:val="right"/>
              <w:rPr>
                <w:rFonts w:ascii="Aptos Narrow" w:hAnsi="Aptos Narrow"/>
                <w:color w:val="000000"/>
                <w:sz w:val="22"/>
                <w:szCs w:val="22"/>
              </w:rPr>
            </w:pPr>
            <w:r w:rsidRPr="002E2072">
              <w:rPr>
                <w:rFonts w:ascii="Aptos Narrow" w:hAnsi="Aptos Narrow"/>
                <w:color w:val="000000"/>
                <w:sz w:val="22"/>
                <w:szCs w:val="22"/>
              </w:rPr>
              <w:t>436,740</w:t>
            </w:r>
          </w:p>
        </w:tc>
        <w:tc>
          <w:tcPr>
            <w:tcW w:w="2700" w:type="dxa"/>
            <w:noWrap/>
            <w:vAlign w:val="bottom"/>
            <w:hideMark/>
          </w:tcPr>
          <w:p w:rsidR="002E2072" w:rsidRPr="002E2072" w:rsidP="002E2072" w14:paraId="05A6EE44" w14:textId="2B298E9A">
            <w:pPr>
              <w:jc w:val="right"/>
              <w:rPr>
                <w:rFonts w:ascii="Aptos Narrow" w:hAnsi="Aptos Narrow"/>
                <w:color w:val="000000"/>
                <w:sz w:val="22"/>
                <w:szCs w:val="22"/>
              </w:rPr>
            </w:pPr>
            <w:r w:rsidRPr="07225738">
              <w:rPr>
                <w:rFonts w:ascii="Aptos Narrow" w:hAnsi="Aptos Narrow"/>
                <w:color w:val="000000" w:themeColor="text1"/>
                <w:sz w:val="22"/>
                <w:szCs w:val="22"/>
              </w:rPr>
              <w:t>0.</w:t>
            </w:r>
            <w:r w:rsidRPr="07225738" w:rsidR="65B5856F">
              <w:rPr>
                <w:rFonts w:ascii="Aptos Narrow" w:hAnsi="Aptos Narrow"/>
                <w:color w:val="000000" w:themeColor="text1"/>
                <w:sz w:val="22"/>
                <w:szCs w:val="22"/>
              </w:rPr>
              <w:t>17</w:t>
            </w:r>
          </w:p>
        </w:tc>
        <w:tc>
          <w:tcPr>
            <w:tcW w:w="1640" w:type="dxa"/>
            <w:noWrap/>
            <w:vAlign w:val="bottom"/>
            <w:hideMark/>
          </w:tcPr>
          <w:p w:rsidR="002E2072" w:rsidRPr="002E2072" w:rsidP="002E2072" w14:paraId="700F5023" w14:textId="77777777">
            <w:pPr>
              <w:jc w:val="right"/>
              <w:rPr>
                <w:rFonts w:ascii="Aptos Narrow" w:hAnsi="Aptos Narrow"/>
                <w:color w:val="000000"/>
                <w:sz w:val="22"/>
                <w:szCs w:val="22"/>
              </w:rPr>
            </w:pPr>
            <w:r w:rsidRPr="002E2072">
              <w:rPr>
                <w:rFonts w:ascii="Aptos Narrow" w:hAnsi="Aptos Narrow"/>
                <w:color w:val="000000"/>
                <w:sz w:val="22"/>
                <w:szCs w:val="22"/>
              </w:rPr>
              <w:t>74,246</w:t>
            </w:r>
          </w:p>
        </w:tc>
      </w:tr>
      <w:tr w14:paraId="72D2418E" w14:textId="77777777" w:rsidTr="07225738">
        <w:tblPrEx>
          <w:tblW w:w="9580" w:type="dxa"/>
          <w:tblLook w:val="04A0"/>
        </w:tblPrEx>
        <w:trPr>
          <w:trHeight w:val="290"/>
        </w:trPr>
        <w:tc>
          <w:tcPr>
            <w:tcW w:w="960" w:type="dxa"/>
            <w:noWrap/>
            <w:vAlign w:val="bottom"/>
            <w:hideMark/>
          </w:tcPr>
          <w:p w:rsidR="002E2072" w:rsidRPr="002E2072" w:rsidP="002E2072" w14:paraId="1CECE3A5" w14:textId="77777777">
            <w:pPr>
              <w:rPr>
                <w:rFonts w:ascii="Aptos Narrow" w:hAnsi="Aptos Narrow"/>
                <w:color w:val="000000"/>
                <w:sz w:val="22"/>
                <w:szCs w:val="22"/>
              </w:rPr>
            </w:pPr>
            <w:r w:rsidRPr="002E2072">
              <w:rPr>
                <w:rFonts w:ascii="Aptos Narrow" w:hAnsi="Aptos Narrow"/>
                <w:color w:val="000000"/>
                <w:sz w:val="22"/>
                <w:szCs w:val="22"/>
              </w:rPr>
              <w:t>For-Profit</w:t>
            </w:r>
          </w:p>
        </w:tc>
        <w:tc>
          <w:tcPr>
            <w:tcW w:w="2240" w:type="dxa"/>
            <w:noWrap/>
            <w:vAlign w:val="bottom"/>
            <w:hideMark/>
          </w:tcPr>
          <w:p w:rsidR="002E2072" w:rsidRPr="002E2072" w:rsidP="002E2072" w14:paraId="46E5F354" w14:textId="77777777">
            <w:pPr>
              <w:jc w:val="right"/>
              <w:rPr>
                <w:rFonts w:ascii="Aptos Narrow" w:hAnsi="Aptos Narrow"/>
                <w:color w:val="000000"/>
                <w:sz w:val="22"/>
                <w:szCs w:val="22"/>
              </w:rPr>
            </w:pPr>
            <w:r w:rsidRPr="002E2072">
              <w:rPr>
                <w:rFonts w:ascii="Aptos Narrow" w:hAnsi="Aptos Narrow"/>
                <w:color w:val="000000"/>
                <w:sz w:val="22"/>
                <w:szCs w:val="22"/>
              </w:rPr>
              <w:t>2083</w:t>
            </w:r>
          </w:p>
        </w:tc>
        <w:tc>
          <w:tcPr>
            <w:tcW w:w="2040" w:type="dxa"/>
            <w:noWrap/>
            <w:vAlign w:val="bottom"/>
            <w:hideMark/>
          </w:tcPr>
          <w:p w:rsidR="002E2072" w:rsidRPr="002E2072" w:rsidP="002E2072" w14:paraId="7EB4B4CE" w14:textId="77777777">
            <w:pPr>
              <w:jc w:val="right"/>
              <w:rPr>
                <w:rFonts w:ascii="Aptos Narrow" w:hAnsi="Aptos Narrow"/>
                <w:color w:val="000000"/>
                <w:sz w:val="22"/>
                <w:szCs w:val="22"/>
              </w:rPr>
            </w:pPr>
            <w:r w:rsidRPr="002E2072">
              <w:rPr>
                <w:rFonts w:ascii="Aptos Narrow" w:hAnsi="Aptos Narrow"/>
                <w:color w:val="000000"/>
                <w:sz w:val="22"/>
                <w:szCs w:val="22"/>
              </w:rPr>
              <w:t>2,123,863</w:t>
            </w:r>
          </w:p>
        </w:tc>
        <w:tc>
          <w:tcPr>
            <w:tcW w:w="2700" w:type="dxa"/>
            <w:noWrap/>
            <w:vAlign w:val="bottom"/>
            <w:hideMark/>
          </w:tcPr>
          <w:p w:rsidR="002E2072" w:rsidRPr="002E2072" w:rsidP="002E2072" w14:paraId="75893420" w14:textId="4576DC49">
            <w:pPr>
              <w:jc w:val="right"/>
              <w:rPr>
                <w:rFonts w:ascii="Aptos Narrow" w:hAnsi="Aptos Narrow"/>
                <w:color w:val="000000"/>
                <w:sz w:val="22"/>
                <w:szCs w:val="22"/>
              </w:rPr>
            </w:pPr>
            <w:r w:rsidRPr="07225738">
              <w:rPr>
                <w:rFonts w:ascii="Aptos Narrow" w:hAnsi="Aptos Narrow"/>
                <w:color w:val="000000" w:themeColor="text1"/>
                <w:sz w:val="22"/>
                <w:szCs w:val="22"/>
              </w:rPr>
              <w:t>0.</w:t>
            </w:r>
            <w:r w:rsidRPr="07225738" w:rsidR="68FECA85">
              <w:rPr>
                <w:rFonts w:ascii="Aptos Narrow" w:hAnsi="Aptos Narrow"/>
                <w:color w:val="000000" w:themeColor="text1"/>
                <w:sz w:val="22"/>
                <w:szCs w:val="22"/>
              </w:rPr>
              <w:t>17</w:t>
            </w:r>
          </w:p>
        </w:tc>
        <w:tc>
          <w:tcPr>
            <w:tcW w:w="1640" w:type="dxa"/>
            <w:noWrap/>
            <w:vAlign w:val="bottom"/>
            <w:hideMark/>
          </w:tcPr>
          <w:p w:rsidR="002E2072" w:rsidRPr="002E2072" w:rsidP="002E2072" w14:paraId="2BA1A20B" w14:textId="77777777">
            <w:pPr>
              <w:jc w:val="right"/>
              <w:rPr>
                <w:rFonts w:ascii="Aptos Narrow" w:hAnsi="Aptos Narrow"/>
                <w:color w:val="000000"/>
                <w:sz w:val="22"/>
                <w:szCs w:val="22"/>
              </w:rPr>
            </w:pPr>
            <w:r w:rsidRPr="002E2072">
              <w:rPr>
                <w:rFonts w:ascii="Aptos Narrow" w:hAnsi="Aptos Narrow"/>
                <w:color w:val="000000"/>
                <w:sz w:val="22"/>
                <w:szCs w:val="22"/>
              </w:rPr>
              <w:t>361,057</w:t>
            </w:r>
          </w:p>
        </w:tc>
      </w:tr>
      <w:tr w14:paraId="2314FE9F" w14:textId="77777777" w:rsidTr="07225738">
        <w:tblPrEx>
          <w:tblW w:w="9580" w:type="dxa"/>
          <w:tblLook w:val="04A0"/>
        </w:tblPrEx>
        <w:trPr>
          <w:trHeight w:val="290"/>
        </w:trPr>
        <w:tc>
          <w:tcPr>
            <w:tcW w:w="960" w:type="dxa"/>
            <w:noWrap/>
            <w:vAlign w:val="bottom"/>
            <w:hideMark/>
          </w:tcPr>
          <w:p w:rsidR="002E2072" w:rsidRPr="002E2072" w:rsidP="002E2072" w14:paraId="0729E252" w14:textId="77777777">
            <w:pPr>
              <w:jc w:val="right"/>
              <w:rPr>
                <w:rFonts w:ascii="Aptos Narrow" w:hAnsi="Aptos Narrow"/>
                <w:b/>
                <w:bCs/>
                <w:color w:val="000000"/>
                <w:sz w:val="22"/>
                <w:szCs w:val="22"/>
              </w:rPr>
            </w:pPr>
            <w:r w:rsidRPr="002E2072">
              <w:rPr>
                <w:rFonts w:ascii="Aptos Narrow" w:hAnsi="Aptos Narrow"/>
                <w:b/>
                <w:bCs/>
                <w:color w:val="000000"/>
                <w:sz w:val="22"/>
                <w:szCs w:val="22"/>
              </w:rPr>
              <w:t xml:space="preserve">Total </w:t>
            </w:r>
          </w:p>
        </w:tc>
        <w:tc>
          <w:tcPr>
            <w:tcW w:w="2240" w:type="dxa"/>
            <w:noWrap/>
            <w:vAlign w:val="bottom"/>
            <w:hideMark/>
          </w:tcPr>
          <w:p w:rsidR="002E2072" w:rsidRPr="002E2072" w:rsidP="002E2072" w14:paraId="6CDC0F78" w14:textId="77777777">
            <w:pPr>
              <w:jc w:val="right"/>
              <w:rPr>
                <w:rFonts w:ascii="Aptos Narrow" w:hAnsi="Aptos Narrow"/>
                <w:b/>
                <w:bCs/>
                <w:color w:val="000000"/>
                <w:sz w:val="22"/>
                <w:szCs w:val="22"/>
              </w:rPr>
            </w:pPr>
            <w:r w:rsidRPr="002E2072">
              <w:rPr>
                <w:rFonts w:ascii="Aptos Narrow" w:hAnsi="Aptos Narrow"/>
                <w:b/>
                <w:bCs/>
                <w:color w:val="000000"/>
                <w:sz w:val="22"/>
                <w:szCs w:val="22"/>
              </w:rPr>
              <w:t>7,307,463</w:t>
            </w:r>
          </w:p>
        </w:tc>
        <w:tc>
          <w:tcPr>
            <w:tcW w:w="2040" w:type="dxa"/>
            <w:noWrap/>
            <w:vAlign w:val="bottom"/>
            <w:hideMark/>
          </w:tcPr>
          <w:p w:rsidR="002E2072" w:rsidRPr="002E2072" w:rsidP="002E2072" w14:paraId="514A6AD3" w14:textId="77777777">
            <w:pPr>
              <w:jc w:val="right"/>
              <w:rPr>
                <w:rFonts w:ascii="Aptos Narrow" w:hAnsi="Aptos Narrow"/>
                <w:b/>
                <w:bCs/>
                <w:color w:val="000000"/>
                <w:sz w:val="22"/>
                <w:szCs w:val="22"/>
              </w:rPr>
            </w:pPr>
            <w:r w:rsidRPr="002E2072">
              <w:rPr>
                <w:rFonts w:ascii="Aptos Narrow" w:hAnsi="Aptos Narrow"/>
                <w:b/>
                <w:bCs/>
                <w:color w:val="000000"/>
                <w:sz w:val="22"/>
                <w:szCs w:val="22"/>
              </w:rPr>
              <w:t>12,422,843</w:t>
            </w:r>
          </w:p>
        </w:tc>
        <w:tc>
          <w:tcPr>
            <w:tcW w:w="2700" w:type="dxa"/>
            <w:noWrap/>
            <w:vAlign w:val="bottom"/>
            <w:hideMark/>
          </w:tcPr>
          <w:p w:rsidR="002E2072" w:rsidRPr="002E2072" w:rsidP="002E2072" w14:paraId="2EF100C9" w14:textId="77777777">
            <w:pPr>
              <w:jc w:val="right"/>
              <w:rPr>
                <w:rFonts w:ascii="Aptos Narrow" w:hAnsi="Aptos Narrow"/>
                <w:b/>
                <w:bCs/>
                <w:color w:val="000000"/>
                <w:sz w:val="22"/>
                <w:szCs w:val="22"/>
              </w:rPr>
            </w:pPr>
          </w:p>
        </w:tc>
        <w:tc>
          <w:tcPr>
            <w:tcW w:w="1640" w:type="dxa"/>
            <w:noWrap/>
            <w:vAlign w:val="bottom"/>
            <w:hideMark/>
          </w:tcPr>
          <w:p w:rsidR="002E2072" w:rsidRPr="002E2072" w:rsidP="002E2072" w14:paraId="6EB7FA94" w14:textId="77777777">
            <w:pPr>
              <w:jc w:val="right"/>
              <w:rPr>
                <w:rFonts w:ascii="Aptos Narrow" w:hAnsi="Aptos Narrow"/>
                <w:b/>
                <w:bCs/>
                <w:color w:val="000000"/>
                <w:sz w:val="22"/>
                <w:szCs w:val="22"/>
              </w:rPr>
            </w:pPr>
            <w:r w:rsidRPr="002E2072">
              <w:rPr>
                <w:rFonts w:ascii="Aptos Narrow" w:hAnsi="Aptos Narrow"/>
                <w:b/>
                <w:bCs/>
                <w:color w:val="000000"/>
                <w:sz w:val="22"/>
                <w:szCs w:val="22"/>
              </w:rPr>
              <w:t>5,365,806</w:t>
            </w:r>
          </w:p>
        </w:tc>
      </w:tr>
    </w:tbl>
    <w:p w:rsidR="002E2072" w:rsidRPr="002E2072" w:rsidP="002E2072" w14:paraId="7778E12A" w14:textId="77777777">
      <w:pPr>
        <w:spacing w:after="160" w:line="278" w:lineRule="auto"/>
        <w:rPr>
          <w:rFonts w:ascii="Aptos" w:eastAsia="Aptos" w:hAnsi="Aptos"/>
          <w:b/>
          <w:bCs/>
          <w:kern w:val="2"/>
          <w:szCs w:val="24"/>
          <w14:ligatures w14:val="standardContextual"/>
        </w:rPr>
      </w:pPr>
    </w:p>
    <w:p w:rsidR="002E2072" w:rsidRPr="002E2072" w:rsidP="002E2072" w14:paraId="73630C6E" w14:textId="77777777">
      <w:pPr>
        <w:spacing w:after="160" w:line="278" w:lineRule="auto"/>
        <w:jc w:val="center"/>
        <w:rPr>
          <w:rFonts w:ascii="Aptos" w:eastAsia="Aptos" w:hAnsi="Aptos"/>
          <w:kern w:val="2"/>
          <w:szCs w:val="24"/>
          <w14:ligatures w14:val="standardContextual"/>
        </w:rPr>
      </w:pPr>
      <w:r w:rsidRPr="002E2072">
        <w:rPr>
          <w:rFonts w:ascii="Aptos" w:eastAsia="Aptos" w:hAnsi="Aptos"/>
          <w:kern w:val="2"/>
          <w:szCs w:val="24"/>
          <w14:ligatures w14:val="standardContextual"/>
        </w:rPr>
        <w:t>Estimated Burden and Respondent Cost Table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742"/>
        <w:gridCol w:w="1323"/>
        <w:gridCol w:w="1440"/>
        <w:gridCol w:w="1350"/>
        <w:gridCol w:w="960"/>
        <w:gridCol w:w="1445"/>
      </w:tblGrid>
      <w:tr w14:paraId="5D0EA8D0" w14:textId="77777777" w:rsidTr="007C2AEB">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1070" w:type="dxa"/>
            <w:noWrap/>
            <w:vAlign w:val="bottom"/>
            <w:hideMark/>
          </w:tcPr>
          <w:p w:rsidR="002E2072" w:rsidRPr="002E2072" w:rsidP="002E2072" w14:paraId="39E0C1AF" w14:textId="77777777">
            <w:pPr>
              <w:rPr>
                <w:rFonts w:ascii="Aptos Narrow" w:hAnsi="Aptos Narrow"/>
                <w:color w:val="000000"/>
                <w:sz w:val="22"/>
                <w:szCs w:val="22"/>
              </w:rPr>
            </w:pPr>
            <w:r w:rsidRPr="002E2072">
              <w:rPr>
                <w:rFonts w:ascii="Aptos Narrow" w:hAnsi="Aptos Narrow"/>
                <w:color w:val="000000"/>
                <w:sz w:val="22"/>
                <w:szCs w:val="22"/>
              </w:rPr>
              <w:t>Entity</w:t>
            </w:r>
          </w:p>
        </w:tc>
        <w:tc>
          <w:tcPr>
            <w:tcW w:w="1742" w:type="dxa"/>
            <w:noWrap/>
            <w:vAlign w:val="bottom"/>
            <w:hideMark/>
          </w:tcPr>
          <w:p w:rsidR="002E2072" w:rsidRPr="002E2072" w:rsidP="002E2072" w14:paraId="7E733BCD" w14:textId="77777777">
            <w:pPr>
              <w:rPr>
                <w:rFonts w:ascii="Aptos Narrow" w:hAnsi="Aptos Narrow"/>
                <w:color w:val="000000"/>
                <w:sz w:val="22"/>
                <w:szCs w:val="22"/>
              </w:rPr>
            </w:pPr>
            <w:r w:rsidRPr="002E2072">
              <w:rPr>
                <w:rFonts w:ascii="Aptos Narrow" w:hAnsi="Aptos Narrow"/>
                <w:color w:val="000000"/>
                <w:sz w:val="22"/>
                <w:szCs w:val="22"/>
              </w:rPr>
              <w:t>Number of Respondents</w:t>
            </w:r>
          </w:p>
        </w:tc>
        <w:tc>
          <w:tcPr>
            <w:tcW w:w="1323" w:type="dxa"/>
            <w:noWrap/>
            <w:vAlign w:val="bottom"/>
            <w:hideMark/>
          </w:tcPr>
          <w:p w:rsidR="002E2072" w:rsidRPr="002E2072" w:rsidP="002E2072" w14:paraId="25CA1086" w14:textId="77777777">
            <w:pPr>
              <w:rPr>
                <w:rFonts w:ascii="Aptos Narrow" w:hAnsi="Aptos Narrow"/>
                <w:color w:val="000000"/>
                <w:sz w:val="22"/>
                <w:szCs w:val="22"/>
              </w:rPr>
            </w:pPr>
            <w:r w:rsidRPr="002E2072">
              <w:rPr>
                <w:rFonts w:ascii="Aptos Narrow" w:hAnsi="Aptos Narrow"/>
                <w:color w:val="000000"/>
                <w:sz w:val="22"/>
                <w:szCs w:val="22"/>
              </w:rPr>
              <w:t>Number of Responses</w:t>
            </w:r>
          </w:p>
        </w:tc>
        <w:tc>
          <w:tcPr>
            <w:tcW w:w="1440" w:type="dxa"/>
            <w:noWrap/>
            <w:vAlign w:val="bottom"/>
            <w:hideMark/>
          </w:tcPr>
          <w:p w:rsidR="002E2072" w:rsidRPr="002E2072" w:rsidP="002E2072" w14:paraId="53E8B1A1" w14:textId="77777777">
            <w:pPr>
              <w:rPr>
                <w:rFonts w:ascii="Aptos Narrow" w:hAnsi="Aptos Narrow"/>
                <w:color w:val="000000"/>
                <w:sz w:val="22"/>
                <w:szCs w:val="22"/>
              </w:rPr>
            </w:pPr>
            <w:r w:rsidRPr="002E2072">
              <w:rPr>
                <w:rFonts w:ascii="Aptos Narrow" w:hAnsi="Aptos Narrow"/>
                <w:color w:val="000000"/>
                <w:sz w:val="22"/>
                <w:szCs w:val="22"/>
              </w:rPr>
              <w:t>Burden Hours per response</w:t>
            </w:r>
          </w:p>
        </w:tc>
        <w:tc>
          <w:tcPr>
            <w:tcW w:w="1350" w:type="dxa"/>
            <w:noWrap/>
            <w:vAlign w:val="bottom"/>
            <w:hideMark/>
          </w:tcPr>
          <w:p w:rsidR="002E2072" w:rsidRPr="002E2072" w:rsidP="002E2072" w14:paraId="20F35C3C" w14:textId="77777777">
            <w:pPr>
              <w:rPr>
                <w:rFonts w:ascii="Aptos Narrow" w:hAnsi="Aptos Narrow"/>
                <w:color w:val="000000"/>
                <w:sz w:val="22"/>
                <w:szCs w:val="22"/>
              </w:rPr>
            </w:pPr>
            <w:r w:rsidRPr="002E2072">
              <w:rPr>
                <w:rFonts w:ascii="Aptos Narrow" w:hAnsi="Aptos Narrow"/>
                <w:color w:val="000000"/>
                <w:sz w:val="22"/>
                <w:szCs w:val="22"/>
              </w:rPr>
              <w:t>Total Burden hours</w:t>
            </w:r>
          </w:p>
        </w:tc>
        <w:tc>
          <w:tcPr>
            <w:tcW w:w="1350" w:type="dxa"/>
          </w:tcPr>
          <w:p w:rsidR="002E2072" w:rsidRPr="002E2072" w:rsidP="002E2072" w14:paraId="33262F1B" w14:textId="77777777">
            <w:pPr>
              <w:rPr>
                <w:rFonts w:ascii="Aptos Narrow" w:hAnsi="Aptos Narrow"/>
                <w:color w:val="000000"/>
                <w:sz w:val="22"/>
                <w:szCs w:val="22"/>
              </w:rPr>
            </w:pPr>
            <w:r w:rsidRPr="002E2072">
              <w:rPr>
                <w:rFonts w:ascii="Aptos Narrow" w:hAnsi="Aptos Narrow"/>
                <w:color w:val="000000"/>
                <w:sz w:val="22"/>
                <w:szCs w:val="22"/>
              </w:rPr>
              <w:t>Hourly Wage</w:t>
            </w:r>
          </w:p>
        </w:tc>
        <w:tc>
          <w:tcPr>
            <w:tcW w:w="1075" w:type="dxa"/>
          </w:tcPr>
          <w:p w:rsidR="002E2072" w:rsidRPr="002E2072" w:rsidP="002E2072" w14:paraId="5AE9F952" w14:textId="77777777">
            <w:pPr>
              <w:rPr>
                <w:rFonts w:ascii="Aptos Narrow" w:hAnsi="Aptos Narrow"/>
                <w:color w:val="000000"/>
                <w:sz w:val="22"/>
                <w:szCs w:val="22"/>
              </w:rPr>
            </w:pPr>
            <w:r w:rsidRPr="002E2072">
              <w:rPr>
                <w:rFonts w:ascii="Aptos Narrow" w:hAnsi="Aptos Narrow"/>
                <w:color w:val="000000"/>
                <w:sz w:val="22"/>
                <w:szCs w:val="22"/>
              </w:rPr>
              <w:t>Costs</w:t>
            </w:r>
          </w:p>
        </w:tc>
      </w:tr>
      <w:tr w14:paraId="625E5DE1" w14:textId="77777777" w:rsidTr="007C2AEB">
        <w:tblPrEx>
          <w:tblW w:w="9350" w:type="dxa"/>
          <w:tblLook w:val="04A0"/>
        </w:tblPrEx>
        <w:trPr>
          <w:trHeight w:val="290"/>
        </w:trPr>
        <w:tc>
          <w:tcPr>
            <w:tcW w:w="1070" w:type="dxa"/>
            <w:noWrap/>
            <w:vAlign w:val="bottom"/>
            <w:hideMark/>
          </w:tcPr>
          <w:p w:rsidR="002E2072" w:rsidRPr="002E2072" w:rsidP="002E2072" w14:paraId="166F0E3B" w14:textId="77777777">
            <w:pPr>
              <w:rPr>
                <w:rFonts w:ascii="Aptos Narrow" w:hAnsi="Aptos Narrow"/>
                <w:color w:val="000000"/>
                <w:sz w:val="22"/>
                <w:szCs w:val="22"/>
              </w:rPr>
            </w:pPr>
            <w:r w:rsidRPr="002E2072">
              <w:rPr>
                <w:rFonts w:ascii="Aptos Narrow" w:hAnsi="Aptos Narrow"/>
                <w:color w:val="000000"/>
                <w:sz w:val="22"/>
                <w:szCs w:val="22"/>
              </w:rPr>
              <w:t>Individual</w:t>
            </w:r>
          </w:p>
        </w:tc>
        <w:tc>
          <w:tcPr>
            <w:tcW w:w="1742" w:type="dxa"/>
            <w:noWrap/>
            <w:vAlign w:val="bottom"/>
            <w:hideMark/>
          </w:tcPr>
          <w:p w:rsidR="002E2072" w:rsidRPr="002E2072" w:rsidP="002E2072" w14:paraId="3D8198AB" w14:textId="77777777">
            <w:pPr>
              <w:jc w:val="right"/>
              <w:rPr>
                <w:rFonts w:ascii="Aptos Narrow" w:hAnsi="Aptos Narrow"/>
                <w:color w:val="000000"/>
                <w:sz w:val="22"/>
                <w:szCs w:val="22"/>
              </w:rPr>
            </w:pPr>
            <w:r w:rsidRPr="002E2072">
              <w:rPr>
                <w:rFonts w:ascii="Aptos Narrow" w:hAnsi="Aptos Narrow"/>
                <w:color w:val="000000"/>
                <w:sz w:val="22"/>
                <w:szCs w:val="22"/>
              </w:rPr>
              <w:t>7,301,837</w:t>
            </w:r>
          </w:p>
        </w:tc>
        <w:tc>
          <w:tcPr>
            <w:tcW w:w="1323" w:type="dxa"/>
            <w:noWrap/>
            <w:vAlign w:val="bottom"/>
            <w:hideMark/>
          </w:tcPr>
          <w:p w:rsidR="002E2072" w:rsidRPr="002E2072" w:rsidP="002E2072" w14:paraId="2FCAAA8B" w14:textId="77777777">
            <w:pPr>
              <w:jc w:val="right"/>
              <w:rPr>
                <w:rFonts w:ascii="Aptos Narrow" w:hAnsi="Aptos Narrow"/>
                <w:color w:val="000000"/>
                <w:sz w:val="22"/>
                <w:szCs w:val="22"/>
              </w:rPr>
            </w:pPr>
            <w:r w:rsidRPr="002E2072">
              <w:rPr>
                <w:rFonts w:ascii="Aptos Narrow" w:hAnsi="Aptos Narrow"/>
                <w:color w:val="000000"/>
                <w:sz w:val="22"/>
                <w:szCs w:val="22"/>
              </w:rPr>
              <w:t>9,860,371</w:t>
            </w:r>
          </w:p>
        </w:tc>
        <w:tc>
          <w:tcPr>
            <w:tcW w:w="1440" w:type="dxa"/>
            <w:noWrap/>
            <w:vAlign w:val="bottom"/>
            <w:hideMark/>
          </w:tcPr>
          <w:p w:rsidR="002E2072" w:rsidRPr="002E2072" w:rsidP="002E2072" w14:paraId="0CFD68D9" w14:textId="77777777">
            <w:pPr>
              <w:jc w:val="right"/>
              <w:rPr>
                <w:rFonts w:ascii="Aptos Narrow" w:hAnsi="Aptos Narrow"/>
                <w:color w:val="000000"/>
                <w:sz w:val="22"/>
                <w:szCs w:val="22"/>
              </w:rPr>
            </w:pPr>
            <w:r w:rsidRPr="002E2072">
              <w:rPr>
                <w:rFonts w:ascii="Aptos Narrow" w:hAnsi="Aptos Narrow"/>
                <w:color w:val="000000"/>
                <w:sz w:val="22"/>
                <w:szCs w:val="22"/>
              </w:rPr>
              <w:t>0.5</w:t>
            </w:r>
          </w:p>
        </w:tc>
        <w:tc>
          <w:tcPr>
            <w:tcW w:w="1350" w:type="dxa"/>
            <w:noWrap/>
            <w:vAlign w:val="bottom"/>
            <w:hideMark/>
          </w:tcPr>
          <w:p w:rsidR="002E2072" w:rsidRPr="002E2072" w:rsidP="002E2072" w14:paraId="70ABF1D8" w14:textId="77777777">
            <w:pPr>
              <w:jc w:val="right"/>
              <w:rPr>
                <w:rFonts w:ascii="Aptos Narrow" w:hAnsi="Aptos Narrow"/>
                <w:color w:val="000000"/>
                <w:sz w:val="22"/>
                <w:szCs w:val="22"/>
              </w:rPr>
            </w:pPr>
            <w:r w:rsidRPr="002E2072">
              <w:rPr>
                <w:rFonts w:ascii="Aptos Narrow" w:hAnsi="Aptos Narrow"/>
                <w:color w:val="000000"/>
                <w:sz w:val="22"/>
                <w:szCs w:val="22"/>
              </w:rPr>
              <w:t>4,930,185</w:t>
            </w:r>
          </w:p>
        </w:tc>
        <w:tc>
          <w:tcPr>
            <w:tcW w:w="1350" w:type="dxa"/>
          </w:tcPr>
          <w:p w:rsidR="002E2072" w:rsidRPr="002E2072" w:rsidP="002E2072" w14:paraId="0F69E156" w14:textId="77777777">
            <w:pPr>
              <w:jc w:val="right"/>
              <w:rPr>
                <w:rFonts w:ascii="Aptos Narrow" w:hAnsi="Aptos Narrow"/>
                <w:color w:val="000000"/>
                <w:sz w:val="22"/>
                <w:szCs w:val="22"/>
              </w:rPr>
            </w:pPr>
            <w:r w:rsidRPr="002E2072">
              <w:rPr>
                <w:rFonts w:ascii="Aptos Narrow" w:hAnsi="Aptos Narrow"/>
                <w:color w:val="000000"/>
                <w:sz w:val="22"/>
                <w:szCs w:val="22"/>
              </w:rPr>
              <w:t>$23.80</w:t>
            </w:r>
          </w:p>
        </w:tc>
        <w:tc>
          <w:tcPr>
            <w:tcW w:w="1075" w:type="dxa"/>
          </w:tcPr>
          <w:p w:rsidR="002E2072" w:rsidRPr="002E2072" w:rsidP="002E2072" w14:paraId="6BF64913" w14:textId="77777777">
            <w:pPr>
              <w:jc w:val="right"/>
              <w:rPr>
                <w:rFonts w:ascii="Aptos Narrow" w:hAnsi="Aptos Narrow"/>
                <w:color w:val="000000"/>
                <w:sz w:val="22"/>
                <w:szCs w:val="22"/>
              </w:rPr>
            </w:pPr>
            <w:r w:rsidRPr="002E2072">
              <w:rPr>
                <w:rFonts w:ascii="Aptos Narrow" w:hAnsi="Aptos Narrow"/>
                <w:color w:val="000000"/>
                <w:sz w:val="22"/>
                <w:szCs w:val="22"/>
              </w:rPr>
              <w:t>$117,338,403</w:t>
            </w:r>
          </w:p>
        </w:tc>
      </w:tr>
      <w:tr w14:paraId="1E170A03" w14:textId="77777777" w:rsidTr="007C2AEB">
        <w:tblPrEx>
          <w:tblW w:w="9350" w:type="dxa"/>
          <w:tblLook w:val="04A0"/>
        </w:tblPrEx>
        <w:trPr>
          <w:trHeight w:val="290"/>
        </w:trPr>
        <w:tc>
          <w:tcPr>
            <w:tcW w:w="1070" w:type="dxa"/>
            <w:noWrap/>
            <w:vAlign w:val="bottom"/>
            <w:hideMark/>
          </w:tcPr>
          <w:p w:rsidR="002E2072" w:rsidRPr="002E2072" w:rsidP="002E2072" w14:paraId="594463DE" w14:textId="77777777">
            <w:pPr>
              <w:rPr>
                <w:rFonts w:ascii="Aptos Narrow" w:hAnsi="Aptos Narrow"/>
                <w:color w:val="000000"/>
                <w:sz w:val="22"/>
                <w:szCs w:val="22"/>
              </w:rPr>
            </w:pPr>
            <w:r w:rsidRPr="002E2072">
              <w:rPr>
                <w:rFonts w:ascii="Aptos Narrow" w:hAnsi="Aptos Narrow"/>
                <w:color w:val="000000"/>
                <w:sz w:val="22"/>
                <w:szCs w:val="22"/>
              </w:rPr>
              <w:t>Public</w:t>
            </w:r>
          </w:p>
        </w:tc>
        <w:tc>
          <w:tcPr>
            <w:tcW w:w="1742" w:type="dxa"/>
            <w:noWrap/>
            <w:vAlign w:val="bottom"/>
            <w:hideMark/>
          </w:tcPr>
          <w:p w:rsidR="002E2072" w:rsidRPr="002E2072" w:rsidP="002E2072" w14:paraId="2FB82167" w14:textId="77777777">
            <w:pPr>
              <w:jc w:val="right"/>
              <w:rPr>
                <w:rFonts w:ascii="Aptos Narrow" w:hAnsi="Aptos Narrow"/>
                <w:color w:val="000000"/>
                <w:sz w:val="22"/>
                <w:szCs w:val="22"/>
              </w:rPr>
            </w:pPr>
            <w:r w:rsidRPr="002E2072">
              <w:rPr>
                <w:rFonts w:ascii="Aptos Narrow" w:hAnsi="Aptos Narrow"/>
                <w:color w:val="000000"/>
                <w:sz w:val="22"/>
                <w:szCs w:val="22"/>
              </w:rPr>
              <w:t>1,869</w:t>
            </w:r>
          </w:p>
        </w:tc>
        <w:tc>
          <w:tcPr>
            <w:tcW w:w="1323" w:type="dxa"/>
            <w:noWrap/>
            <w:vAlign w:val="bottom"/>
            <w:hideMark/>
          </w:tcPr>
          <w:p w:rsidR="002E2072" w:rsidRPr="002E2072" w:rsidP="002E2072" w14:paraId="45E63985" w14:textId="77777777">
            <w:pPr>
              <w:jc w:val="right"/>
              <w:rPr>
                <w:rFonts w:ascii="Aptos Narrow" w:hAnsi="Aptos Narrow"/>
                <w:color w:val="000000"/>
                <w:sz w:val="22"/>
                <w:szCs w:val="22"/>
              </w:rPr>
            </w:pPr>
            <w:r w:rsidRPr="002E2072">
              <w:rPr>
                <w:rFonts w:ascii="Aptos Narrow" w:hAnsi="Aptos Narrow"/>
                <w:color w:val="000000"/>
                <w:sz w:val="22"/>
                <w:szCs w:val="22"/>
              </w:rPr>
              <w:t>1,869</w:t>
            </w:r>
          </w:p>
        </w:tc>
        <w:tc>
          <w:tcPr>
            <w:tcW w:w="1440" w:type="dxa"/>
            <w:noWrap/>
            <w:vAlign w:val="bottom"/>
            <w:hideMark/>
          </w:tcPr>
          <w:p w:rsidR="002E2072" w:rsidRPr="002E2072" w:rsidP="002E2072" w14:paraId="2C3979A3" w14:textId="77777777">
            <w:pPr>
              <w:jc w:val="right"/>
              <w:rPr>
                <w:rFonts w:ascii="Aptos Narrow" w:hAnsi="Aptos Narrow"/>
                <w:color w:val="000000"/>
                <w:sz w:val="22"/>
                <w:szCs w:val="22"/>
              </w:rPr>
            </w:pPr>
            <w:r w:rsidRPr="002E2072">
              <w:rPr>
                <w:rFonts w:ascii="Aptos Narrow" w:hAnsi="Aptos Narrow"/>
                <w:color w:val="000000"/>
                <w:sz w:val="22"/>
                <w:szCs w:val="22"/>
              </w:rPr>
              <w:t>0.17</w:t>
            </w:r>
          </w:p>
        </w:tc>
        <w:tc>
          <w:tcPr>
            <w:tcW w:w="1350" w:type="dxa"/>
            <w:noWrap/>
            <w:vAlign w:val="bottom"/>
            <w:hideMark/>
          </w:tcPr>
          <w:p w:rsidR="002E2072" w:rsidRPr="002E2072" w:rsidP="002E2072" w14:paraId="33FC1F48" w14:textId="77777777">
            <w:pPr>
              <w:jc w:val="right"/>
              <w:rPr>
                <w:rFonts w:ascii="Aptos Narrow" w:hAnsi="Aptos Narrow"/>
                <w:color w:val="000000"/>
                <w:sz w:val="22"/>
                <w:szCs w:val="22"/>
              </w:rPr>
            </w:pPr>
            <w:r w:rsidRPr="002E2072">
              <w:rPr>
                <w:rFonts w:ascii="Aptos Narrow" w:hAnsi="Aptos Narrow"/>
                <w:color w:val="000000"/>
                <w:sz w:val="22"/>
                <w:szCs w:val="22"/>
              </w:rPr>
              <w:t>935</w:t>
            </w:r>
          </w:p>
        </w:tc>
        <w:tc>
          <w:tcPr>
            <w:tcW w:w="1350" w:type="dxa"/>
          </w:tcPr>
          <w:p w:rsidR="002E2072" w:rsidRPr="002E2072" w:rsidP="002E2072" w14:paraId="6A48E86B" w14:textId="77777777">
            <w:pPr>
              <w:jc w:val="right"/>
              <w:rPr>
                <w:rFonts w:ascii="Aptos Narrow" w:hAnsi="Aptos Narrow"/>
                <w:color w:val="000000"/>
                <w:sz w:val="22"/>
                <w:szCs w:val="22"/>
              </w:rPr>
            </w:pPr>
            <w:r w:rsidRPr="002E2072">
              <w:rPr>
                <w:rFonts w:ascii="Aptos Narrow" w:hAnsi="Aptos Narrow"/>
                <w:color w:val="000000"/>
                <w:sz w:val="22"/>
                <w:szCs w:val="22"/>
              </w:rPr>
              <w:t>$49.98</w:t>
            </w:r>
          </w:p>
        </w:tc>
        <w:tc>
          <w:tcPr>
            <w:tcW w:w="1075" w:type="dxa"/>
          </w:tcPr>
          <w:p w:rsidR="002E2072" w:rsidRPr="002E2072" w:rsidP="002E2072" w14:paraId="0A0933DB" w14:textId="77777777">
            <w:pPr>
              <w:jc w:val="right"/>
              <w:rPr>
                <w:rFonts w:ascii="Aptos Narrow" w:hAnsi="Aptos Narrow"/>
                <w:color w:val="000000"/>
                <w:sz w:val="22"/>
                <w:szCs w:val="22"/>
              </w:rPr>
            </w:pPr>
            <w:r w:rsidRPr="002E2072">
              <w:rPr>
                <w:rFonts w:ascii="Aptos Narrow" w:hAnsi="Aptos Narrow"/>
                <w:color w:val="000000"/>
                <w:sz w:val="22"/>
                <w:szCs w:val="22"/>
              </w:rPr>
              <w:t>$46,731</w:t>
            </w:r>
          </w:p>
        </w:tc>
      </w:tr>
      <w:tr w14:paraId="70ABDCAA" w14:textId="77777777" w:rsidTr="007C2AEB">
        <w:tblPrEx>
          <w:tblW w:w="9350" w:type="dxa"/>
          <w:tblLook w:val="04A0"/>
        </w:tblPrEx>
        <w:trPr>
          <w:trHeight w:val="290"/>
        </w:trPr>
        <w:tc>
          <w:tcPr>
            <w:tcW w:w="1070" w:type="dxa"/>
            <w:noWrap/>
            <w:vAlign w:val="bottom"/>
            <w:hideMark/>
          </w:tcPr>
          <w:p w:rsidR="002E2072" w:rsidRPr="002E2072" w:rsidP="002E2072" w14:paraId="74E7EA6E" w14:textId="77777777">
            <w:pPr>
              <w:rPr>
                <w:rFonts w:ascii="Aptos Narrow" w:hAnsi="Aptos Narrow"/>
                <w:color w:val="000000"/>
                <w:sz w:val="22"/>
                <w:szCs w:val="22"/>
              </w:rPr>
            </w:pPr>
            <w:r w:rsidRPr="002E2072">
              <w:rPr>
                <w:rFonts w:ascii="Aptos Narrow" w:hAnsi="Aptos Narrow"/>
                <w:color w:val="000000"/>
                <w:sz w:val="22"/>
                <w:szCs w:val="22"/>
              </w:rPr>
              <w:t xml:space="preserve">Private </w:t>
            </w:r>
          </w:p>
        </w:tc>
        <w:tc>
          <w:tcPr>
            <w:tcW w:w="1742" w:type="dxa"/>
            <w:noWrap/>
            <w:vAlign w:val="bottom"/>
            <w:hideMark/>
          </w:tcPr>
          <w:p w:rsidR="002E2072" w:rsidRPr="002E2072" w:rsidP="002E2072" w14:paraId="001979E6" w14:textId="77777777">
            <w:pPr>
              <w:jc w:val="right"/>
              <w:rPr>
                <w:rFonts w:ascii="Aptos Narrow" w:hAnsi="Aptos Narrow"/>
                <w:color w:val="000000"/>
                <w:sz w:val="22"/>
                <w:szCs w:val="22"/>
              </w:rPr>
            </w:pPr>
            <w:r w:rsidRPr="002E2072">
              <w:rPr>
                <w:rFonts w:ascii="Aptos Narrow" w:hAnsi="Aptos Narrow"/>
                <w:color w:val="000000"/>
                <w:sz w:val="22"/>
                <w:szCs w:val="22"/>
              </w:rPr>
              <w:t>1,732</w:t>
            </w:r>
          </w:p>
        </w:tc>
        <w:tc>
          <w:tcPr>
            <w:tcW w:w="1323" w:type="dxa"/>
            <w:noWrap/>
            <w:vAlign w:val="bottom"/>
            <w:hideMark/>
          </w:tcPr>
          <w:p w:rsidR="002E2072" w:rsidRPr="002E2072" w:rsidP="002E2072" w14:paraId="6C660A73" w14:textId="77777777">
            <w:pPr>
              <w:jc w:val="right"/>
              <w:rPr>
                <w:rFonts w:ascii="Aptos Narrow" w:hAnsi="Aptos Narrow"/>
                <w:color w:val="000000"/>
                <w:sz w:val="22"/>
                <w:szCs w:val="22"/>
              </w:rPr>
            </w:pPr>
            <w:r w:rsidRPr="002E2072">
              <w:rPr>
                <w:rFonts w:ascii="Aptos Narrow" w:hAnsi="Aptos Narrow"/>
                <w:color w:val="000000"/>
                <w:sz w:val="22"/>
                <w:szCs w:val="22"/>
              </w:rPr>
              <w:t>436,740</w:t>
            </w:r>
          </w:p>
        </w:tc>
        <w:tc>
          <w:tcPr>
            <w:tcW w:w="1440" w:type="dxa"/>
            <w:noWrap/>
            <w:vAlign w:val="bottom"/>
            <w:hideMark/>
          </w:tcPr>
          <w:p w:rsidR="002E2072" w:rsidRPr="002E2072" w:rsidP="002E2072" w14:paraId="21ABC9D4" w14:textId="77777777">
            <w:pPr>
              <w:jc w:val="right"/>
              <w:rPr>
                <w:rFonts w:ascii="Aptos Narrow" w:hAnsi="Aptos Narrow"/>
                <w:color w:val="000000"/>
                <w:sz w:val="22"/>
                <w:szCs w:val="22"/>
              </w:rPr>
            </w:pPr>
            <w:r w:rsidRPr="002E2072">
              <w:rPr>
                <w:rFonts w:ascii="Aptos Narrow" w:hAnsi="Aptos Narrow"/>
                <w:color w:val="000000"/>
                <w:sz w:val="22"/>
                <w:szCs w:val="22"/>
              </w:rPr>
              <w:t>0.17</w:t>
            </w:r>
          </w:p>
        </w:tc>
        <w:tc>
          <w:tcPr>
            <w:tcW w:w="1350" w:type="dxa"/>
            <w:noWrap/>
            <w:vAlign w:val="bottom"/>
            <w:hideMark/>
          </w:tcPr>
          <w:p w:rsidR="002E2072" w:rsidRPr="002E2072" w:rsidP="002E2072" w14:paraId="566A886E" w14:textId="77777777">
            <w:pPr>
              <w:jc w:val="right"/>
              <w:rPr>
                <w:rFonts w:ascii="Aptos Narrow" w:hAnsi="Aptos Narrow"/>
                <w:color w:val="000000"/>
                <w:sz w:val="22"/>
                <w:szCs w:val="22"/>
              </w:rPr>
            </w:pPr>
            <w:r w:rsidRPr="002E2072">
              <w:rPr>
                <w:rFonts w:ascii="Aptos Narrow" w:hAnsi="Aptos Narrow"/>
                <w:color w:val="000000"/>
                <w:sz w:val="22"/>
                <w:szCs w:val="22"/>
              </w:rPr>
              <w:t>218,370</w:t>
            </w:r>
          </w:p>
        </w:tc>
        <w:tc>
          <w:tcPr>
            <w:tcW w:w="1350" w:type="dxa"/>
          </w:tcPr>
          <w:p w:rsidR="002E2072" w:rsidRPr="002E2072" w:rsidP="002E2072" w14:paraId="5000C990" w14:textId="77777777">
            <w:pPr>
              <w:jc w:val="right"/>
              <w:rPr>
                <w:rFonts w:ascii="Aptos Narrow" w:hAnsi="Aptos Narrow"/>
                <w:color w:val="000000"/>
                <w:sz w:val="22"/>
                <w:szCs w:val="22"/>
              </w:rPr>
            </w:pPr>
            <w:r w:rsidRPr="002E2072">
              <w:rPr>
                <w:rFonts w:ascii="Aptos Narrow" w:hAnsi="Aptos Narrow"/>
                <w:color w:val="000000"/>
                <w:sz w:val="22"/>
                <w:szCs w:val="22"/>
              </w:rPr>
              <w:t>$49.98</w:t>
            </w:r>
          </w:p>
        </w:tc>
        <w:tc>
          <w:tcPr>
            <w:tcW w:w="1075" w:type="dxa"/>
          </w:tcPr>
          <w:p w:rsidR="002E2072" w:rsidRPr="002E2072" w:rsidP="002E2072" w14:paraId="49417ED7" w14:textId="77777777">
            <w:pPr>
              <w:jc w:val="right"/>
              <w:rPr>
                <w:rFonts w:ascii="Aptos Narrow" w:hAnsi="Aptos Narrow"/>
                <w:color w:val="000000"/>
                <w:sz w:val="22"/>
                <w:szCs w:val="22"/>
              </w:rPr>
            </w:pPr>
            <w:r w:rsidRPr="002E2072">
              <w:rPr>
                <w:rFonts w:ascii="Aptos Narrow" w:hAnsi="Aptos Narrow"/>
                <w:color w:val="000000"/>
                <w:sz w:val="22"/>
                <w:szCs w:val="22"/>
              </w:rPr>
              <w:t>$10,914,133</w:t>
            </w:r>
          </w:p>
        </w:tc>
      </w:tr>
      <w:tr w14:paraId="14FAAB01" w14:textId="77777777" w:rsidTr="007C2AEB">
        <w:tblPrEx>
          <w:tblW w:w="9350" w:type="dxa"/>
          <w:tblLook w:val="04A0"/>
        </w:tblPrEx>
        <w:trPr>
          <w:trHeight w:val="290"/>
        </w:trPr>
        <w:tc>
          <w:tcPr>
            <w:tcW w:w="1070" w:type="dxa"/>
            <w:noWrap/>
            <w:vAlign w:val="bottom"/>
            <w:hideMark/>
          </w:tcPr>
          <w:p w:rsidR="002E2072" w:rsidRPr="002E2072" w:rsidP="002E2072" w14:paraId="0C3D4871" w14:textId="77777777">
            <w:pPr>
              <w:rPr>
                <w:rFonts w:ascii="Aptos Narrow" w:hAnsi="Aptos Narrow"/>
                <w:color w:val="000000"/>
                <w:sz w:val="22"/>
                <w:szCs w:val="22"/>
              </w:rPr>
            </w:pPr>
            <w:r w:rsidRPr="002E2072">
              <w:rPr>
                <w:rFonts w:ascii="Aptos Narrow" w:hAnsi="Aptos Narrow"/>
                <w:color w:val="000000"/>
                <w:sz w:val="22"/>
                <w:szCs w:val="22"/>
              </w:rPr>
              <w:t>For-Profit</w:t>
            </w:r>
          </w:p>
        </w:tc>
        <w:tc>
          <w:tcPr>
            <w:tcW w:w="1742" w:type="dxa"/>
            <w:noWrap/>
            <w:vAlign w:val="bottom"/>
            <w:hideMark/>
          </w:tcPr>
          <w:p w:rsidR="002E2072" w:rsidRPr="002E2072" w:rsidP="002E2072" w14:paraId="2610D312" w14:textId="77777777">
            <w:pPr>
              <w:jc w:val="right"/>
              <w:rPr>
                <w:rFonts w:ascii="Aptos Narrow" w:hAnsi="Aptos Narrow"/>
                <w:color w:val="000000"/>
                <w:sz w:val="22"/>
                <w:szCs w:val="22"/>
              </w:rPr>
            </w:pPr>
            <w:r w:rsidRPr="002E2072">
              <w:rPr>
                <w:rFonts w:ascii="Aptos Narrow" w:hAnsi="Aptos Narrow"/>
                <w:color w:val="000000"/>
                <w:sz w:val="22"/>
                <w:szCs w:val="22"/>
              </w:rPr>
              <w:t>2,362</w:t>
            </w:r>
          </w:p>
        </w:tc>
        <w:tc>
          <w:tcPr>
            <w:tcW w:w="1323" w:type="dxa"/>
            <w:noWrap/>
            <w:vAlign w:val="bottom"/>
            <w:hideMark/>
          </w:tcPr>
          <w:p w:rsidR="002E2072" w:rsidRPr="002E2072" w:rsidP="002E2072" w14:paraId="6E7E1FF8" w14:textId="77777777">
            <w:pPr>
              <w:jc w:val="right"/>
              <w:rPr>
                <w:rFonts w:ascii="Aptos Narrow" w:hAnsi="Aptos Narrow"/>
                <w:color w:val="000000"/>
                <w:sz w:val="22"/>
                <w:szCs w:val="22"/>
              </w:rPr>
            </w:pPr>
            <w:r w:rsidRPr="002E2072">
              <w:rPr>
                <w:rFonts w:ascii="Aptos Narrow" w:hAnsi="Aptos Narrow"/>
                <w:color w:val="000000"/>
                <w:sz w:val="22"/>
                <w:szCs w:val="22"/>
              </w:rPr>
              <w:t>2,123,863</w:t>
            </w:r>
          </w:p>
        </w:tc>
        <w:tc>
          <w:tcPr>
            <w:tcW w:w="1440" w:type="dxa"/>
            <w:noWrap/>
            <w:vAlign w:val="bottom"/>
            <w:hideMark/>
          </w:tcPr>
          <w:p w:rsidR="002E2072" w:rsidRPr="002E2072" w:rsidP="002E2072" w14:paraId="779D6367" w14:textId="77777777">
            <w:pPr>
              <w:jc w:val="right"/>
              <w:rPr>
                <w:rFonts w:ascii="Aptos Narrow" w:hAnsi="Aptos Narrow"/>
                <w:color w:val="000000"/>
                <w:sz w:val="22"/>
                <w:szCs w:val="22"/>
              </w:rPr>
            </w:pPr>
            <w:r w:rsidRPr="002E2072">
              <w:rPr>
                <w:rFonts w:ascii="Aptos Narrow" w:hAnsi="Aptos Narrow"/>
                <w:color w:val="000000"/>
                <w:sz w:val="22"/>
                <w:szCs w:val="22"/>
              </w:rPr>
              <w:t>0.17</w:t>
            </w:r>
          </w:p>
        </w:tc>
        <w:tc>
          <w:tcPr>
            <w:tcW w:w="1350" w:type="dxa"/>
            <w:noWrap/>
            <w:vAlign w:val="bottom"/>
            <w:hideMark/>
          </w:tcPr>
          <w:p w:rsidR="002E2072" w:rsidRPr="002E2072" w:rsidP="002E2072" w14:paraId="6BFB5F6D" w14:textId="77777777">
            <w:pPr>
              <w:jc w:val="right"/>
              <w:rPr>
                <w:rFonts w:ascii="Aptos Narrow" w:hAnsi="Aptos Narrow"/>
                <w:color w:val="000000"/>
                <w:sz w:val="22"/>
                <w:szCs w:val="22"/>
              </w:rPr>
            </w:pPr>
            <w:r w:rsidRPr="002E2072">
              <w:rPr>
                <w:rFonts w:ascii="Aptos Narrow" w:hAnsi="Aptos Narrow"/>
                <w:color w:val="000000"/>
                <w:sz w:val="22"/>
                <w:szCs w:val="22"/>
              </w:rPr>
              <w:t>1,061,932</w:t>
            </w:r>
          </w:p>
        </w:tc>
        <w:tc>
          <w:tcPr>
            <w:tcW w:w="1350" w:type="dxa"/>
          </w:tcPr>
          <w:p w:rsidR="002E2072" w:rsidRPr="002E2072" w:rsidP="002E2072" w14:paraId="2588BFED" w14:textId="77777777">
            <w:pPr>
              <w:jc w:val="right"/>
              <w:rPr>
                <w:rFonts w:ascii="Aptos Narrow" w:hAnsi="Aptos Narrow"/>
                <w:color w:val="000000"/>
                <w:sz w:val="22"/>
                <w:szCs w:val="22"/>
              </w:rPr>
            </w:pPr>
            <w:r w:rsidRPr="002E2072">
              <w:rPr>
                <w:rFonts w:ascii="Aptos Narrow" w:hAnsi="Aptos Narrow"/>
                <w:color w:val="000000"/>
                <w:sz w:val="22"/>
                <w:szCs w:val="22"/>
              </w:rPr>
              <w:t>$49.98</w:t>
            </w:r>
          </w:p>
        </w:tc>
        <w:tc>
          <w:tcPr>
            <w:tcW w:w="1075" w:type="dxa"/>
          </w:tcPr>
          <w:p w:rsidR="002E2072" w:rsidRPr="002E2072" w:rsidP="002E2072" w14:paraId="0A37AD29" w14:textId="77777777">
            <w:pPr>
              <w:jc w:val="right"/>
              <w:rPr>
                <w:rFonts w:ascii="Aptos Narrow" w:hAnsi="Aptos Narrow"/>
                <w:color w:val="000000"/>
                <w:sz w:val="22"/>
                <w:szCs w:val="22"/>
              </w:rPr>
            </w:pPr>
            <w:r w:rsidRPr="002E2072">
              <w:rPr>
                <w:rFonts w:ascii="Aptos Narrow" w:hAnsi="Aptos Narrow"/>
                <w:color w:val="000000"/>
                <w:sz w:val="22"/>
                <w:szCs w:val="22"/>
              </w:rPr>
              <w:t>$53,075,361</w:t>
            </w:r>
          </w:p>
        </w:tc>
      </w:tr>
      <w:tr w14:paraId="402C03B9" w14:textId="77777777" w:rsidTr="007C2AEB">
        <w:tblPrEx>
          <w:tblW w:w="9350" w:type="dxa"/>
          <w:tblLook w:val="04A0"/>
        </w:tblPrEx>
        <w:trPr>
          <w:trHeight w:val="290"/>
        </w:trPr>
        <w:tc>
          <w:tcPr>
            <w:tcW w:w="1070" w:type="dxa"/>
            <w:noWrap/>
            <w:vAlign w:val="bottom"/>
            <w:hideMark/>
          </w:tcPr>
          <w:p w:rsidR="002E2072" w:rsidRPr="002E2072" w:rsidP="002E2072" w14:paraId="6F7F062C" w14:textId="77777777">
            <w:pPr>
              <w:jc w:val="right"/>
              <w:rPr>
                <w:rFonts w:ascii="Aptos Narrow" w:hAnsi="Aptos Narrow"/>
                <w:b/>
                <w:bCs/>
                <w:color w:val="000000"/>
                <w:sz w:val="22"/>
                <w:szCs w:val="22"/>
              </w:rPr>
            </w:pPr>
            <w:r w:rsidRPr="002E2072">
              <w:rPr>
                <w:rFonts w:ascii="Aptos Narrow" w:hAnsi="Aptos Narrow"/>
                <w:b/>
                <w:bCs/>
                <w:color w:val="000000"/>
                <w:sz w:val="22"/>
                <w:szCs w:val="22"/>
              </w:rPr>
              <w:t xml:space="preserve">Total </w:t>
            </w:r>
          </w:p>
        </w:tc>
        <w:tc>
          <w:tcPr>
            <w:tcW w:w="1742" w:type="dxa"/>
            <w:noWrap/>
            <w:vAlign w:val="bottom"/>
            <w:hideMark/>
          </w:tcPr>
          <w:p w:rsidR="002E2072" w:rsidRPr="002E2072" w:rsidP="002E2072" w14:paraId="771CCAC1" w14:textId="59FA80F6">
            <w:pPr>
              <w:jc w:val="right"/>
              <w:rPr>
                <w:rFonts w:ascii="Aptos Narrow" w:hAnsi="Aptos Narrow"/>
                <w:b/>
                <w:bCs/>
                <w:color w:val="000000"/>
                <w:sz w:val="22"/>
                <w:szCs w:val="22"/>
              </w:rPr>
            </w:pPr>
            <w:r>
              <w:rPr>
                <w:rFonts w:ascii="Aptos Narrow" w:hAnsi="Aptos Narrow"/>
                <w:b/>
                <w:bCs/>
                <w:color w:val="000000"/>
                <w:sz w:val="22"/>
                <w:szCs w:val="22"/>
              </w:rPr>
              <w:t>7</w:t>
            </w:r>
            <w:r w:rsidR="004A4F6C">
              <w:rPr>
                <w:rFonts w:ascii="Aptos Narrow" w:hAnsi="Aptos Narrow"/>
                <w:b/>
                <w:bCs/>
                <w:color w:val="000000"/>
                <w:sz w:val="22"/>
                <w:szCs w:val="22"/>
              </w:rPr>
              <w:t>,307,521</w:t>
            </w:r>
          </w:p>
        </w:tc>
        <w:tc>
          <w:tcPr>
            <w:tcW w:w="1323" w:type="dxa"/>
            <w:noWrap/>
            <w:vAlign w:val="bottom"/>
            <w:hideMark/>
          </w:tcPr>
          <w:p w:rsidR="002E2072" w:rsidRPr="002E2072" w:rsidP="002E2072" w14:paraId="269B4939" w14:textId="77777777">
            <w:pPr>
              <w:jc w:val="right"/>
              <w:rPr>
                <w:rFonts w:ascii="Aptos Narrow" w:hAnsi="Aptos Narrow"/>
                <w:b/>
                <w:bCs/>
                <w:color w:val="000000"/>
                <w:sz w:val="22"/>
                <w:szCs w:val="22"/>
              </w:rPr>
            </w:pPr>
            <w:r w:rsidRPr="002E2072">
              <w:rPr>
                <w:rFonts w:ascii="Aptos Narrow" w:hAnsi="Aptos Narrow"/>
                <w:b/>
                <w:bCs/>
                <w:color w:val="000000"/>
                <w:sz w:val="22"/>
                <w:szCs w:val="22"/>
              </w:rPr>
              <w:t>12,422,843</w:t>
            </w:r>
          </w:p>
        </w:tc>
        <w:tc>
          <w:tcPr>
            <w:tcW w:w="1440" w:type="dxa"/>
            <w:noWrap/>
            <w:vAlign w:val="bottom"/>
            <w:hideMark/>
          </w:tcPr>
          <w:p w:rsidR="002E2072" w:rsidRPr="002E2072" w:rsidP="002E2072" w14:paraId="2E54D3F8" w14:textId="77777777">
            <w:pPr>
              <w:jc w:val="right"/>
              <w:rPr>
                <w:rFonts w:ascii="Aptos Narrow" w:hAnsi="Aptos Narrow"/>
                <w:b/>
                <w:bCs/>
                <w:color w:val="000000"/>
                <w:sz w:val="22"/>
                <w:szCs w:val="22"/>
              </w:rPr>
            </w:pPr>
          </w:p>
        </w:tc>
        <w:tc>
          <w:tcPr>
            <w:tcW w:w="1350" w:type="dxa"/>
            <w:noWrap/>
            <w:vAlign w:val="bottom"/>
            <w:hideMark/>
          </w:tcPr>
          <w:p w:rsidR="002E2072" w:rsidRPr="002E2072" w:rsidP="002E2072" w14:paraId="075496C8" w14:textId="77777777">
            <w:pPr>
              <w:jc w:val="right"/>
              <w:rPr>
                <w:rFonts w:ascii="Aptos Narrow" w:hAnsi="Aptos Narrow"/>
                <w:b/>
                <w:bCs/>
                <w:color w:val="000000"/>
                <w:sz w:val="22"/>
                <w:szCs w:val="22"/>
              </w:rPr>
            </w:pPr>
            <w:r w:rsidRPr="002E2072">
              <w:rPr>
                <w:rFonts w:ascii="Aptos Narrow" w:hAnsi="Aptos Narrow"/>
                <w:b/>
                <w:bCs/>
                <w:color w:val="000000"/>
                <w:sz w:val="22"/>
                <w:szCs w:val="22"/>
              </w:rPr>
              <w:t>6,211,422</w:t>
            </w:r>
          </w:p>
        </w:tc>
        <w:tc>
          <w:tcPr>
            <w:tcW w:w="1350" w:type="dxa"/>
          </w:tcPr>
          <w:p w:rsidR="002E2072" w:rsidRPr="002E2072" w:rsidP="002E2072" w14:paraId="53292749" w14:textId="77777777">
            <w:pPr>
              <w:jc w:val="right"/>
              <w:rPr>
                <w:rFonts w:ascii="Aptos Narrow" w:hAnsi="Aptos Narrow"/>
                <w:b/>
                <w:bCs/>
                <w:color w:val="000000"/>
                <w:sz w:val="22"/>
                <w:szCs w:val="22"/>
              </w:rPr>
            </w:pPr>
          </w:p>
        </w:tc>
        <w:tc>
          <w:tcPr>
            <w:tcW w:w="1075" w:type="dxa"/>
          </w:tcPr>
          <w:p w:rsidR="002E2072" w:rsidRPr="002E2072" w:rsidP="002E2072" w14:paraId="6CD4F0EF" w14:textId="77777777">
            <w:pPr>
              <w:jc w:val="center"/>
              <w:rPr>
                <w:rFonts w:ascii="Aptos Narrow" w:hAnsi="Aptos Narrow"/>
                <w:b/>
                <w:bCs/>
                <w:color w:val="000000"/>
                <w:sz w:val="22"/>
                <w:szCs w:val="22"/>
              </w:rPr>
            </w:pPr>
            <w:r w:rsidRPr="002E2072">
              <w:rPr>
                <w:rFonts w:ascii="Aptos Narrow" w:hAnsi="Aptos Narrow"/>
                <w:b/>
                <w:bCs/>
                <w:color w:val="000000"/>
                <w:sz w:val="22"/>
                <w:szCs w:val="22"/>
              </w:rPr>
              <w:t>$181,374,628</w:t>
            </w:r>
          </w:p>
        </w:tc>
      </w:tr>
    </w:tbl>
    <w:p w:rsidR="00EC6B2D" w:rsidP="00CF4BED" w14:paraId="498877E5" w14:textId="77777777">
      <w:pPr>
        <w:pStyle w:val="ListParagraph"/>
        <w:tabs>
          <w:tab w:val="left" w:pos="-720"/>
        </w:tabs>
        <w:suppressAutoHyphens/>
        <w:spacing w:after="120" w:line="276" w:lineRule="auto"/>
        <w:contextualSpacing w:val="0"/>
        <w:rPr>
          <w:rFonts w:asciiTheme="minorHAnsi" w:hAnsiTheme="minorHAnsi" w:cstheme="minorHAnsi"/>
          <w:sz w:val="22"/>
          <w:szCs w:val="22"/>
        </w:rPr>
      </w:pPr>
    </w:p>
    <w:p w:rsidR="00DD17B3" w:rsidRPr="00CF4BED" w:rsidP="00CF4BED" w14:paraId="1314133A" w14:textId="45FB01FF">
      <w:pPr>
        <w:pStyle w:val="ListParagraph"/>
        <w:tabs>
          <w:tab w:val="left" w:pos="-720"/>
        </w:tabs>
        <w:suppressAutoHyphens/>
        <w:spacing w:after="120" w:line="276" w:lineRule="auto"/>
        <w:contextualSpacing w:val="0"/>
        <w:rPr>
          <w:rFonts w:asciiTheme="minorHAnsi" w:hAnsiTheme="minorHAnsi" w:cstheme="minorHAnsi"/>
          <w:sz w:val="22"/>
          <w:szCs w:val="22"/>
        </w:rPr>
      </w:pPr>
      <w:r w:rsidRPr="00CF4BED">
        <w:rPr>
          <w:rFonts w:asciiTheme="minorHAnsi" w:hAnsiTheme="minorHAnsi" w:cstheme="minorHAnsi"/>
          <w:sz w:val="22"/>
          <w:szCs w:val="22"/>
        </w:rPr>
        <w:t>For individuals we have used the median hourly wage for all occupations, $</w:t>
      </w:r>
      <w:r w:rsidR="001011E6">
        <w:rPr>
          <w:rFonts w:asciiTheme="minorHAnsi" w:hAnsiTheme="minorHAnsi" w:cstheme="minorHAnsi"/>
          <w:sz w:val="22"/>
          <w:szCs w:val="22"/>
        </w:rPr>
        <w:t>23.80</w:t>
      </w:r>
      <w:r w:rsidRPr="00CF4BED">
        <w:rPr>
          <w:rFonts w:asciiTheme="minorHAnsi" w:hAnsiTheme="minorHAnsi" w:cstheme="minorHAnsi"/>
          <w:sz w:val="22"/>
          <w:szCs w:val="22"/>
        </w:rPr>
        <w:t xml:space="preserve"> per hour according to BLS. </w:t>
      </w:r>
      <w:hyperlink r:id="rId11" w:anchor="00-0000" w:history="1">
        <w:r w:rsidRPr="00CF4BED">
          <w:rPr>
            <w:rStyle w:val="Hyperlink"/>
            <w:rFonts w:asciiTheme="minorHAnsi" w:hAnsiTheme="minorHAnsi" w:cstheme="minorHAnsi"/>
            <w:sz w:val="22"/>
            <w:szCs w:val="22"/>
          </w:rPr>
          <w:t>https://www.bls.gov/oes/current/oes_nat.htm#00-0000</w:t>
        </w:r>
      </w:hyperlink>
      <w:r w:rsidRPr="00CF4BED">
        <w:rPr>
          <w:rFonts w:asciiTheme="minorHAnsi" w:hAnsiTheme="minorHAnsi" w:cstheme="minorHAnsi"/>
          <w:sz w:val="22"/>
          <w:szCs w:val="22"/>
        </w:rPr>
        <w:t> .</w:t>
      </w:r>
    </w:p>
    <w:bookmarkEnd w:id="1"/>
    <w:p w:rsidR="000C596B" w:rsidRPr="00CF4BED" w:rsidP="00CF4BED" w14:paraId="043255E4" w14:textId="0A716F4A">
      <w:pPr>
        <w:pStyle w:val="ListParagraph"/>
        <w:tabs>
          <w:tab w:val="left" w:pos="-720"/>
        </w:tabs>
        <w:suppressAutoHyphens/>
        <w:spacing w:after="120" w:line="276" w:lineRule="auto"/>
        <w:contextualSpacing w:val="0"/>
        <w:rPr>
          <w:rFonts w:asciiTheme="minorHAnsi" w:hAnsiTheme="minorHAnsi" w:cstheme="minorHAnsi"/>
          <w:sz w:val="22"/>
          <w:szCs w:val="22"/>
        </w:rPr>
      </w:pPr>
      <w:r w:rsidRPr="00CF4BED">
        <w:rPr>
          <w:rFonts w:asciiTheme="minorHAnsi" w:hAnsiTheme="minorHAnsi" w:cstheme="minorHAnsi"/>
          <w:sz w:val="22"/>
          <w:szCs w:val="22"/>
        </w:rPr>
        <w:t>For institutions we have used the median hourly wage for Education Administrators, Postsecondary, $4</w:t>
      </w:r>
      <w:r w:rsidR="001011E6">
        <w:rPr>
          <w:rFonts w:asciiTheme="minorHAnsi" w:hAnsiTheme="minorHAnsi" w:cstheme="minorHAnsi"/>
          <w:sz w:val="22"/>
          <w:szCs w:val="22"/>
        </w:rPr>
        <w:t>9.9</w:t>
      </w:r>
      <w:r w:rsidR="00D75821">
        <w:rPr>
          <w:rFonts w:asciiTheme="minorHAnsi" w:hAnsiTheme="minorHAnsi" w:cstheme="minorHAnsi"/>
          <w:sz w:val="22"/>
          <w:szCs w:val="22"/>
        </w:rPr>
        <w:t>8</w:t>
      </w:r>
      <w:r w:rsidRPr="00CF4BED">
        <w:rPr>
          <w:rFonts w:asciiTheme="minorHAnsi" w:hAnsiTheme="minorHAnsi" w:cstheme="minorHAnsi"/>
          <w:sz w:val="22"/>
          <w:szCs w:val="22"/>
        </w:rPr>
        <w:t xml:space="preserve"> per hour according to BLS. </w:t>
      </w:r>
      <w:r>
        <w:fldChar w:fldCharType="begin"/>
      </w:r>
      <w:r w:rsidRPr="00CF4BED">
        <w:rPr>
          <w:rStyle w:val="Hyperlink"/>
          <w:rFonts w:asciiTheme="minorHAnsi" w:hAnsiTheme="minorHAnsi" w:cstheme="minorHAnsi"/>
          <w:sz w:val="22"/>
          <w:szCs w:val="22"/>
        </w:rPr>
        <w:instrText xml:space="preserve"> HYPERLINK "https://www.bls.gov/oes/current/oes119033.htm" </w:instrText>
      </w:r>
      <w:r>
        <w:fldChar w:fldCharType="separate"/>
      </w:r>
      <w:r w:rsidRPr="00CF4BED">
        <w:rPr>
          <w:rStyle w:val="Hyperlink"/>
          <w:rFonts w:asciiTheme="minorHAnsi" w:hAnsiTheme="minorHAnsi" w:cstheme="minorHAnsi"/>
          <w:sz w:val="22"/>
          <w:szCs w:val="22"/>
        </w:rPr>
        <w:t>https://www.bls.gov/oes/current/oes119033.htm</w:t>
      </w:r>
      <w:r>
        <w:fldChar w:fldCharType="end"/>
      </w:r>
      <w:r w:rsidRPr="00CF4BED">
        <w:rPr>
          <w:rFonts w:asciiTheme="minorHAnsi" w:hAnsiTheme="minorHAnsi" w:cstheme="minorHAnsi"/>
          <w:sz w:val="22"/>
          <w:szCs w:val="22"/>
        </w:rPr>
        <w:t xml:space="preserve"> .</w:t>
      </w:r>
    </w:p>
    <w:p w:rsidR="00E00AFA" w:rsidRPr="00CF4BED" w:rsidP="00CF4BED" w14:paraId="1A15B9B0" w14:textId="77777777">
      <w:pPr>
        <w:pStyle w:val="ListParagraph"/>
        <w:tabs>
          <w:tab w:val="left" w:pos="-720"/>
        </w:tabs>
        <w:suppressAutoHyphens/>
        <w:spacing w:after="120" w:line="276" w:lineRule="auto"/>
        <w:contextualSpacing w:val="0"/>
        <w:rPr>
          <w:rFonts w:asciiTheme="minorHAnsi" w:hAnsiTheme="minorHAnsi" w:cstheme="minorHAnsi"/>
          <w:sz w:val="22"/>
          <w:szCs w:val="22"/>
        </w:rPr>
      </w:pPr>
      <w:r w:rsidRPr="00CF4BED">
        <w:rPr>
          <w:rStyle w:val="a"/>
          <w:rFonts w:asciiTheme="minorHAnsi" w:hAnsiTheme="minorHAnsi" w:cstheme="minorHAnsi"/>
          <w:b/>
          <w:bCs/>
          <w:i/>
          <w:iCs/>
          <w:sz w:val="22"/>
          <w:szCs w:val="22"/>
        </w:rPr>
        <w:t xml:space="preserve">Please ensure the annual total burden, respondents and response match those entered in IC Data Parts 1 and 2, and the response per respondent matches the Paperwork Burden Statement that must be included </w:t>
      </w:r>
      <w:r w:rsidRPr="00CF4BED">
        <w:rPr>
          <w:rStyle w:val="a"/>
          <w:rFonts w:asciiTheme="minorHAnsi" w:hAnsiTheme="minorHAnsi" w:cstheme="minorHAnsi"/>
          <w:b/>
          <w:bCs/>
          <w:i/>
          <w:iCs/>
          <w:sz w:val="22"/>
          <w:szCs w:val="22"/>
        </w:rPr>
        <w:t>on</w:t>
      </w:r>
      <w:r w:rsidRPr="00CF4BED">
        <w:rPr>
          <w:rStyle w:val="a"/>
          <w:rFonts w:asciiTheme="minorHAnsi" w:hAnsiTheme="minorHAnsi" w:cstheme="minorHAnsi"/>
          <w:b/>
          <w:bCs/>
          <w:i/>
          <w:iCs/>
          <w:sz w:val="22"/>
          <w:szCs w:val="22"/>
        </w:rPr>
        <w:t xml:space="preserve"> all forms.</w:t>
      </w:r>
    </w:p>
    <w:p w:rsidR="00043C32" w:rsidRPr="00E622CD" w:rsidP="00E622CD" w14:paraId="4E814EB5" w14:textId="77777777">
      <w:pPr>
        <w:pStyle w:val="ListParagraph"/>
        <w:numPr>
          <w:ilvl w:val="0"/>
          <w:numId w:val="5"/>
        </w:numPr>
        <w:tabs>
          <w:tab w:val="left" w:pos="-720"/>
        </w:tabs>
        <w:suppressAutoHyphens/>
        <w:spacing w:after="120" w:line="276" w:lineRule="auto"/>
        <w:ind w:hanging="540"/>
        <w:rPr>
          <w:rFonts w:asciiTheme="minorHAnsi" w:hAnsiTheme="minorHAnsi" w:cstheme="minorHAnsi"/>
          <w:b/>
          <w:sz w:val="22"/>
          <w:szCs w:val="22"/>
        </w:rPr>
      </w:pPr>
      <w:r w:rsidRPr="00E622CD">
        <w:rPr>
          <w:rStyle w:val="a"/>
          <w:rFonts w:asciiTheme="minorHAnsi" w:hAnsiTheme="minorHAnsi" w:cstheme="minorHAnsi"/>
          <w:b/>
          <w:sz w:val="22"/>
          <w:szCs w:val="22"/>
        </w:rPr>
        <w:t>Provide an estimate of the total annual cost burden to respondents or record keepers resulting from the collection of information.  (Do not include the cost of any hour burden shown in Items 12 and 14.)</w:t>
      </w:r>
    </w:p>
    <w:p w:rsidR="00043C32" w:rsidRPr="00E622CD" w:rsidP="00E622CD" w14:paraId="51B55151" w14:textId="77777777">
      <w:pPr>
        <w:numPr>
          <w:ilvl w:val="0"/>
          <w:numId w:val="1"/>
        </w:numPr>
        <w:tabs>
          <w:tab w:val="left" w:pos="-720"/>
          <w:tab w:val="clear" w:pos="700"/>
        </w:tabs>
        <w:suppressAutoHyphens/>
        <w:spacing w:after="120" w:line="276" w:lineRule="auto"/>
        <w:ind w:left="1170" w:hanging="450"/>
        <w:rPr>
          <w:rFonts w:asciiTheme="minorHAnsi" w:hAnsiTheme="minorHAnsi" w:cstheme="minorHAnsi"/>
          <w:b/>
          <w:sz w:val="22"/>
          <w:szCs w:val="22"/>
        </w:rPr>
      </w:pPr>
      <w:r w:rsidRPr="00E622CD">
        <w:rPr>
          <w:rFonts w:asciiTheme="minorHAnsi" w:hAnsiTheme="minorHAnsi" w:cstheme="minorHAnsi"/>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622CD">
        <w:rPr>
          <w:rFonts w:asciiTheme="minorHAnsi" w:hAnsiTheme="minorHAnsi" w:cstheme="minorHAnsi"/>
          <w:b/>
          <w:sz w:val="22"/>
          <w:szCs w:val="22"/>
        </w:rPr>
        <w:t>take into account</w:t>
      </w:r>
      <w:r w:rsidRPr="00E622CD">
        <w:rPr>
          <w:rFonts w:asciiTheme="minorHAnsi" w:hAnsiTheme="minorHAnsi" w:cstheme="minorHAnsi"/>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622CD">
        <w:rPr>
          <w:rFonts w:asciiTheme="minorHAnsi" w:hAnsiTheme="minorHAnsi" w:cstheme="minorHAnsi"/>
          <w:b/>
          <w:sz w:val="22"/>
          <w:szCs w:val="22"/>
        </w:rPr>
        <w:t>time period</w:t>
      </w:r>
      <w:r w:rsidRPr="00E622CD">
        <w:rPr>
          <w:rFonts w:asciiTheme="minorHAnsi" w:hAnsiTheme="minorHAnsi" w:cstheme="minorHAnsi"/>
          <w:b/>
          <w:sz w:val="22"/>
          <w:szCs w:val="22"/>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622CD" w:rsidP="00E622CD" w14:paraId="33FD68EB"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 xml:space="preserve">If cost estimates are expected to vary widely, agencies should present ranges of cost burdens and explain the reasons for the variance.  The cost of </w:t>
      </w:r>
      <w:r w:rsidRPr="00E622CD">
        <w:rPr>
          <w:rFonts w:asciiTheme="minorHAnsi" w:hAnsiTheme="minorHAnsi" w:cstheme="minorHAnsi"/>
          <w:b/>
          <w:sz w:val="22"/>
          <w:szCs w:val="22"/>
        </w:rPr>
        <w:t>contracting out</w:t>
      </w:r>
      <w:r w:rsidRPr="00E622CD">
        <w:rPr>
          <w:rFonts w:asciiTheme="minorHAnsi" w:hAnsiTheme="minorHAnsi" w:cstheme="minorHAnsi"/>
          <w:b/>
          <w:sz w:val="22"/>
          <w:szCs w:val="22"/>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622CD" w:rsidP="00E622CD" w14:paraId="1BAEC6B5" w14:textId="77777777">
      <w:pPr>
        <w:numPr>
          <w:ilvl w:val="0"/>
          <w:numId w:val="1"/>
        </w:numPr>
        <w:tabs>
          <w:tab w:val="left" w:pos="-720"/>
          <w:tab w:val="clear" w:pos="700"/>
          <w:tab w:val="left" w:pos="1170"/>
        </w:tabs>
        <w:suppressAutoHyphens/>
        <w:spacing w:after="120" w:line="276" w:lineRule="auto"/>
        <w:ind w:left="1170"/>
        <w:rPr>
          <w:rFonts w:asciiTheme="minorHAnsi" w:hAnsiTheme="minorHAnsi" w:cstheme="minorHAnsi"/>
          <w:b/>
          <w:sz w:val="22"/>
          <w:szCs w:val="22"/>
        </w:rPr>
      </w:pPr>
      <w:r w:rsidRPr="00E622C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E622CD" w:rsidR="009243F3">
        <w:rPr>
          <w:rFonts w:asciiTheme="minorHAnsi" w:hAnsiTheme="minorHAnsi" w:cstheme="minorHAnsi"/>
          <w:b/>
          <w:sz w:val="22"/>
          <w:szCs w:val="22"/>
        </w:rPr>
        <w:t>.</w:t>
      </w:r>
    </w:p>
    <w:p w:rsidR="00043C32" w:rsidRPr="00E622CD" w:rsidP="00E622CD" w14:paraId="1B09BE3C"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Capital/Startup Cost</w:t>
      </w:r>
      <w:r w:rsidRPr="00E622CD">
        <w:rPr>
          <w:rFonts w:asciiTheme="minorHAnsi" w:hAnsiTheme="minorHAnsi" w:cstheme="minorHAnsi"/>
          <w:b/>
          <w:sz w:val="22"/>
          <w:szCs w:val="22"/>
        </w:rPr>
        <w:tab/>
        <w:t>:</w:t>
      </w:r>
    </w:p>
    <w:p w:rsidR="00043C32" w:rsidRPr="00E622CD" w:rsidP="00E622CD" w14:paraId="5FD3CB47"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 Costs (O&amp;M)</w:t>
      </w:r>
      <w:r w:rsidRPr="00E622CD">
        <w:rPr>
          <w:rFonts w:asciiTheme="minorHAnsi" w:hAnsiTheme="minorHAnsi" w:cstheme="minorHAnsi"/>
          <w:b/>
          <w:sz w:val="22"/>
          <w:szCs w:val="22"/>
        </w:rPr>
        <w:tab/>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:_</w:t>
      </w:r>
      <w:r w:rsidRPr="00E622CD">
        <w:rPr>
          <w:rFonts w:asciiTheme="minorHAnsi" w:hAnsiTheme="minorHAnsi" w:cstheme="minorHAnsi"/>
          <w:b/>
          <w:sz w:val="22"/>
          <w:szCs w:val="22"/>
        </w:rPr>
        <w:t>___________________</w:t>
      </w:r>
    </w:p>
    <w:p w:rsidR="00043C32" w:rsidRPr="00E622CD" w:rsidP="00E622CD" w14:paraId="5B2A4792" w14:textId="77777777">
      <w:pPr>
        <w:tabs>
          <w:tab w:val="left" w:pos="-720"/>
        </w:tabs>
        <w:suppressAutoHyphens/>
        <w:spacing w:after="120" w:line="276" w:lineRule="auto"/>
        <w:rPr>
          <w:rFonts w:asciiTheme="minorHAnsi" w:hAnsiTheme="minorHAnsi" w:cstheme="minorHAnsi"/>
          <w:b/>
          <w:sz w:val="22"/>
          <w:szCs w:val="22"/>
        </w:rPr>
      </w:pPr>
      <w:r w:rsidRPr="00E622CD">
        <w:rPr>
          <w:rFonts w:asciiTheme="minorHAnsi" w:hAnsiTheme="minorHAnsi" w:cstheme="minorHAnsi"/>
          <w:b/>
          <w:sz w:val="22"/>
          <w:szCs w:val="22"/>
        </w:rPr>
        <w:tab/>
        <w:t>Total Annualized Costs Requested</w:t>
      </w:r>
      <w:r w:rsidRPr="00E622CD">
        <w:rPr>
          <w:rFonts w:asciiTheme="minorHAnsi" w:hAnsiTheme="minorHAnsi" w:cstheme="minorHAnsi"/>
          <w:b/>
          <w:sz w:val="22"/>
          <w:szCs w:val="22"/>
        </w:rPr>
        <w:tab/>
      </w:r>
      <w:r w:rsidRPr="00E622CD" w:rsidR="009243F3">
        <w:rPr>
          <w:rFonts w:asciiTheme="minorHAnsi" w:hAnsiTheme="minorHAnsi" w:cstheme="minorHAnsi"/>
          <w:b/>
          <w:sz w:val="22"/>
          <w:szCs w:val="22"/>
        </w:rPr>
        <w:tab/>
      </w:r>
      <w:r w:rsidRPr="00E622CD">
        <w:rPr>
          <w:rFonts w:asciiTheme="minorHAnsi" w:hAnsiTheme="minorHAnsi" w:cstheme="minorHAnsi"/>
          <w:b/>
          <w:sz w:val="22"/>
          <w:szCs w:val="22"/>
        </w:rPr>
        <w:t>:</w:t>
      </w:r>
    </w:p>
    <w:p w:rsidR="000B203A" w:rsidRPr="009B6D1A" w:rsidP="00E622CD" w14:paraId="000891A5" w14:textId="77777777">
      <w:pPr>
        <w:spacing w:after="120" w:line="276" w:lineRule="auto"/>
        <w:ind w:left="720"/>
        <w:rPr>
          <w:rFonts w:asciiTheme="minorHAnsi" w:hAnsiTheme="minorHAnsi" w:cstheme="minorHAnsi"/>
          <w:sz w:val="22"/>
          <w:szCs w:val="22"/>
        </w:rPr>
      </w:pPr>
      <w:r w:rsidRPr="009B6D1A">
        <w:rPr>
          <w:rFonts w:ascii="Calibri" w:hAnsi="Calibri"/>
          <w:sz w:val="22"/>
          <w:szCs w:val="22"/>
        </w:rPr>
        <w:t>There are no annual capital/startup costs to respondents, nor are there any annual costs to respondents associated with operating or maintaining systems or purchasing services.</w:t>
      </w:r>
    </w:p>
    <w:p w:rsidR="00043C32" w:rsidRPr="00E622CD" w:rsidP="00E622CD" w14:paraId="63C8261B" w14:textId="77777777">
      <w:pPr>
        <w:pStyle w:val="ListParagraph"/>
        <w:numPr>
          <w:ilvl w:val="0"/>
          <w:numId w:val="5"/>
        </w:numPr>
        <w:tabs>
          <w:tab w:val="left" w:pos="-720"/>
        </w:tabs>
        <w:suppressAutoHyphens/>
        <w:spacing w:after="120" w:line="276" w:lineRule="auto"/>
        <w:ind w:hanging="54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E622CD">
        <w:rPr>
          <w:rStyle w:val="a"/>
          <w:rFonts w:asciiTheme="minorHAnsi" w:hAnsiTheme="minorHAnsi" w:cstheme="minorHAnsi"/>
          <w:b/>
          <w:sz w:val="22"/>
          <w:szCs w:val="22"/>
        </w:rPr>
        <w:t>expense</w:t>
      </w:r>
      <w:r w:rsidRPr="00E622CD">
        <w:rPr>
          <w:rStyle w:val="a"/>
          <w:rFonts w:asciiTheme="minorHAnsi" w:hAnsiTheme="minorHAnsi" w:cstheme="minorHAnsi"/>
          <w:b/>
          <w:sz w:val="22"/>
          <w:szCs w:val="22"/>
        </w:rPr>
        <w:t xml:space="preserve"> that would not have been incurred without this collection of information.  Agencies also may aggregate cost estimates from Items 12, 13, and 14 in a single table.</w:t>
      </w:r>
    </w:p>
    <w:p w:rsidR="00182867" w:rsidP="00182867" w14:paraId="106AB85F" w14:textId="77777777">
      <w:pPr>
        <w:pStyle w:val="BodyTextIndent"/>
        <w:spacing w:after="200" w:line="276" w:lineRule="auto"/>
        <w:rPr>
          <w:rFonts w:ascii="Calibri" w:hAnsi="Calibri"/>
          <w:sz w:val="22"/>
          <w:szCs w:val="22"/>
        </w:rPr>
      </w:pPr>
      <w:r>
        <w:rPr>
          <w:rFonts w:ascii="Calibri" w:hAnsi="Calibri"/>
          <w:sz w:val="22"/>
          <w:szCs w:val="22"/>
        </w:rPr>
        <w:t xml:space="preserve">There is no annual cost to the </w:t>
      </w:r>
      <w:r w:rsidRPr="00EA7F25">
        <w:rPr>
          <w:rFonts w:ascii="Calibri" w:hAnsi="Calibri"/>
          <w:sz w:val="22"/>
          <w:szCs w:val="22"/>
        </w:rPr>
        <w:t xml:space="preserve">Federal government </w:t>
      </w:r>
      <w:r>
        <w:rPr>
          <w:rFonts w:ascii="Calibri" w:hAnsi="Calibri"/>
          <w:sz w:val="22"/>
          <w:szCs w:val="22"/>
        </w:rPr>
        <w:t xml:space="preserve">associated with the paper versions of the promissory notes or PLUS Endorser Addendum, as the Department does not print and distribute the paper versions of the forms. The small number of borrowers who wish to complete the paper versions of the forms may download and print the documents.  </w:t>
      </w:r>
    </w:p>
    <w:p w:rsidR="00F60CFA" w:rsidRPr="00182867" w:rsidP="00182867" w14:paraId="692FDE77" w14:textId="77777777">
      <w:pPr>
        <w:spacing w:after="120" w:line="276" w:lineRule="auto"/>
        <w:ind w:left="720"/>
        <w:rPr>
          <w:rFonts w:asciiTheme="minorHAnsi" w:hAnsiTheme="minorHAnsi" w:cstheme="minorHAnsi"/>
          <w:sz w:val="22"/>
          <w:szCs w:val="22"/>
        </w:rPr>
      </w:pPr>
      <w:r w:rsidRPr="00182867">
        <w:rPr>
          <w:rFonts w:ascii="Calibri" w:hAnsi="Calibri"/>
          <w:sz w:val="22"/>
          <w:szCs w:val="22"/>
        </w:rPr>
        <w:t xml:space="preserve">It is not possible to provide annualized costs associated with the implementation of the electronic versions of the forms. The terms of the Department’s contract with the entity that is responsible for performing this function (and other functions) </w:t>
      </w:r>
      <w:r w:rsidRPr="00182867">
        <w:rPr>
          <w:rFonts w:ascii="Calibri" w:hAnsi="Calibri"/>
          <w:sz w:val="22"/>
          <w:szCs w:val="22"/>
        </w:rPr>
        <w:t>does</w:t>
      </w:r>
      <w:r w:rsidRPr="00182867">
        <w:rPr>
          <w:rFonts w:ascii="Calibri" w:hAnsi="Calibri"/>
          <w:sz w:val="22"/>
          <w:szCs w:val="22"/>
        </w:rPr>
        <w:t xml:space="preserve"> not provide for itemization of costs associated with specific functions.</w:t>
      </w:r>
    </w:p>
    <w:p w:rsidR="00800D30" w:rsidRPr="00E622CD" w:rsidP="00E622CD" w14:paraId="6C765FC8" w14:textId="77777777">
      <w:pPr>
        <w:pStyle w:val="ListParagraph"/>
        <w:numPr>
          <w:ilvl w:val="0"/>
          <w:numId w:val="5"/>
        </w:numPr>
        <w:tabs>
          <w:tab w:val="left" w:pos="-720"/>
        </w:tabs>
        <w:suppressAutoHyphens/>
        <w:spacing w:after="120" w:line="276" w:lineRule="auto"/>
        <w:ind w:hanging="547"/>
        <w:contextualSpacing w:val="0"/>
        <w:rPr>
          <w:rFonts w:asciiTheme="minorHAnsi" w:hAnsiTheme="minorHAnsi" w:cstheme="minorHAnsi"/>
          <w:b/>
          <w:sz w:val="22"/>
          <w:szCs w:val="22"/>
        </w:rPr>
      </w:pPr>
      <w:r w:rsidRPr="00E622CD">
        <w:rPr>
          <w:rFonts w:asciiTheme="minorHAnsi" w:hAnsiTheme="minorHAnsi" w:cstheme="minorHAnsi"/>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E622CD">
        <w:rPr>
          <w:rFonts w:asciiTheme="minorHAnsi" w:hAnsiTheme="minorHAnsi" w:cstheme="minorHAnsi"/>
          <w:b/>
          <w:sz w:val="22"/>
          <w:szCs w:val="22"/>
        </w:rPr>
        <w:t>Program</w:t>
      </w:r>
      <w:r w:rsidRPr="00E622CD">
        <w:rPr>
          <w:rFonts w:asciiTheme="minorHAnsi" w:hAnsiTheme="minorHAnsi" w:cstheme="minorHAnsi"/>
          <w:b/>
          <w:sz w:val="22"/>
          <w:szCs w:val="22"/>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E622CD" w:rsidP="00E622CD" w14:paraId="144572B8" w14:textId="77777777">
      <w:pPr>
        <w:pStyle w:val="ListParagraph"/>
        <w:tabs>
          <w:tab w:val="left" w:pos="-720"/>
        </w:tabs>
        <w:suppressAutoHyphens/>
        <w:spacing w:after="120" w:line="276" w:lineRule="auto"/>
        <w:contextualSpacing w:val="0"/>
        <w:rPr>
          <w:rFonts w:asciiTheme="minorHAnsi" w:hAnsiTheme="minorHAnsi" w:cstheme="minorHAnsi"/>
          <w:b/>
          <w:sz w:val="22"/>
          <w:szCs w:val="22"/>
        </w:rPr>
      </w:pPr>
      <w:r w:rsidRPr="00E622CD">
        <w:rPr>
          <w:rFonts w:asciiTheme="minorHAnsi" w:hAnsiTheme="minorHAnsi" w:cstheme="minorHAnsi"/>
          <w:b/>
          <w:sz w:val="22"/>
          <w:szCs w:val="22"/>
        </w:rPr>
        <w:t>Provide a descriptive narrative for the reasons of any change in addition to completing the table with the burden hour change(s)</w:t>
      </w:r>
      <w:r w:rsidRPr="00E622CD" w:rsidR="002A3221">
        <w:rPr>
          <w:rFonts w:asciiTheme="minorHAnsi" w:hAnsiTheme="minorHAnsi" w:cstheme="minorHAnsi"/>
          <w:b/>
          <w:sz w:val="22"/>
          <w:szCs w:val="22"/>
        </w:rPr>
        <w:t xml:space="preserve"> here</w:t>
      </w:r>
      <w:r w:rsidRPr="00E622CD" w:rsidR="00946126">
        <w:rPr>
          <w:rFonts w:asciiTheme="minorHAnsi" w:hAnsiTheme="minorHAnsi" w:cstheme="minorHAnsi"/>
          <w:b/>
          <w:sz w:val="22"/>
          <w:szCs w:val="22"/>
        </w:rPr>
        <w:t>.</w:t>
      </w:r>
    </w:p>
    <w:tbl>
      <w:tblPr>
        <w:tblStyle w:val="TableGrid"/>
        <w:tblW w:w="8820" w:type="dxa"/>
        <w:tblInd w:w="535" w:type="dxa"/>
        <w:tblLook w:val="04A0"/>
      </w:tblPr>
      <w:tblGrid>
        <w:gridCol w:w="1513"/>
        <w:gridCol w:w="2048"/>
        <w:gridCol w:w="2829"/>
        <w:gridCol w:w="2430"/>
      </w:tblGrid>
      <w:tr w14:paraId="3A122476" w14:textId="77777777" w:rsidTr="00A31757">
        <w:tblPrEx>
          <w:tblW w:w="8820" w:type="dxa"/>
          <w:tblInd w:w="535" w:type="dxa"/>
          <w:tblLook w:val="04A0"/>
        </w:tblPrEx>
        <w:tc>
          <w:tcPr>
            <w:tcW w:w="1513" w:type="dxa"/>
            <w:shd w:val="clear" w:color="auto" w:fill="D9D9D9" w:themeFill="background1" w:themeFillShade="D9"/>
          </w:tcPr>
          <w:p w:rsidR="0052073E" w:rsidRPr="00E622CD" w:rsidP="00A31757" w14:paraId="474EC872" w14:textId="77777777">
            <w:pPr>
              <w:tabs>
                <w:tab w:val="left" w:pos="-720"/>
              </w:tabs>
              <w:suppressAutoHyphens/>
              <w:rPr>
                <w:rFonts w:asciiTheme="minorHAnsi" w:hAnsiTheme="minorHAnsi" w:cstheme="minorHAnsi"/>
                <w:b/>
                <w:sz w:val="22"/>
                <w:szCs w:val="22"/>
              </w:rPr>
            </w:pPr>
          </w:p>
        </w:tc>
        <w:tc>
          <w:tcPr>
            <w:tcW w:w="2048" w:type="dxa"/>
          </w:tcPr>
          <w:p w:rsidR="0052073E" w:rsidRPr="00E622CD" w:rsidP="00A31757" w14:paraId="346CA1D2"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New Statute</w:t>
            </w:r>
          </w:p>
        </w:tc>
        <w:tc>
          <w:tcPr>
            <w:tcW w:w="2829" w:type="dxa"/>
          </w:tcPr>
          <w:p w:rsidR="0052073E" w:rsidRPr="00E622CD" w:rsidP="00A31757" w14:paraId="4688B80D"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Program Change Due to Agency Discretion</w:t>
            </w:r>
          </w:p>
        </w:tc>
        <w:tc>
          <w:tcPr>
            <w:tcW w:w="2430" w:type="dxa"/>
          </w:tcPr>
          <w:p w:rsidR="0052073E" w:rsidRPr="00E622CD" w:rsidP="00A31757" w14:paraId="06099E7F"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Change Due to Adjustment in Agency Estimate</w:t>
            </w:r>
          </w:p>
        </w:tc>
      </w:tr>
      <w:tr w14:paraId="65B84DCC" w14:textId="77777777" w:rsidTr="00A31757">
        <w:tblPrEx>
          <w:tblW w:w="8820" w:type="dxa"/>
          <w:tblInd w:w="535" w:type="dxa"/>
          <w:tblLook w:val="04A0"/>
        </w:tblPrEx>
        <w:tc>
          <w:tcPr>
            <w:tcW w:w="1513" w:type="dxa"/>
          </w:tcPr>
          <w:p w:rsidR="0052073E" w:rsidRPr="00E622CD" w:rsidP="00A31757" w14:paraId="650D90CA"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Burden</w:t>
            </w:r>
          </w:p>
        </w:tc>
        <w:tc>
          <w:tcPr>
            <w:tcW w:w="2048" w:type="dxa"/>
          </w:tcPr>
          <w:p w:rsidR="0052073E" w:rsidRPr="00BE0594" w:rsidP="00A31757" w14:paraId="547891FD"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3085735F"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1D0C8D" w:rsidP="00A31757" w14:paraId="0AA7E2E6" w14:textId="413B8FC2">
            <w:pPr>
              <w:tabs>
                <w:tab w:val="left" w:pos="-720"/>
              </w:tabs>
              <w:suppressAutoHyphens/>
              <w:jc w:val="center"/>
              <w:rPr>
                <w:rFonts w:asciiTheme="minorHAnsi" w:hAnsiTheme="minorHAnsi" w:cstheme="minorHAnsi"/>
                <w:bCs/>
                <w:sz w:val="22"/>
                <w:szCs w:val="22"/>
              </w:rPr>
            </w:pPr>
            <w:r w:rsidRPr="001D0C8D">
              <w:rPr>
                <w:rFonts w:asciiTheme="minorHAnsi" w:hAnsiTheme="minorHAnsi" w:cstheme="minorHAnsi"/>
                <w:bCs/>
                <w:sz w:val="22"/>
                <w:szCs w:val="22"/>
              </w:rPr>
              <w:t>+2,189,759</w:t>
            </w:r>
          </w:p>
        </w:tc>
      </w:tr>
      <w:tr w14:paraId="65D25176" w14:textId="77777777" w:rsidTr="00A31757">
        <w:tblPrEx>
          <w:tblW w:w="8820" w:type="dxa"/>
          <w:tblInd w:w="535" w:type="dxa"/>
          <w:tblLook w:val="04A0"/>
        </w:tblPrEx>
        <w:tc>
          <w:tcPr>
            <w:tcW w:w="1513" w:type="dxa"/>
          </w:tcPr>
          <w:p w:rsidR="0052073E" w:rsidRPr="00E622CD" w:rsidP="00A31757" w14:paraId="6A8D6672"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Responses</w:t>
            </w:r>
          </w:p>
        </w:tc>
        <w:tc>
          <w:tcPr>
            <w:tcW w:w="2048" w:type="dxa"/>
          </w:tcPr>
          <w:p w:rsidR="0052073E" w:rsidRPr="00BE0594" w:rsidP="00A31757" w14:paraId="4DA00D5D"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102D7C7C"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1D0C8D" w:rsidP="00A31757" w14:paraId="3C0D5067" w14:textId="5788EBF1">
            <w:pPr>
              <w:tabs>
                <w:tab w:val="left" w:pos="-720"/>
              </w:tabs>
              <w:suppressAutoHyphens/>
              <w:jc w:val="center"/>
              <w:rPr>
                <w:rFonts w:asciiTheme="minorHAnsi" w:hAnsiTheme="minorHAnsi" w:cstheme="minorHAnsi"/>
                <w:bCs/>
                <w:sz w:val="22"/>
                <w:szCs w:val="22"/>
              </w:rPr>
            </w:pPr>
            <w:r w:rsidRPr="001D0C8D">
              <w:rPr>
                <w:rFonts w:asciiTheme="minorHAnsi" w:hAnsiTheme="minorHAnsi" w:cstheme="minorHAnsi"/>
                <w:bCs/>
                <w:sz w:val="22"/>
                <w:szCs w:val="22"/>
              </w:rPr>
              <w:t>+</w:t>
            </w:r>
            <w:r w:rsidRPr="001D0C8D" w:rsidR="0090250C">
              <w:rPr>
                <w:rFonts w:asciiTheme="minorHAnsi" w:hAnsiTheme="minorHAnsi" w:cstheme="minorHAnsi"/>
                <w:bCs/>
                <w:sz w:val="22"/>
                <w:szCs w:val="22"/>
              </w:rPr>
              <w:t>2</w:t>
            </w:r>
            <w:r w:rsidRPr="001D0C8D" w:rsidR="0090250C">
              <w:rPr>
                <w:rFonts w:asciiTheme="minorHAnsi" w:hAnsiTheme="minorHAnsi" w:cstheme="minorHAnsi"/>
                <w:bCs/>
              </w:rPr>
              <w:t>,</w:t>
            </w:r>
            <w:r w:rsidRPr="00411B15" w:rsidR="0090250C">
              <w:rPr>
                <w:rFonts w:asciiTheme="minorHAnsi" w:hAnsiTheme="minorHAnsi" w:cstheme="minorHAnsi"/>
                <w:bCs/>
                <w:sz w:val="22"/>
                <w:szCs w:val="18"/>
              </w:rPr>
              <w:t>560</w:t>
            </w:r>
            <w:r w:rsidRPr="00411B15" w:rsidR="00F44FF5">
              <w:rPr>
                <w:rFonts w:asciiTheme="minorHAnsi" w:hAnsiTheme="minorHAnsi" w:cstheme="minorHAnsi"/>
                <w:bCs/>
                <w:sz w:val="22"/>
                <w:szCs w:val="18"/>
              </w:rPr>
              <w:t>,158</w:t>
            </w:r>
          </w:p>
        </w:tc>
      </w:tr>
      <w:tr w14:paraId="1DF5E0EA" w14:textId="77777777" w:rsidTr="00A31757">
        <w:tblPrEx>
          <w:tblW w:w="8820" w:type="dxa"/>
          <w:tblInd w:w="535" w:type="dxa"/>
          <w:tblLook w:val="04A0"/>
        </w:tblPrEx>
        <w:tc>
          <w:tcPr>
            <w:tcW w:w="1513" w:type="dxa"/>
          </w:tcPr>
          <w:p w:rsidR="0052073E" w:rsidRPr="00E622CD" w:rsidP="00A31757" w14:paraId="508C1819" w14:textId="77777777">
            <w:pPr>
              <w:tabs>
                <w:tab w:val="left" w:pos="-720"/>
              </w:tabs>
              <w:suppressAutoHyphens/>
              <w:rPr>
                <w:rFonts w:asciiTheme="minorHAnsi" w:hAnsiTheme="minorHAnsi" w:cstheme="minorHAnsi"/>
                <w:b/>
                <w:sz w:val="22"/>
                <w:szCs w:val="22"/>
              </w:rPr>
            </w:pPr>
            <w:r w:rsidRPr="00E622CD">
              <w:rPr>
                <w:rFonts w:asciiTheme="minorHAnsi" w:hAnsiTheme="minorHAnsi" w:cstheme="minorHAnsi"/>
                <w:b/>
                <w:sz w:val="22"/>
                <w:szCs w:val="22"/>
              </w:rPr>
              <w:t>Total Costs (if applicable)</w:t>
            </w:r>
          </w:p>
        </w:tc>
        <w:tc>
          <w:tcPr>
            <w:tcW w:w="2048" w:type="dxa"/>
          </w:tcPr>
          <w:p w:rsidR="0052073E" w:rsidRPr="00BE0594" w:rsidP="00A31757" w14:paraId="29855711" w14:textId="77777777">
            <w:pPr>
              <w:tabs>
                <w:tab w:val="left" w:pos="-720"/>
              </w:tabs>
              <w:suppressAutoHyphens/>
              <w:jc w:val="center"/>
              <w:rPr>
                <w:rFonts w:asciiTheme="minorHAnsi" w:hAnsiTheme="minorHAnsi" w:cstheme="minorHAnsi"/>
                <w:bCs/>
                <w:sz w:val="22"/>
                <w:szCs w:val="22"/>
              </w:rPr>
            </w:pPr>
          </w:p>
        </w:tc>
        <w:tc>
          <w:tcPr>
            <w:tcW w:w="2829" w:type="dxa"/>
          </w:tcPr>
          <w:p w:rsidR="0052073E" w:rsidRPr="00BE0594" w:rsidP="00A31757" w14:paraId="7B69F4CC" w14:textId="77777777">
            <w:pPr>
              <w:tabs>
                <w:tab w:val="left" w:pos="-720"/>
              </w:tabs>
              <w:suppressAutoHyphens/>
              <w:jc w:val="center"/>
              <w:rPr>
                <w:rFonts w:asciiTheme="minorHAnsi" w:hAnsiTheme="minorHAnsi" w:cstheme="minorHAnsi"/>
                <w:bCs/>
                <w:sz w:val="22"/>
                <w:szCs w:val="22"/>
              </w:rPr>
            </w:pPr>
          </w:p>
        </w:tc>
        <w:tc>
          <w:tcPr>
            <w:tcW w:w="2430" w:type="dxa"/>
          </w:tcPr>
          <w:p w:rsidR="0052073E" w:rsidRPr="00BE0594" w:rsidP="00A31757" w14:paraId="2AE13D35" w14:textId="77777777">
            <w:pPr>
              <w:tabs>
                <w:tab w:val="left" w:pos="-720"/>
              </w:tabs>
              <w:suppressAutoHyphens/>
              <w:jc w:val="center"/>
              <w:rPr>
                <w:rFonts w:asciiTheme="minorHAnsi" w:hAnsiTheme="minorHAnsi" w:cstheme="minorHAnsi"/>
                <w:bCs/>
                <w:sz w:val="22"/>
                <w:szCs w:val="22"/>
              </w:rPr>
            </w:pPr>
          </w:p>
        </w:tc>
      </w:tr>
    </w:tbl>
    <w:p w:rsidR="00246AFD" w:rsidP="004C1F24" w14:paraId="43E311D1" w14:textId="77777777">
      <w:pPr>
        <w:pStyle w:val="ListParagraph"/>
        <w:tabs>
          <w:tab w:val="left" w:pos="-720"/>
        </w:tabs>
        <w:suppressAutoHyphens/>
        <w:spacing w:before="120" w:line="276" w:lineRule="auto"/>
        <w:ind w:left="806"/>
        <w:rPr>
          <w:rStyle w:val="a"/>
          <w:rFonts w:asciiTheme="minorHAnsi" w:hAnsiTheme="minorHAnsi" w:cstheme="minorHAnsi"/>
          <w:b/>
          <w:sz w:val="22"/>
          <w:szCs w:val="22"/>
        </w:rPr>
      </w:pPr>
    </w:p>
    <w:p w:rsidR="00EA2F83" w:rsidP="07225738" w14:paraId="532176AA" w14:textId="19451A0C">
      <w:pPr>
        <w:pStyle w:val="ListParagraph"/>
        <w:suppressAutoHyphens/>
        <w:spacing w:before="120" w:line="276" w:lineRule="auto"/>
        <w:ind w:left="806"/>
        <w:rPr>
          <w:rStyle w:val="a"/>
          <w:rFonts w:asciiTheme="minorHAnsi" w:hAnsiTheme="minorHAnsi" w:cstheme="minorBidi"/>
          <w:sz w:val="22"/>
          <w:szCs w:val="22"/>
        </w:rPr>
      </w:pPr>
      <w:r>
        <w:rPr>
          <w:rStyle w:val="a"/>
          <w:rFonts w:asciiTheme="minorHAnsi" w:hAnsiTheme="minorHAnsi" w:cstheme="minorBidi"/>
          <w:sz w:val="22"/>
          <w:szCs w:val="22"/>
        </w:rPr>
        <w:t>1869</w:t>
      </w:r>
    </w:p>
    <w:p w:rsidR="001D0C8D" w:rsidRPr="001D0C8D" w:rsidP="001D0C8D" w14:paraId="6C96961F" w14:textId="77777777">
      <w:pPr>
        <w:pStyle w:val="ListParagraph"/>
        <w:tabs>
          <w:tab w:val="left" w:pos="-720"/>
        </w:tabs>
        <w:suppressAutoHyphens/>
        <w:spacing w:before="120" w:line="276" w:lineRule="auto"/>
        <w:ind w:left="806"/>
        <w:rPr>
          <w:rStyle w:val="a"/>
          <w:rFonts w:asciiTheme="minorHAnsi" w:hAnsiTheme="minorHAnsi" w:cstheme="minorHAnsi"/>
          <w:bCs/>
          <w:sz w:val="22"/>
          <w:szCs w:val="22"/>
        </w:rPr>
      </w:pPr>
    </w:p>
    <w:p w:rsidR="00043C32" w:rsidRPr="00E622CD" w:rsidP="007454A0" w14:paraId="40A507B5" w14:textId="21C30EF4">
      <w:pPr>
        <w:pStyle w:val="ListParagraph"/>
        <w:numPr>
          <w:ilvl w:val="0"/>
          <w:numId w:val="5"/>
        </w:numPr>
        <w:tabs>
          <w:tab w:val="left" w:pos="-720"/>
        </w:tabs>
        <w:suppressAutoHyphens/>
        <w:spacing w:before="120" w:line="276" w:lineRule="auto"/>
        <w:ind w:left="806" w:hanging="446"/>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03CE" w:rsidRPr="00E622CD" w:rsidP="006C698D" w14:paraId="16258C3D" w14:textId="77777777">
      <w:pPr>
        <w:tabs>
          <w:tab w:val="left" w:pos="-720"/>
        </w:tabs>
        <w:suppressAutoHyphens/>
        <w:spacing w:after="120" w:line="276" w:lineRule="auto"/>
        <w:ind w:left="810"/>
        <w:rPr>
          <w:rFonts w:asciiTheme="minorHAnsi" w:hAnsiTheme="minorHAnsi" w:cstheme="minorHAnsi"/>
          <w:sz w:val="22"/>
          <w:szCs w:val="22"/>
        </w:rPr>
      </w:pPr>
      <w:r w:rsidRPr="00E622CD">
        <w:rPr>
          <w:rFonts w:asciiTheme="minorHAnsi" w:hAnsiTheme="minorHAnsi" w:cstheme="minorHAnsi"/>
          <w:sz w:val="22"/>
          <w:szCs w:val="22"/>
        </w:rPr>
        <w:t>The results of this information collection will not be published.</w:t>
      </w:r>
    </w:p>
    <w:p w:rsidR="00043C32" w:rsidRPr="00E622CD" w:rsidP="006C698D" w14:paraId="3981BFB3" w14:textId="77777777">
      <w:pPr>
        <w:pStyle w:val="ListParagraph"/>
        <w:numPr>
          <w:ilvl w:val="0"/>
          <w:numId w:val="5"/>
        </w:numPr>
        <w:tabs>
          <w:tab w:val="left" w:pos="-720"/>
        </w:tabs>
        <w:suppressAutoHyphens/>
        <w:spacing w:after="120" w:line="276" w:lineRule="auto"/>
        <w:ind w:left="810"/>
        <w:contextualSpacing w:val="0"/>
        <w:rPr>
          <w:rStyle w:val="a"/>
          <w:rFonts w:asciiTheme="minorHAnsi" w:hAnsiTheme="minorHAnsi" w:cstheme="minorHAnsi"/>
          <w:b/>
          <w:sz w:val="22"/>
          <w:szCs w:val="22"/>
        </w:rPr>
      </w:pPr>
      <w:r w:rsidRPr="00E622CD">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534B4A" w:rsidRPr="00E622CD" w:rsidP="006C698D" w14:paraId="41A41111" w14:textId="77777777">
      <w:pPr>
        <w:tabs>
          <w:tab w:val="left" w:pos="-720"/>
        </w:tabs>
        <w:suppressAutoHyphens/>
        <w:spacing w:after="120" w:line="276" w:lineRule="auto"/>
        <w:ind w:left="810"/>
        <w:rPr>
          <w:rFonts w:asciiTheme="minorHAnsi" w:hAnsiTheme="minorHAnsi" w:cstheme="minorHAnsi"/>
          <w:bCs/>
          <w:sz w:val="22"/>
          <w:szCs w:val="22"/>
        </w:rPr>
      </w:pPr>
      <w:r w:rsidRPr="00E622CD">
        <w:rPr>
          <w:rFonts w:asciiTheme="minorHAnsi" w:hAnsiTheme="minorHAnsi" w:cstheme="minorHAnsi"/>
          <w:sz w:val="22"/>
          <w:szCs w:val="22"/>
        </w:rPr>
        <w:t>The Department is not seeking this approval.</w:t>
      </w:r>
    </w:p>
    <w:p w:rsidR="001C73C0" w:rsidRPr="00E622CD" w:rsidP="006C698D" w14:paraId="4E2F8740" w14:textId="77777777">
      <w:pPr>
        <w:pStyle w:val="ListParagraph"/>
        <w:numPr>
          <w:ilvl w:val="0"/>
          <w:numId w:val="5"/>
        </w:numPr>
        <w:tabs>
          <w:tab w:val="left" w:pos="-720"/>
        </w:tabs>
        <w:suppressAutoHyphens/>
        <w:spacing w:after="120" w:line="276" w:lineRule="auto"/>
        <w:ind w:left="810"/>
        <w:rPr>
          <w:rStyle w:val="a"/>
          <w:rFonts w:asciiTheme="minorHAnsi" w:hAnsiTheme="minorHAnsi" w:cstheme="minorHAnsi"/>
          <w:b/>
          <w:sz w:val="22"/>
          <w:szCs w:val="22"/>
        </w:rPr>
      </w:pPr>
      <w:r w:rsidRPr="00E622CD">
        <w:rPr>
          <w:rStyle w:val="a"/>
          <w:rFonts w:asciiTheme="minorHAnsi" w:hAnsiTheme="minorHAnsi" w:cstheme="minorHAnsi"/>
          <w:b/>
          <w:sz w:val="22"/>
          <w:szCs w:val="22"/>
        </w:rPr>
        <w:t>Explain each exception to the certification statement identified in the Certification of Paperwork Reduction Act.</w:t>
      </w:r>
    </w:p>
    <w:p w:rsidR="00AA5138" w:rsidRPr="00E622CD" w:rsidP="006C698D" w14:paraId="1064866F" w14:textId="77777777">
      <w:pPr>
        <w:tabs>
          <w:tab w:val="left" w:pos="-720"/>
        </w:tabs>
        <w:suppressAutoHyphens/>
        <w:spacing w:after="120" w:line="276" w:lineRule="auto"/>
        <w:ind w:left="810"/>
        <w:rPr>
          <w:rFonts w:asciiTheme="minorHAnsi" w:hAnsiTheme="minorHAnsi" w:cstheme="minorHAnsi"/>
          <w:bCs/>
          <w:sz w:val="22"/>
          <w:szCs w:val="22"/>
        </w:rPr>
      </w:pPr>
      <w:r w:rsidRPr="00E622CD">
        <w:rPr>
          <w:rFonts w:asciiTheme="minorHAnsi" w:hAnsiTheme="minorHAnsi" w:cstheme="minorHAnsi"/>
          <w:sz w:val="22"/>
          <w:szCs w:val="22"/>
        </w:rPr>
        <w:t>The Department is not requesting any exceptions to the Certification for Paperwork Reduction Act Submissions.</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C1E314A" w14:textId="77777777">
    <w:pPr>
      <w:spacing w:before="140" w:line="100" w:lineRule="exact"/>
      <w:rPr>
        <w:sz w:val="10"/>
      </w:rPr>
    </w:pPr>
  </w:p>
  <w:p w:rsidR="00386054" w14:paraId="6D55A571" w14:textId="77777777">
    <w:pPr>
      <w:tabs>
        <w:tab w:val="left" w:pos="0"/>
      </w:tabs>
      <w:suppressAutoHyphens/>
    </w:pPr>
  </w:p>
  <w:p w:rsidR="00386054" w14:paraId="09B8DDC9"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5F2D79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2349" w:rsidP="00043C32" w14:paraId="5F977E9B" w14:textId="77777777">
      <w:r>
        <w:separator/>
      </w:r>
    </w:p>
  </w:footnote>
  <w:footnote w:type="continuationSeparator" w:id="1">
    <w:p w:rsidR="005C2349" w:rsidP="00043C32" w14:paraId="3E73438F" w14:textId="77777777">
      <w:r>
        <w:continuationSeparator/>
      </w:r>
    </w:p>
  </w:footnote>
  <w:footnote w:type="continuationNotice" w:id="2">
    <w:p w:rsidR="005C2349" w14:paraId="28621C9D" w14:textId="77777777"/>
  </w:footnote>
  <w:footnote w:id="3">
    <w:p w:rsidR="00043C32" w:rsidRPr="00E73066" w:rsidP="00043C32" w14:paraId="47745C01" w14:textId="77777777">
      <w:pPr>
        <w:pStyle w:val="FootnoteText"/>
        <w:rPr>
          <w:rFonts w:asciiTheme="minorHAnsi" w:hAnsiTheme="minorHAnsi" w:cstheme="minorHAnsi"/>
        </w:rPr>
      </w:pPr>
      <w:r>
        <w:rPr>
          <w:rStyle w:val="FootnoteReference"/>
        </w:rPr>
        <w:footnoteRef/>
      </w:r>
      <w:r>
        <w:t xml:space="preserve"> </w:t>
      </w:r>
      <w:r w:rsidRPr="00E73066">
        <w:rPr>
          <w:rFonts w:asciiTheme="minorHAnsi" w:hAnsiTheme="minorHAnsi" w:cstheme="minorHAnsi"/>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46758F" w:rsidP="07225738" w14:paraId="33F9A112" w14:textId="344A3994">
    <w:pPr>
      <w:pStyle w:val="Header"/>
      <w:rPr>
        <w:rFonts w:asciiTheme="minorHAnsi" w:hAnsiTheme="minorHAnsi" w:cstheme="minorBidi"/>
        <w:color w:val="FFFFFF" w:themeColor="background1"/>
        <w:sz w:val="22"/>
        <w:szCs w:val="22"/>
      </w:rPr>
    </w:pPr>
    <w:r w:rsidRPr="07225738">
      <w:rPr>
        <w:rFonts w:asciiTheme="minorHAnsi" w:hAnsiTheme="minorHAnsi" w:cstheme="minorBidi"/>
        <w:sz w:val="22"/>
        <w:szCs w:val="22"/>
      </w:rPr>
      <w:t>Tracking and OMB Number: (XX) 1845-0007</w:t>
    </w:r>
    <w:r w:rsidR="4AD6F65D">
      <w:tab/>
    </w:r>
    <w:r w:rsidRPr="07225738">
      <w:rPr>
        <w:rFonts w:asciiTheme="minorHAnsi" w:hAnsiTheme="minorHAnsi" w:cstheme="minorBidi"/>
        <w:sz w:val="22"/>
        <w:szCs w:val="22"/>
      </w:rPr>
      <w:t>Revised: 0</w:t>
    </w:r>
    <w:r w:rsidR="00A83ED4">
      <w:rPr>
        <w:rFonts w:asciiTheme="minorHAnsi" w:hAnsiTheme="minorHAnsi" w:cstheme="minorBidi"/>
        <w:sz w:val="22"/>
        <w:szCs w:val="22"/>
      </w:rPr>
      <w:t>6</w:t>
    </w:r>
    <w:r w:rsidRPr="07225738">
      <w:rPr>
        <w:rFonts w:asciiTheme="minorHAnsi" w:hAnsiTheme="minorHAnsi" w:cstheme="minorBidi"/>
        <w:sz w:val="22"/>
        <w:szCs w:val="22"/>
      </w:rPr>
      <w:t>/</w:t>
    </w:r>
    <w:r w:rsidR="00B22990">
      <w:rPr>
        <w:rFonts w:asciiTheme="minorHAnsi" w:hAnsiTheme="minorHAnsi" w:cstheme="minorBidi"/>
        <w:sz w:val="22"/>
        <w:szCs w:val="22"/>
      </w:rPr>
      <w:t>15</w:t>
    </w:r>
    <w:r w:rsidRPr="07225738">
      <w:rPr>
        <w:rFonts w:asciiTheme="minorHAnsi" w:hAnsiTheme="minorHAnsi" w:cstheme="minorBidi"/>
        <w:sz w:val="22"/>
        <w:szCs w:val="22"/>
      </w:rPr>
      <w:t>/2026</w:t>
    </w:r>
  </w:p>
  <w:p w:rsidR="005F4E11" w14:paraId="0AA4F0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B141A4"/>
    <w:multiLevelType w:val="hybridMultilevel"/>
    <w:tmpl w:val="D9DA42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650FDB"/>
    <w:multiLevelType w:val="hybridMultilevel"/>
    <w:tmpl w:val="E4287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A46A23"/>
    <w:multiLevelType w:val="hybridMultilevel"/>
    <w:tmpl w:val="305242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51945C0"/>
    <w:multiLevelType w:val="hybridMultilevel"/>
    <w:tmpl w:val="B74C7C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FF6BBB"/>
    <w:multiLevelType w:val="hybridMultilevel"/>
    <w:tmpl w:val="5314A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6F5F8A"/>
    <w:multiLevelType w:val="hybridMultilevel"/>
    <w:tmpl w:val="E78A2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9">
    <w:nsid w:val="512A71D0"/>
    <w:multiLevelType w:val="hybridMultilevel"/>
    <w:tmpl w:val="2D14B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02154C"/>
    <w:multiLevelType w:val="hybridMultilevel"/>
    <w:tmpl w:val="732E2C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0A11087"/>
    <w:multiLevelType w:val="hybridMultilevel"/>
    <w:tmpl w:val="5838C7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8"/>
  </w:num>
  <w:num w:numId="3" w16cid:durableId="2137870042">
    <w:abstractNumId w:val="7"/>
  </w:num>
  <w:num w:numId="4" w16cid:durableId="1161192811">
    <w:abstractNumId w:val="12"/>
  </w:num>
  <w:num w:numId="5" w16cid:durableId="1933124869">
    <w:abstractNumId w:val="13"/>
  </w:num>
  <w:num w:numId="6" w16cid:durableId="180163440">
    <w:abstractNumId w:val="10"/>
  </w:num>
  <w:num w:numId="7" w16cid:durableId="860750746">
    <w:abstractNumId w:val="9"/>
  </w:num>
  <w:num w:numId="8" w16cid:durableId="1668632115">
    <w:abstractNumId w:val="3"/>
  </w:num>
  <w:num w:numId="9" w16cid:durableId="2100322575">
    <w:abstractNumId w:val="6"/>
  </w:num>
  <w:num w:numId="10" w16cid:durableId="317077656">
    <w:abstractNumId w:val="4"/>
  </w:num>
  <w:num w:numId="11" w16cid:durableId="806699080">
    <w:abstractNumId w:val="2"/>
  </w:num>
  <w:num w:numId="12" w16cid:durableId="1291668766">
    <w:abstractNumId w:val="5"/>
  </w:num>
  <w:num w:numId="13" w16cid:durableId="672337972">
    <w:abstractNumId w:val="1"/>
  </w:num>
  <w:num w:numId="14" w16cid:durableId="1284964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48B"/>
    <w:rsid w:val="00001902"/>
    <w:rsid w:val="00004B12"/>
    <w:rsid w:val="00010D85"/>
    <w:rsid w:val="00011327"/>
    <w:rsid w:val="00011908"/>
    <w:rsid w:val="00011AFD"/>
    <w:rsid w:val="00013AAA"/>
    <w:rsid w:val="00014BE1"/>
    <w:rsid w:val="00020F79"/>
    <w:rsid w:val="0002290A"/>
    <w:rsid w:val="000251EB"/>
    <w:rsid w:val="000259F1"/>
    <w:rsid w:val="00026E78"/>
    <w:rsid w:val="0002794E"/>
    <w:rsid w:val="00027954"/>
    <w:rsid w:val="00030299"/>
    <w:rsid w:val="00035580"/>
    <w:rsid w:val="00035D38"/>
    <w:rsid w:val="00035ED5"/>
    <w:rsid w:val="00043C32"/>
    <w:rsid w:val="000446F5"/>
    <w:rsid w:val="00044D4C"/>
    <w:rsid w:val="00045E43"/>
    <w:rsid w:val="0004658E"/>
    <w:rsid w:val="00046654"/>
    <w:rsid w:val="00053280"/>
    <w:rsid w:val="0006023A"/>
    <w:rsid w:val="00061435"/>
    <w:rsid w:val="000642D4"/>
    <w:rsid w:val="00064F12"/>
    <w:rsid w:val="0007076C"/>
    <w:rsid w:val="00073187"/>
    <w:rsid w:val="000777D3"/>
    <w:rsid w:val="0008380A"/>
    <w:rsid w:val="00084A64"/>
    <w:rsid w:val="000852A4"/>
    <w:rsid w:val="000867BD"/>
    <w:rsid w:val="0009001D"/>
    <w:rsid w:val="00091B31"/>
    <w:rsid w:val="00093017"/>
    <w:rsid w:val="00093434"/>
    <w:rsid w:val="0009458F"/>
    <w:rsid w:val="000946EA"/>
    <w:rsid w:val="00094784"/>
    <w:rsid w:val="00095A89"/>
    <w:rsid w:val="00096EAB"/>
    <w:rsid w:val="000A5F4B"/>
    <w:rsid w:val="000B0717"/>
    <w:rsid w:val="000B203A"/>
    <w:rsid w:val="000B24F6"/>
    <w:rsid w:val="000B4D56"/>
    <w:rsid w:val="000B572C"/>
    <w:rsid w:val="000C41D7"/>
    <w:rsid w:val="000C596B"/>
    <w:rsid w:val="000D0CE1"/>
    <w:rsid w:val="000D2749"/>
    <w:rsid w:val="000D35F2"/>
    <w:rsid w:val="000D4191"/>
    <w:rsid w:val="000D65AA"/>
    <w:rsid w:val="000D7111"/>
    <w:rsid w:val="000E22FF"/>
    <w:rsid w:val="000E4616"/>
    <w:rsid w:val="000E7DA3"/>
    <w:rsid w:val="000E7DB5"/>
    <w:rsid w:val="000F0762"/>
    <w:rsid w:val="000F7704"/>
    <w:rsid w:val="001011E6"/>
    <w:rsid w:val="001025EE"/>
    <w:rsid w:val="00102B1A"/>
    <w:rsid w:val="001070A5"/>
    <w:rsid w:val="00111DA3"/>
    <w:rsid w:val="001132C8"/>
    <w:rsid w:val="0011376A"/>
    <w:rsid w:val="00115252"/>
    <w:rsid w:val="00117B92"/>
    <w:rsid w:val="001259BD"/>
    <w:rsid w:val="00133BB5"/>
    <w:rsid w:val="00133E03"/>
    <w:rsid w:val="0013478A"/>
    <w:rsid w:val="00134CFA"/>
    <w:rsid w:val="001359C8"/>
    <w:rsid w:val="001364FA"/>
    <w:rsid w:val="0014018E"/>
    <w:rsid w:val="0014088C"/>
    <w:rsid w:val="0014131C"/>
    <w:rsid w:val="00147048"/>
    <w:rsid w:val="0015015C"/>
    <w:rsid w:val="0015032D"/>
    <w:rsid w:val="00150FE0"/>
    <w:rsid w:val="0015525D"/>
    <w:rsid w:val="0015572E"/>
    <w:rsid w:val="00155736"/>
    <w:rsid w:val="001564B4"/>
    <w:rsid w:val="0016687A"/>
    <w:rsid w:val="0017217F"/>
    <w:rsid w:val="00182156"/>
    <w:rsid w:val="001824F3"/>
    <w:rsid w:val="00182867"/>
    <w:rsid w:val="00186334"/>
    <w:rsid w:val="00186C4C"/>
    <w:rsid w:val="001875EC"/>
    <w:rsid w:val="001913FD"/>
    <w:rsid w:val="0019224A"/>
    <w:rsid w:val="00193734"/>
    <w:rsid w:val="001943BA"/>
    <w:rsid w:val="00194FCC"/>
    <w:rsid w:val="00197BCB"/>
    <w:rsid w:val="001A2EA4"/>
    <w:rsid w:val="001A315D"/>
    <w:rsid w:val="001A6AE0"/>
    <w:rsid w:val="001A6EF7"/>
    <w:rsid w:val="001B01D6"/>
    <w:rsid w:val="001B48C6"/>
    <w:rsid w:val="001B6E6E"/>
    <w:rsid w:val="001C05D3"/>
    <w:rsid w:val="001C4AEE"/>
    <w:rsid w:val="001C73C0"/>
    <w:rsid w:val="001D0C5E"/>
    <w:rsid w:val="001D0C8D"/>
    <w:rsid w:val="001D115C"/>
    <w:rsid w:val="001D2FEB"/>
    <w:rsid w:val="001D35D6"/>
    <w:rsid w:val="001E02CC"/>
    <w:rsid w:val="001E13B9"/>
    <w:rsid w:val="001E72FC"/>
    <w:rsid w:val="001E79BD"/>
    <w:rsid w:val="001E7ED7"/>
    <w:rsid w:val="001F29FD"/>
    <w:rsid w:val="001F6771"/>
    <w:rsid w:val="0020139B"/>
    <w:rsid w:val="0020380C"/>
    <w:rsid w:val="00205CF0"/>
    <w:rsid w:val="002156A8"/>
    <w:rsid w:val="0022195E"/>
    <w:rsid w:val="002222E4"/>
    <w:rsid w:val="002225CC"/>
    <w:rsid w:val="00224A3B"/>
    <w:rsid w:val="0022509A"/>
    <w:rsid w:val="00225F6D"/>
    <w:rsid w:val="00226246"/>
    <w:rsid w:val="002264E0"/>
    <w:rsid w:val="00226FBB"/>
    <w:rsid w:val="00230A84"/>
    <w:rsid w:val="00240A39"/>
    <w:rsid w:val="0024133C"/>
    <w:rsid w:val="00241513"/>
    <w:rsid w:val="00241EDC"/>
    <w:rsid w:val="0024366B"/>
    <w:rsid w:val="00244C67"/>
    <w:rsid w:val="00246AFD"/>
    <w:rsid w:val="00246FE9"/>
    <w:rsid w:val="00250100"/>
    <w:rsid w:val="002525C7"/>
    <w:rsid w:val="00253CEB"/>
    <w:rsid w:val="00254428"/>
    <w:rsid w:val="00254D35"/>
    <w:rsid w:val="002562ED"/>
    <w:rsid w:val="00256609"/>
    <w:rsid w:val="00256C00"/>
    <w:rsid w:val="0025737E"/>
    <w:rsid w:val="00262040"/>
    <w:rsid w:val="00262A69"/>
    <w:rsid w:val="00266BEA"/>
    <w:rsid w:val="00266C6C"/>
    <w:rsid w:val="002701E1"/>
    <w:rsid w:val="00270AF7"/>
    <w:rsid w:val="00271AB6"/>
    <w:rsid w:val="002736E8"/>
    <w:rsid w:val="00273884"/>
    <w:rsid w:val="00277AC1"/>
    <w:rsid w:val="00280127"/>
    <w:rsid w:val="00281D27"/>
    <w:rsid w:val="002822A2"/>
    <w:rsid w:val="0028395E"/>
    <w:rsid w:val="002842A5"/>
    <w:rsid w:val="00285F75"/>
    <w:rsid w:val="0029000E"/>
    <w:rsid w:val="002905FB"/>
    <w:rsid w:val="00293096"/>
    <w:rsid w:val="00296618"/>
    <w:rsid w:val="00297256"/>
    <w:rsid w:val="00297F68"/>
    <w:rsid w:val="00297FBC"/>
    <w:rsid w:val="002A0EF8"/>
    <w:rsid w:val="002A1D22"/>
    <w:rsid w:val="002A3221"/>
    <w:rsid w:val="002B1D33"/>
    <w:rsid w:val="002B679E"/>
    <w:rsid w:val="002C0994"/>
    <w:rsid w:val="002C3520"/>
    <w:rsid w:val="002C3CD9"/>
    <w:rsid w:val="002C3CDE"/>
    <w:rsid w:val="002D3B73"/>
    <w:rsid w:val="002D3CF0"/>
    <w:rsid w:val="002E14E0"/>
    <w:rsid w:val="002E2072"/>
    <w:rsid w:val="002E3781"/>
    <w:rsid w:val="002E3F55"/>
    <w:rsid w:val="002E46CE"/>
    <w:rsid w:val="002E4A37"/>
    <w:rsid w:val="002E6E76"/>
    <w:rsid w:val="002E7AB3"/>
    <w:rsid w:val="002F0616"/>
    <w:rsid w:val="002F186A"/>
    <w:rsid w:val="002F2FA4"/>
    <w:rsid w:val="002F3430"/>
    <w:rsid w:val="002F4958"/>
    <w:rsid w:val="002F55E5"/>
    <w:rsid w:val="002F7D37"/>
    <w:rsid w:val="003010C4"/>
    <w:rsid w:val="00301A58"/>
    <w:rsid w:val="00302C07"/>
    <w:rsid w:val="003052DA"/>
    <w:rsid w:val="00305C47"/>
    <w:rsid w:val="0031216D"/>
    <w:rsid w:val="003166A9"/>
    <w:rsid w:val="0032078A"/>
    <w:rsid w:val="003231E5"/>
    <w:rsid w:val="00323BA5"/>
    <w:rsid w:val="00324447"/>
    <w:rsid w:val="0032539E"/>
    <w:rsid w:val="00326311"/>
    <w:rsid w:val="00327292"/>
    <w:rsid w:val="0032735A"/>
    <w:rsid w:val="0032748C"/>
    <w:rsid w:val="00327741"/>
    <w:rsid w:val="00330752"/>
    <w:rsid w:val="00331719"/>
    <w:rsid w:val="00333ED0"/>
    <w:rsid w:val="00335152"/>
    <w:rsid w:val="0033531A"/>
    <w:rsid w:val="00340A05"/>
    <w:rsid w:val="00341D57"/>
    <w:rsid w:val="003432AB"/>
    <w:rsid w:val="00344244"/>
    <w:rsid w:val="00347A08"/>
    <w:rsid w:val="00352182"/>
    <w:rsid w:val="003600BE"/>
    <w:rsid w:val="003611E6"/>
    <w:rsid w:val="00363128"/>
    <w:rsid w:val="00365957"/>
    <w:rsid w:val="0036598D"/>
    <w:rsid w:val="00366934"/>
    <w:rsid w:val="00370242"/>
    <w:rsid w:val="00371496"/>
    <w:rsid w:val="00372BD4"/>
    <w:rsid w:val="003770BE"/>
    <w:rsid w:val="003772A6"/>
    <w:rsid w:val="00382C24"/>
    <w:rsid w:val="00386054"/>
    <w:rsid w:val="003860E4"/>
    <w:rsid w:val="003A2A35"/>
    <w:rsid w:val="003A5A80"/>
    <w:rsid w:val="003A7411"/>
    <w:rsid w:val="003B06B5"/>
    <w:rsid w:val="003B1545"/>
    <w:rsid w:val="003B7057"/>
    <w:rsid w:val="003C16BA"/>
    <w:rsid w:val="003C24DE"/>
    <w:rsid w:val="003C2D15"/>
    <w:rsid w:val="003C496D"/>
    <w:rsid w:val="003C5F23"/>
    <w:rsid w:val="003C6825"/>
    <w:rsid w:val="003C7249"/>
    <w:rsid w:val="003D10BE"/>
    <w:rsid w:val="003D4D62"/>
    <w:rsid w:val="003D6A27"/>
    <w:rsid w:val="003E05A7"/>
    <w:rsid w:val="003E1A95"/>
    <w:rsid w:val="003E2DBB"/>
    <w:rsid w:val="003E6197"/>
    <w:rsid w:val="003F1C67"/>
    <w:rsid w:val="003F31ED"/>
    <w:rsid w:val="00400A82"/>
    <w:rsid w:val="00405F8B"/>
    <w:rsid w:val="00406C6A"/>
    <w:rsid w:val="00407541"/>
    <w:rsid w:val="00411101"/>
    <w:rsid w:val="004115F8"/>
    <w:rsid w:val="00411B15"/>
    <w:rsid w:val="00412915"/>
    <w:rsid w:val="00414D1F"/>
    <w:rsid w:val="00417D13"/>
    <w:rsid w:val="0042076F"/>
    <w:rsid w:val="00421F0A"/>
    <w:rsid w:val="004228C3"/>
    <w:rsid w:val="00422F6D"/>
    <w:rsid w:val="00432541"/>
    <w:rsid w:val="00433059"/>
    <w:rsid w:val="00435500"/>
    <w:rsid w:val="004364F5"/>
    <w:rsid w:val="004428E6"/>
    <w:rsid w:val="00442E07"/>
    <w:rsid w:val="00443794"/>
    <w:rsid w:val="00444E9D"/>
    <w:rsid w:val="0044715D"/>
    <w:rsid w:val="00454FC8"/>
    <w:rsid w:val="0045668B"/>
    <w:rsid w:val="0046668B"/>
    <w:rsid w:val="0046758F"/>
    <w:rsid w:val="00470963"/>
    <w:rsid w:val="0047165C"/>
    <w:rsid w:val="00476151"/>
    <w:rsid w:val="00481954"/>
    <w:rsid w:val="00482D2F"/>
    <w:rsid w:val="004907DF"/>
    <w:rsid w:val="00492464"/>
    <w:rsid w:val="00492B54"/>
    <w:rsid w:val="0049538C"/>
    <w:rsid w:val="004A3BDF"/>
    <w:rsid w:val="004A4F6C"/>
    <w:rsid w:val="004A7D70"/>
    <w:rsid w:val="004B1658"/>
    <w:rsid w:val="004B379C"/>
    <w:rsid w:val="004C1BB1"/>
    <w:rsid w:val="004C1F24"/>
    <w:rsid w:val="004C556D"/>
    <w:rsid w:val="004C59BD"/>
    <w:rsid w:val="004D0BA1"/>
    <w:rsid w:val="004D1007"/>
    <w:rsid w:val="004D1978"/>
    <w:rsid w:val="004D28E9"/>
    <w:rsid w:val="004D36E0"/>
    <w:rsid w:val="004D37CB"/>
    <w:rsid w:val="004D3AB7"/>
    <w:rsid w:val="004D415E"/>
    <w:rsid w:val="004D6420"/>
    <w:rsid w:val="004D6C00"/>
    <w:rsid w:val="004E0BDB"/>
    <w:rsid w:val="004E28CF"/>
    <w:rsid w:val="004E5BC6"/>
    <w:rsid w:val="004E62A3"/>
    <w:rsid w:val="004E6A87"/>
    <w:rsid w:val="004F4509"/>
    <w:rsid w:val="004F4597"/>
    <w:rsid w:val="004F6EFC"/>
    <w:rsid w:val="005033D1"/>
    <w:rsid w:val="00503806"/>
    <w:rsid w:val="005072E4"/>
    <w:rsid w:val="00507308"/>
    <w:rsid w:val="00510820"/>
    <w:rsid w:val="005125C4"/>
    <w:rsid w:val="00512C43"/>
    <w:rsid w:val="005143B5"/>
    <w:rsid w:val="0051A559"/>
    <w:rsid w:val="0052073E"/>
    <w:rsid w:val="00520F9D"/>
    <w:rsid w:val="00522950"/>
    <w:rsid w:val="0052458A"/>
    <w:rsid w:val="00525394"/>
    <w:rsid w:val="005271EE"/>
    <w:rsid w:val="005341BD"/>
    <w:rsid w:val="00534B4A"/>
    <w:rsid w:val="00537F1A"/>
    <w:rsid w:val="00540C3D"/>
    <w:rsid w:val="005442F4"/>
    <w:rsid w:val="00545E9D"/>
    <w:rsid w:val="00556A70"/>
    <w:rsid w:val="00557D58"/>
    <w:rsid w:val="00560424"/>
    <w:rsid w:val="00560729"/>
    <w:rsid w:val="005645D1"/>
    <w:rsid w:val="00571F08"/>
    <w:rsid w:val="00575DDA"/>
    <w:rsid w:val="00581C11"/>
    <w:rsid w:val="005829FC"/>
    <w:rsid w:val="0058350F"/>
    <w:rsid w:val="00583F19"/>
    <w:rsid w:val="005841D1"/>
    <w:rsid w:val="00584B5F"/>
    <w:rsid w:val="00585D09"/>
    <w:rsid w:val="005863F6"/>
    <w:rsid w:val="005869B4"/>
    <w:rsid w:val="00591E3C"/>
    <w:rsid w:val="00592E9E"/>
    <w:rsid w:val="00593973"/>
    <w:rsid w:val="00593A6A"/>
    <w:rsid w:val="005943E1"/>
    <w:rsid w:val="00594F63"/>
    <w:rsid w:val="00596265"/>
    <w:rsid w:val="0059679D"/>
    <w:rsid w:val="005A5AC8"/>
    <w:rsid w:val="005A74B1"/>
    <w:rsid w:val="005A7CC3"/>
    <w:rsid w:val="005B304B"/>
    <w:rsid w:val="005B5E3C"/>
    <w:rsid w:val="005B6AD1"/>
    <w:rsid w:val="005C2349"/>
    <w:rsid w:val="005C726E"/>
    <w:rsid w:val="005D14B2"/>
    <w:rsid w:val="005D4496"/>
    <w:rsid w:val="005D596A"/>
    <w:rsid w:val="005E14C3"/>
    <w:rsid w:val="005E34ED"/>
    <w:rsid w:val="005E70A0"/>
    <w:rsid w:val="005E7441"/>
    <w:rsid w:val="005F165F"/>
    <w:rsid w:val="005F1A46"/>
    <w:rsid w:val="005F4E11"/>
    <w:rsid w:val="005F77AB"/>
    <w:rsid w:val="00601CD6"/>
    <w:rsid w:val="00603773"/>
    <w:rsid w:val="00607F81"/>
    <w:rsid w:val="00612472"/>
    <w:rsid w:val="00612B1A"/>
    <w:rsid w:val="00613481"/>
    <w:rsid w:val="00616E9C"/>
    <w:rsid w:val="006170A0"/>
    <w:rsid w:val="00622909"/>
    <w:rsid w:val="00623AE4"/>
    <w:rsid w:val="00623F02"/>
    <w:rsid w:val="00624581"/>
    <w:rsid w:val="006251A8"/>
    <w:rsid w:val="00625993"/>
    <w:rsid w:val="00625BF7"/>
    <w:rsid w:val="00627FE4"/>
    <w:rsid w:val="00630D9C"/>
    <w:rsid w:val="00631050"/>
    <w:rsid w:val="00632889"/>
    <w:rsid w:val="0063639B"/>
    <w:rsid w:val="00646C14"/>
    <w:rsid w:val="00653593"/>
    <w:rsid w:val="00653EF2"/>
    <w:rsid w:val="00654464"/>
    <w:rsid w:val="00670795"/>
    <w:rsid w:val="00671CF7"/>
    <w:rsid w:val="006734E8"/>
    <w:rsid w:val="00674C16"/>
    <w:rsid w:val="006773AA"/>
    <w:rsid w:val="00681AE8"/>
    <w:rsid w:val="0068254E"/>
    <w:rsid w:val="0068567A"/>
    <w:rsid w:val="006866BA"/>
    <w:rsid w:val="00694599"/>
    <w:rsid w:val="00694B6C"/>
    <w:rsid w:val="00694E41"/>
    <w:rsid w:val="006A292A"/>
    <w:rsid w:val="006A37A2"/>
    <w:rsid w:val="006A38F7"/>
    <w:rsid w:val="006A4D05"/>
    <w:rsid w:val="006A4EBB"/>
    <w:rsid w:val="006B0C5B"/>
    <w:rsid w:val="006B3AFD"/>
    <w:rsid w:val="006B3FF7"/>
    <w:rsid w:val="006B4050"/>
    <w:rsid w:val="006B4172"/>
    <w:rsid w:val="006B5797"/>
    <w:rsid w:val="006B5CED"/>
    <w:rsid w:val="006B61D0"/>
    <w:rsid w:val="006C401E"/>
    <w:rsid w:val="006C698D"/>
    <w:rsid w:val="006E17E2"/>
    <w:rsid w:val="006E36B6"/>
    <w:rsid w:val="006E424A"/>
    <w:rsid w:val="006E45D3"/>
    <w:rsid w:val="006E5BEA"/>
    <w:rsid w:val="006E742B"/>
    <w:rsid w:val="006E7767"/>
    <w:rsid w:val="006F20BE"/>
    <w:rsid w:val="006F2586"/>
    <w:rsid w:val="00702D80"/>
    <w:rsid w:val="00704C7A"/>
    <w:rsid w:val="00713B69"/>
    <w:rsid w:val="00714551"/>
    <w:rsid w:val="00714B93"/>
    <w:rsid w:val="00716F5E"/>
    <w:rsid w:val="00717ADC"/>
    <w:rsid w:val="00717FF3"/>
    <w:rsid w:val="00720B28"/>
    <w:rsid w:val="0072103D"/>
    <w:rsid w:val="0072130E"/>
    <w:rsid w:val="00721CFC"/>
    <w:rsid w:val="00724756"/>
    <w:rsid w:val="00724AB4"/>
    <w:rsid w:val="0072788E"/>
    <w:rsid w:val="00730224"/>
    <w:rsid w:val="007306C3"/>
    <w:rsid w:val="007307E1"/>
    <w:rsid w:val="007317C7"/>
    <w:rsid w:val="00731A7E"/>
    <w:rsid w:val="00737551"/>
    <w:rsid w:val="007454A0"/>
    <w:rsid w:val="00750AC0"/>
    <w:rsid w:val="00750D4C"/>
    <w:rsid w:val="00751DF8"/>
    <w:rsid w:val="0075500A"/>
    <w:rsid w:val="00755D99"/>
    <w:rsid w:val="00756FD3"/>
    <w:rsid w:val="00757D29"/>
    <w:rsid w:val="00764A09"/>
    <w:rsid w:val="00765392"/>
    <w:rsid w:val="00772DDE"/>
    <w:rsid w:val="00775379"/>
    <w:rsid w:val="0078515A"/>
    <w:rsid w:val="0078644B"/>
    <w:rsid w:val="007902B3"/>
    <w:rsid w:val="00790E3E"/>
    <w:rsid w:val="007914E9"/>
    <w:rsid w:val="007918A4"/>
    <w:rsid w:val="00791BCD"/>
    <w:rsid w:val="007936D3"/>
    <w:rsid w:val="00794521"/>
    <w:rsid w:val="00796BFA"/>
    <w:rsid w:val="00797B81"/>
    <w:rsid w:val="007A2242"/>
    <w:rsid w:val="007A2348"/>
    <w:rsid w:val="007A4D77"/>
    <w:rsid w:val="007A5678"/>
    <w:rsid w:val="007A5F49"/>
    <w:rsid w:val="007B2C1A"/>
    <w:rsid w:val="007B2EC2"/>
    <w:rsid w:val="007B3970"/>
    <w:rsid w:val="007C0A4C"/>
    <w:rsid w:val="007C1A24"/>
    <w:rsid w:val="007C2AEB"/>
    <w:rsid w:val="007C3263"/>
    <w:rsid w:val="007C44EA"/>
    <w:rsid w:val="007C4C37"/>
    <w:rsid w:val="007C569A"/>
    <w:rsid w:val="007C60A9"/>
    <w:rsid w:val="007C700A"/>
    <w:rsid w:val="007C799B"/>
    <w:rsid w:val="007D0E1A"/>
    <w:rsid w:val="007D2380"/>
    <w:rsid w:val="007D3503"/>
    <w:rsid w:val="007D5B8B"/>
    <w:rsid w:val="007D7C66"/>
    <w:rsid w:val="007E00D1"/>
    <w:rsid w:val="007E06C0"/>
    <w:rsid w:val="007E259B"/>
    <w:rsid w:val="007E4EA1"/>
    <w:rsid w:val="007F0B19"/>
    <w:rsid w:val="007F42A5"/>
    <w:rsid w:val="007F6104"/>
    <w:rsid w:val="00800D30"/>
    <w:rsid w:val="00800E5E"/>
    <w:rsid w:val="00802559"/>
    <w:rsid w:val="00802C32"/>
    <w:rsid w:val="00802D90"/>
    <w:rsid w:val="00802F03"/>
    <w:rsid w:val="00802F3F"/>
    <w:rsid w:val="0080712D"/>
    <w:rsid w:val="008071AB"/>
    <w:rsid w:val="00807D1A"/>
    <w:rsid w:val="008127F6"/>
    <w:rsid w:val="0081772B"/>
    <w:rsid w:val="00817C01"/>
    <w:rsid w:val="00820238"/>
    <w:rsid w:val="008240B7"/>
    <w:rsid w:val="00825E46"/>
    <w:rsid w:val="0082763A"/>
    <w:rsid w:val="00827773"/>
    <w:rsid w:val="00834A62"/>
    <w:rsid w:val="008365E6"/>
    <w:rsid w:val="00837F75"/>
    <w:rsid w:val="00841DE5"/>
    <w:rsid w:val="00852F9E"/>
    <w:rsid w:val="008558BA"/>
    <w:rsid w:val="00857D80"/>
    <w:rsid w:val="00861EBD"/>
    <w:rsid w:val="00864907"/>
    <w:rsid w:val="008724FF"/>
    <w:rsid w:val="00872A30"/>
    <w:rsid w:val="00872DBF"/>
    <w:rsid w:val="00874EFE"/>
    <w:rsid w:val="00875EC7"/>
    <w:rsid w:val="00876523"/>
    <w:rsid w:val="00880CC1"/>
    <w:rsid w:val="00882126"/>
    <w:rsid w:val="00885920"/>
    <w:rsid w:val="00887412"/>
    <w:rsid w:val="008901D1"/>
    <w:rsid w:val="008933F1"/>
    <w:rsid w:val="0089354B"/>
    <w:rsid w:val="0089378C"/>
    <w:rsid w:val="008A2C38"/>
    <w:rsid w:val="008B2D6F"/>
    <w:rsid w:val="008B325D"/>
    <w:rsid w:val="008C11E1"/>
    <w:rsid w:val="008C1AEF"/>
    <w:rsid w:val="008C1B66"/>
    <w:rsid w:val="008C5675"/>
    <w:rsid w:val="008C7300"/>
    <w:rsid w:val="008C7982"/>
    <w:rsid w:val="008D0601"/>
    <w:rsid w:val="008D15DB"/>
    <w:rsid w:val="008D1F11"/>
    <w:rsid w:val="008E1194"/>
    <w:rsid w:val="008E22BB"/>
    <w:rsid w:val="008E5919"/>
    <w:rsid w:val="008E652A"/>
    <w:rsid w:val="008E7979"/>
    <w:rsid w:val="008F033D"/>
    <w:rsid w:val="008F3C08"/>
    <w:rsid w:val="008F6BD4"/>
    <w:rsid w:val="0090250C"/>
    <w:rsid w:val="00902BF9"/>
    <w:rsid w:val="00904325"/>
    <w:rsid w:val="009044F1"/>
    <w:rsid w:val="00905951"/>
    <w:rsid w:val="009068E6"/>
    <w:rsid w:val="00907319"/>
    <w:rsid w:val="0091001E"/>
    <w:rsid w:val="00912D2C"/>
    <w:rsid w:val="00915499"/>
    <w:rsid w:val="00916141"/>
    <w:rsid w:val="00916EE4"/>
    <w:rsid w:val="009204AB"/>
    <w:rsid w:val="00920F63"/>
    <w:rsid w:val="00922EAB"/>
    <w:rsid w:val="00924173"/>
    <w:rsid w:val="00924240"/>
    <w:rsid w:val="009243F3"/>
    <w:rsid w:val="00931956"/>
    <w:rsid w:val="00932FD7"/>
    <w:rsid w:val="0093366B"/>
    <w:rsid w:val="00934185"/>
    <w:rsid w:val="00935C13"/>
    <w:rsid w:val="00936335"/>
    <w:rsid w:val="00941795"/>
    <w:rsid w:val="0094339F"/>
    <w:rsid w:val="009459E8"/>
    <w:rsid w:val="00946126"/>
    <w:rsid w:val="009505F5"/>
    <w:rsid w:val="00952DF9"/>
    <w:rsid w:val="0095421D"/>
    <w:rsid w:val="00954B1D"/>
    <w:rsid w:val="00954D66"/>
    <w:rsid w:val="009553B5"/>
    <w:rsid w:val="009554EA"/>
    <w:rsid w:val="00956794"/>
    <w:rsid w:val="00960C86"/>
    <w:rsid w:val="00962F4E"/>
    <w:rsid w:val="00963E34"/>
    <w:rsid w:val="009656B2"/>
    <w:rsid w:val="009662E1"/>
    <w:rsid w:val="009678B6"/>
    <w:rsid w:val="00975570"/>
    <w:rsid w:val="00975F17"/>
    <w:rsid w:val="009767AF"/>
    <w:rsid w:val="00981F58"/>
    <w:rsid w:val="00986D0A"/>
    <w:rsid w:val="0098730F"/>
    <w:rsid w:val="00987EAB"/>
    <w:rsid w:val="00990195"/>
    <w:rsid w:val="009918BF"/>
    <w:rsid w:val="00992293"/>
    <w:rsid w:val="00994626"/>
    <w:rsid w:val="00995A2A"/>
    <w:rsid w:val="00997157"/>
    <w:rsid w:val="009A06EB"/>
    <w:rsid w:val="009A2C5B"/>
    <w:rsid w:val="009A4886"/>
    <w:rsid w:val="009A4F0E"/>
    <w:rsid w:val="009A7B0A"/>
    <w:rsid w:val="009A7DB8"/>
    <w:rsid w:val="009B3440"/>
    <w:rsid w:val="009B3F3D"/>
    <w:rsid w:val="009B4148"/>
    <w:rsid w:val="009B653E"/>
    <w:rsid w:val="009B6D1A"/>
    <w:rsid w:val="009B6FB5"/>
    <w:rsid w:val="009C2D00"/>
    <w:rsid w:val="009C37AF"/>
    <w:rsid w:val="009C413E"/>
    <w:rsid w:val="009C4588"/>
    <w:rsid w:val="009C758C"/>
    <w:rsid w:val="009D1EF9"/>
    <w:rsid w:val="009D3878"/>
    <w:rsid w:val="009D5CCE"/>
    <w:rsid w:val="009E123E"/>
    <w:rsid w:val="009E2613"/>
    <w:rsid w:val="009E274F"/>
    <w:rsid w:val="009E2B41"/>
    <w:rsid w:val="009E3C89"/>
    <w:rsid w:val="009E3E86"/>
    <w:rsid w:val="009F07C4"/>
    <w:rsid w:val="009F1A6A"/>
    <w:rsid w:val="009F4E9F"/>
    <w:rsid w:val="00A019FE"/>
    <w:rsid w:val="00A04646"/>
    <w:rsid w:val="00A05E55"/>
    <w:rsid w:val="00A118A2"/>
    <w:rsid w:val="00A118A4"/>
    <w:rsid w:val="00A1254A"/>
    <w:rsid w:val="00A13C4F"/>
    <w:rsid w:val="00A145E6"/>
    <w:rsid w:val="00A14AF1"/>
    <w:rsid w:val="00A158A4"/>
    <w:rsid w:val="00A16E07"/>
    <w:rsid w:val="00A21E74"/>
    <w:rsid w:val="00A23F26"/>
    <w:rsid w:val="00A25DF6"/>
    <w:rsid w:val="00A266A1"/>
    <w:rsid w:val="00A302A7"/>
    <w:rsid w:val="00A31678"/>
    <w:rsid w:val="00A31757"/>
    <w:rsid w:val="00A32D84"/>
    <w:rsid w:val="00A34BAC"/>
    <w:rsid w:val="00A3624F"/>
    <w:rsid w:val="00A4001C"/>
    <w:rsid w:val="00A40AAB"/>
    <w:rsid w:val="00A40CBE"/>
    <w:rsid w:val="00A4176F"/>
    <w:rsid w:val="00A4283A"/>
    <w:rsid w:val="00A4614B"/>
    <w:rsid w:val="00A46D01"/>
    <w:rsid w:val="00A46FCA"/>
    <w:rsid w:val="00A4717C"/>
    <w:rsid w:val="00A51EA8"/>
    <w:rsid w:val="00A53E17"/>
    <w:rsid w:val="00A53F56"/>
    <w:rsid w:val="00A54660"/>
    <w:rsid w:val="00A54D1D"/>
    <w:rsid w:val="00A570D1"/>
    <w:rsid w:val="00A6018D"/>
    <w:rsid w:val="00A60D70"/>
    <w:rsid w:val="00A630BA"/>
    <w:rsid w:val="00A65313"/>
    <w:rsid w:val="00A661D9"/>
    <w:rsid w:val="00A67460"/>
    <w:rsid w:val="00A6AF60"/>
    <w:rsid w:val="00A700BA"/>
    <w:rsid w:val="00A70816"/>
    <w:rsid w:val="00A70A85"/>
    <w:rsid w:val="00A71DA7"/>
    <w:rsid w:val="00A73590"/>
    <w:rsid w:val="00A7636D"/>
    <w:rsid w:val="00A83ED4"/>
    <w:rsid w:val="00A85E8D"/>
    <w:rsid w:val="00A85EFB"/>
    <w:rsid w:val="00A8791B"/>
    <w:rsid w:val="00A9011A"/>
    <w:rsid w:val="00A9138E"/>
    <w:rsid w:val="00A92198"/>
    <w:rsid w:val="00A9318B"/>
    <w:rsid w:val="00A96671"/>
    <w:rsid w:val="00A977D6"/>
    <w:rsid w:val="00A97F7D"/>
    <w:rsid w:val="00AA2CC7"/>
    <w:rsid w:val="00AA5138"/>
    <w:rsid w:val="00AA56E0"/>
    <w:rsid w:val="00AA5DB0"/>
    <w:rsid w:val="00AA604A"/>
    <w:rsid w:val="00AB10FA"/>
    <w:rsid w:val="00AB6989"/>
    <w:rsid w:val="00AC0790"/>
    <w:rsid w:val="00AC1C89"/>
    <w:rsid w:val="00AC1DBA"/>
    <w:rsid w:val="00AC1E6F"/>
    <w:rsid w:val="00AC2C8F"/>
    <w:rsid w:val="00AC4E3B"/>
    <w:rsid w:val="00AC7DEA"/>
    <w:rsid w:val="00AC7EDB"/>
    <w:rsid w:val="00AD0197"/>
    <w:rsid w:val="00AD15A9"/>
    <w:rsid w:val="00AD381B"/>
    <w:rsid w:val="00AD4449"/>
    <w:rsid w:val="00AD7296"/>
    <w:rsid w:val="00ADF50E"/>
    <w:rsid w:val="00AE2E95"/>
    <w:rsid w:val="00AE2FC6"/>
    <w:rsid w:val="00AE403F"/>
    <w:rsid w:val="00AE7105"/>
    <w:rsid w:val="00AF0F13"/>
    <w:rsid w:val="00AF14D2"/>
    <w:rsid w:val="00AF1D01"/>
    <w:rsid w:val="00AF5B5B"/>
    <w:rsid w:val="00AF5D1A"/>
    <w:rsid w:val="00AF6507"/>
    <w:rsid w:val="00AF7F04"/>
    <w:rsid w:val="00B017F9"/>
    <w:rsid w:val="00B031DC"/>
    <w:rsid w:val="00B03AD0"/>
    <w:rsid w:val="00B0446A"/>
    <w:rsid w:val="00B05F08"/>
    <w:rsid w:val="00B07213"/>
    <w:rsid w:val="00B10A05"/>
    <w:rsid w:val="00B133A1"/>
    <w:rsid w:val="00B141C8"/>
    <w:rsid w:val="00B14DE2"/>
    <w:rsid w:val="00B2235B"/>
    <w:rsid w:val="00B2266D"/>
    <w:rsid w:val="00B22790"/>
    <w:rsid w:val="00B22990"/>
    <w:rsid w:val="00B23D9B"/>
    <w:rsid w:val="00B24FE8"/>
    <w:rsid w:val="00B419E2"/>
    <w:rsid w:val="00B432EB"/>
    <w:rsid w:val="00B433D1"/>
    <w:rsid w:val="00B43C23"/>
    <w:rsid w:val="00B450BB"/>
    <w:rsid w:val="00B47D7B"/>
    <w:rsid w:val="00B52269"/>
    <w:rsid w:val="00B52D84"/>
    <w:rsid w:val="00B54167"/>
    <w:rsid w:val="00B54281"/>
    <w:rsid w:val="00B56E98"/>
    <w:rsid w:val="00B579CC"/>
    <w:rsid w:val="00B62E06"/>
    <w:rsid w:val="00B632BF"/>
    <w:rsid w:val="00B64B1D"/>
    <w:rsid w:val="00B64CE6"/>
    <w:rsid w:val="00B66DE3"/>
    <w:rsid w:val="00B6729C"/>
    <w:rsid w:val="00B727D1"/>
    <w:rsid w:val="00B73EB0"/>
    <w:rsid w:val="00B758E7"/>
    <w:rsid w:val="00B81607"/>
    <w:rsid w:val="00B8255E"/>
    <w:rsid w:val="00B85FDB"/>
    <w:rsid w:val="00B907D8"/>
    <w:rsid w:val="00B9286F"/>
    <w:rsid w:val="00B93E24"/>
    <w:rsid w:val="00B94461"/>
    <w:rsid w:val="00B9671B"/>
    <w:rsid w:val="00B97899"/>
    <w:rsid w:val="00BA1085"/>
    <w:rsid w:val="00BA14C3"/>
    <w:rsid w:val="00BA1D31"/>
    <w:rsid w:val="00BA1D32"/>
    <w:rsid w:val="00BA25D7"/>
    <w:rsid w:val="00BA26FC"/>
    <w:rsid w:val="00BA39C5"/>
    <w:rsid w:val="00BA4009"/>
    <w:rsid w:val="00BA4DAC"/>
    <w:rsid w:val="00BB03CE"/>
    <w:rsid w:val="00BB2019"/>
    <w:rsid w:val="00BB2E9A"/>
    <w:rsid w:val="00BB7968"/>
    <w:rsid w:val="00BC1359"/>
    <w:rsid w:val="00BC1A67"/>
    <w:rsid w:val="00BC3157"/>
    <w:rsid w:val="00BC6173"/>
    <w:rsid w:val="00BC77D6"/>
    <w:rsid w:val="00BD10E8"/>
    <w:rsid w:val="00BD1A6F"/>
    <w:rsid w:val="00BD20D5"/>
    <w:rsid w:val="00BD3791"/>
    <w:rsid w:val="00BD3C92"/>
    <w:rsid w:val="00BD763E"/>
    <w:rsid w:val="00BE0594"/>
    <w:rsid w:val="00BE5738"/>
    <w:rsid w:val="00BF1D10"/>
    <w:rsid w:val="00C00C3C"/>
    <w:rsid w:val="00C0104F"/>
    <w:rsid w:val="00C03133"/>
    <w:rsid w:val="00C06D18"/>
    <w:rsid w:val="00C104E4"/>
    <w:rsid w:val="00C109E2"/>
    <w:rsid w:val="00C15279"/>
    <w:rsid w:val="00C164D3"/>
    <w:rsid w:val="00C17196"/>
    <w:rsid w:val="00C20670"/>
    <w:rsid w:val="00C220D0"/>
    <w:rsid w:val="00C22459"/>
    <w:rsid w:val="00C224FD"/>
    <w:rsid w:val="00C303EC"/>
    <w:rsid w:val="00C312C1"/>
    <w:rsid w:val="00C31EEE"/>
    <w:rsid w:val="00C31F9C"/>
    <w:rsid w:val="00C3283F"/>
    <w:rsid w:val="00C33BDE"/>
    <w:rsid w:val="00C35ACB"/>
    <w:rsid w:val="00C45BF2"/>
    <w:rsid w:val="00C47C39"/>
    <w:rsid w:val="00C508EA"/>
    <w:rsid w:val="00C52B6D"/>
    <w:rsid w:val="00C60134"/>
    <w:rsid w:val="00C603E8"/>
    <w:rsid w:val="00C62599"/>
    <w:rsid w:val="00C63578"/>
    <w:rsid w:val="00C67898"/>
    <w:rsid w:val="00C740BE"/>
    <w:rsid w:val="00C760B8"/>
    <w:rsid w:val="00C7651A"/>
    <w:rsid w:val="00C8085D"/>
    <w:rsid w:val="00C838C7"/>
    <w:rsid w:val="00C84416"/>
    <w:rsid w:val="00C85226"/>
    <w:rsid w:val="00C86713"/>
    <w:rsid w:val="00C875E8"/>
    <w:rsid w:val="00C92035"/>
    <w:rsid w:val="00C936E6"/>
    <w:rsid w:val="00C94AB4"/>
    <w:rsid w:val="00C96A75"/>
    <w:rsid w:val="00C96AF8"/>
    <w:rsid w:val="00CA290A"/>
    <w:rsid w:val="00CA3479"/>
    <w:rsid w:val="00CA76BF"/>
    <w:rsid w:val="00CB1F74"/>
    <w:rsid w:val="00CB2440"/>
    <w:rsid w:val="00CB434B"/>
    <w:rsid w:val="00CB4555"/>
    <w:rsid w:val="00CB45C6"/>
    <w:rsid w:val="00CB57E4"/>
    <w:rsid w:val="00CB66E4"/>
    <w:rsid w:val="00CC0352"/>
    <w:rsid w:val="00CC0A55"/>
    <w:rsid w:val="00CC1C1C"/>
    <w:rsid w:val="00CC1E0D"/>
    <w:rsid w:val="00CC2A72"/>
    <w:rsid w:val="00CC3FB5"/>
    <w:rsid w:val="00CD075E"/>
    <w:rsid w:val="00CD0AE1"/>
    <w:rsid w:val="00CD11D8"/>
    <w:rsid w:val="00CD1D65"/>
    <w:rsid w:val="00CD2067"/>
    <w:rsid w:val="00CD2A5F"/>
    <w:rsid w:val="00CD47BC"/>
    <w:rsid w:val="00CD4D23"/>
    <w:rsid w:val="00CD6583"/>
    <w:rsid w:val="00CD79AD"/>
    <w:rsid w:val="00CE1B94"/>
    <w:rsid w:val="00CE57CC"/>
    <w:rsid w:val="00CE7196"/>
    <w:rsid w:val="00CE74EE"/>
    <w:rsid w:val="00CE76CF"/>
    <w:rsid w:val="00CE7B16"/>
    <w:rsid w:val="00CF4BED"/>
    <w:rsid w:val="00CF4DEB"/>
    <w:rsid w:val="00CF53F2"/>
    <w:rsid w:val="00CF5B80"/>
    <w:rsid w:val="00CF5F65"/>
    <w:rsid w:val="00CF66C9"/>
    <w:rsid w:val="00D0237F"/>
    <w:rsid w:val="00D02F1A"/>
    <w:rsid w:val="00D03A97"/>
    <w:rsid w:val="00D04FEA"/>
    <w:rsid w:val="00D062D0"/>
    <w:rsid w:val="00D06A4E"/>
    <w:rsid w:val="00D07FA5"/>
    <w:rsid w:val="00D12199"/>
    <w:rsid w:val="00D16A3C"/>
    <w:rsid w:val="00D2270C"/>
    <w:rsid w:val="00D229A6"/>
    <w:rsid w:val="00D23C4A"/>
    <w:rsid w:val="00D345FA"/>
    <w:rsid w:val="00D34984"/>
    <w:rsid w:val="00D3650F"/>
    <w:rsid w:val="00D36C35"/>
    <w:rsid w:val="00D4165B"/>
    <w:rsid w:val="00D41BD4"/>
    <w:rsid w:val="00D42822"/>
    <w:rsid w:val="00D42FA6"/>
    <w:rsid w:val="00D45D4E"/>
    <w:rsid w:val="00D55E61"/>
    <w:rsid w:val="00D563FD"/>
    <w:rsid w:val="00D5660B"/>
    <w:rsid w:val="00D56ABB"/>
    <w:rsid w:val="00D60680"/>
    <w:rsid w:val="00D60A1B"/>
    <w:rsid w:val="00D611CA"/>
    <w:rsid w:val="00D62A8A"/>
    <w:rsid w:val="00D6570B"/>
    <w:rsid w:val="00D66727"/>
    <w:rsid w:val="00D701D2"/>
    <w:rsid w:val="00D72CA9"/>
    <w:rsid w:val="00D72E55"/>
    <w:rsid w:val="00D73FBA"/>
    <w:rsid w:val="00D75313"/>
    <w:rsid w:val="00D75821"/>
    <w:rsid w:val="00D7595A"/>
    <w:rsid w:val="00D762D2"/>
    <w:rsid w:val="00D76346"/>
    <w:rsid w:val="00D76ADA"/>
    <w:rsid w:val="00D80D05"/>
    <w:rsid w:val="00D80EA5"/>
    <w:rsid w:val="00D82E92"/>
    <w:rsid w:val="00D85429"/>
    <w:rsid w:val="00D90043"/>
    <w:rsid w:val="00D931AB"/>
    <w:rsid w:val="00D952C8"/>
    <w:rsid w:val="00D95CBD"/>
    <w:rsid w:val="00D9610A"/>
    <w:rsid w:val="00DA316D"/>
    <w:rsid w:val="00DA4A39"/>
    <w:rsid w:val="00DA5F5F"/>
    <w:rsid w:val="00DA6AE6"/>
    <w:rsid w:val="00DB1C27"/>
    <w:rsid w:val="00DB26C4"/>
    <w:rsid w:val="00DB51E0"/>
    <w:rsid w:val="00DB602F"/>
    <w:rsid w:val="00DC19AC"/>
    <w:rsid w:val="00DC2DEA"/>
    <w:rsid w:val="00DC3BB7"/>
    <w:rsid w:val="00DC44F9"/>
    <w:rsid w:val="00DC5A5B"/>
    <w:rsid w:val="00DC739D"/>
    <w:rsid w:val="00DD17B3"/>
    <w:rsid w:val="00DD1852"/>
    <w:rsid w:val="00DD2E53"/>
    <w:rsid w:val="00DE3F3F"/>
    <w:rsid w:val="00DE4BD1"/>
    <w:rsid w:val="00DE642A"/>
    <w:rsid w:val="00DF1CC4"/>
    <w:rsid w:val="00DF5855"/>
    <w:rsid w:val="00E001E2"/>
    <w:rsid w:val="00E00AFA"/>
    <w:rsid w:val="00E00B08"/>
    <w:rsid w:val="00E03A75"/>
    <w:rsid w:val="00E07168"/>
    <w:rsid w:val="00E073BD"/>
    <w:rsid w:val="00E12197"/>
    <w:rsid w:val="00E12EC1"/>
    <w:rsid w:val="00E13B6C"/>
    <w:rsid w:val="00E16507"/>
    <w:rsid w:val="00E16ACD"/>
    <w:rsid w:val="00E17134"/>
    <w:rsid w:val="00E176F7"/>
    <w:rsid w:val="00E18043"/>
    <w:rsid w:val="00E22FD3"/>
    <w:rsid w:val="00E2340D"/>
    <w:rsid w:val="00E24382"/>
    <w:rsid w:val="00E24955"/>
    <w:rsid w:val="00E256BE"/>
    <w:rsid w:val="00E25EBC"/>
    <w:rsid w:val="00E264F6"/>
    <w:rsid w:val="00E2732D"/>
    <w:rsid w:val="00E349A2"/>
    <w:rsid w:val="00E43CF5"/>
    <w:rsid w:val="00E4474B"/>
    <w:rsid w:val="00E44C4F"/>
    <w:rsid w:val="00E4690F"/>
    <w:rsid w:val="00E470D5"/>
    <w:rsid w:val="00E520E4"/>
    <w:rsid w:val="00E548D4"/>
    <w:rsid w:val="00E57105"/>
    <w:rsid w:val="00E622CD"/>
    <w:rsid w:val="00E62BCB"/>
    <w:rsid w:val="00E64294"/>
    <w:rsid w:val="00E66550"/>
    <w:rsid w:val="00E73066"/>
    <w:rsid w:val="00E76ECE"/>
    <w:rsid w:val="00E7767A"/>
    <w:rsid w:val="00E80C19"/>
    <w:rsid w:val="00E818BD"/>
    <w:rsid w:val="00E8356C"/>
    <w:rsid w:val="00E86F11"/>
    <w:rsid w:val="00E877BF"/>
    <w:rsid w:val="00E87DE8"/>
    <w:rsid w:val="00E915AC"/>
    <w:rsid w:val="00E92AD0"/>
    <w:rsid w:val="00E94725"/>
    <w:rsid w:val="00EA1767"/>
    <w:rsid w:val="00EA2F83"/>
    <w:rsid w:val="00EA393C"/>
    <w:rsid w:val="00EA4AEC"/>
    <w:rsid w:val="00EA7300"/>
    <w:rsid w:val="00EA7F25"/>
    <w:rsid w:val="00EB0929"/>
    <w:rsid w:val="00EB0FA5"/>
    <w:rsid w:val="00EB1FC2"/>
    <w:rsid w:val="00EB2266"/>
    <w:rsid w:val="00EB2C83"/>
    <w:rsid w:val="00EB2CA7"/>
    <w:rsid w:val="00EB4C55"/>
    <w:rsid w:val="00EB4D32"/>
    <w:rsid w:val="00EB5325"/>
    <w:rsid w:val="00EB730F"/>
    <w:rsid w:val="00EB7940"/>
    <w:rsid w:val="00EC01DD"/>
    <w:rsid w:val="00EC2B44"/>
    <w:rsid w:val="00EC35E3"/>
    <w:rsid w:val="00EC6B2D"/>
    <w:rsid w:val="00ED047F"/>
    <w:rsid w:val="00ED108D"/>
    <w:rsid w:val="00ED1680"/>
    <w:rsid w:val="00ED3685"/>
    <w:rsid w:val="00ED4623"/>
    <w:rsid w:val="00ED47AF"/>
    <w:rsid w:val="00ED49B0"/>
    <w:rsid w:val="00ED616E"/>
    <w:rsid w:val="00ED6911"/>
    <w:rsid w:val="00ED6A06"/>
    <w:rsid w:val="00ED7195"/>
    <w:rsid w:val="00EE4225"/>
    <w:rsid w:val="00EE7B47"/>
    <w:rsid w:val="00EE7E79"/>
    <w:rsid w:val="00EF169A"/>
    <w:rsid w:val="00EF2390"/>
    <w:rsid w:val="00EF2436"/>
    <w:rsid w:val="00EF4AF5"/>
    <w:rsid w:val="00EF4C67"/>
    <w:rsid w:val="00F007FD"/>
    <w:rsid w:val="00F00B48"/>
    <w:rsid w:val="00F02D11"/>
    <w:rsid w:val="00F0414F"/>
    <w:rsid w:val="00F0584E"/>
    <w:rsid w:val="00F05FA9"/>
    <w:rsid w:val="00F070F3"/>
    <w:rsid w:val="00F10379"/>
    <w:rsid w:val="00F1409C"/>
    <w:rsid w:val="00F145F8"/>
    <w:rsid w:val="00F22BB5"/>
    <w:rsid w:val="00F2530B"/>
    <w:rsid w:val="00F25986"/>
    <w:rsid w:val="00F25E1A"/>
    <w:rsid w:val="00F26291"/>
    <w:rsid w:val="00F2654E"/>
    <w:rsid w:val="00F277A5"/>
    <w:rsid w:val="00F27AAF"/>
    <w:rsid w:val="00F31BEC"/>
    <w:rsid w:val="00F32742"/>
    <w:rsid w:val="00F327DF"/>
    <w:rsid w:val="00F3355B"/>
    <w:rsid w:val="00F35181"/>
    <w:rsid w:val="00F3595B"/>
    <w:rsid w:val="00F35D06"/>
    <w:rsid w:val="00F35D0E"/>
    <w:rsid w:val="00F378B4"/>
    <w:rsid w:val="00F40F7E"/>
    <w:rsid w:val="00F41DA3"/>
    <w:rsid w:val="00F4247D"/>
    <w:rsid w:val="00F43E12"/>
    <w:rsid w:val="00F44053"/>
    <w:rsid w:val="00F44FF5"/>
    <w:rsid w:val="00F4516A"/>
    <w:rsid w:val="00F502C5"/>
    <w:rsid w:val="00F5782B"/>
    <w:rsid w:val="00F60CFA"/>
    <w:rsid w:val="00F61DF5"/>
    <w:rsid w:val="00F61FF8"/>
    <w:rsid w:val="00F66381"/>
    <w:rsid w:val="00F70F11"/>
    <w:rsid w:val="00F71ED8"/>
    <w:rsid w:val="00F73131"/>
    <w:rsid w:val="00F74288"/>
    <w:rsid w:val="00F85DC3"/>
    <w:rsid w:val="00F86DF6"/>
    <w:rsid w:val="00F9095A"/>
    <w:rsid w:val="00F93459"/>
    <w:rsid w:val="00F961F9"/>
    <w:rsid w:val="00FA4233"/>
    <w:rsid w:val="00FB1249"/>
    <w:rsid w:val="00FB1A2A"/>
    <w:rsid w:val="00FB4655"/>
    <w:rsid w:val="00FB6947"/>
    <w:rsid w:val="00FC02AE"/>
    <w:rsid w:val="00FC111C"/>
    <w:rsid w:val="00FC2BBA"/>
    <w:rsid w:val="00FC51F6"/>
    <w:rsid w:val="00FC669D"/>
    <w:rsid w:val="00FC78AF"/>
    <w:rsid w:val="00FD0943"/>
    <w:rsid w:val="00FD15F1"/>
    <w:rsid w:val="00FD18FB"/>
    <w:rsid w:val="00FD2A85"/>
    <w:rsid w:val="00FD4F0B"/>
    <w:rsid w:val="00FD5B8B"/>
    <w:rsid w:val="00FE02FC"/>
    <w:rsid w:val="00FE1BAE"/>
    <w:rsid w:val="00FE3570"/>
    <w:rsid w:val="00FE4EB8"/>
    <w:rsid w:val="00FF2014"/>
    <w:rsid w:val="00FF23DB"/>
    <w:rsid w:val="00FF3561"/>
    <w:rsid w:val="00FF43E5"/>
    <w:rsid w:val="00FF47F6"/>
    <w:rsid w:val="00FF57A8"/>
    <w:rsid w:val="00FF7506"/>
    <w:rsid w:val="010DB6DE"/>
    <w:rsid w:val="011DC5D5"/>
    <w:rsid w:val="019CD2E6"/>
    <w:rsid w:val="01C348A5"/>
    <w:rsid w:val="01FE3661"/>
    <w:rsid w:val="024AAA69"/>
    <w:rsid w:val="0263CF01"/>
    <w:rsid w:val="0273C5EB"/>
    <w:rsid w:val="02B49AF4"/>
    <w:rsid w:val="02C0AFAF"/>
    <w:rsid w:val="0325471B"/>
    <w:rsid w:val="03782B0A"/>
    <w:rsid w:val="0380754F"/>
    <w:rsid w:val="03D3A130"/>
    <w:rsid w:val="048048BC"/>
    <w:rsid w:val="0485EDB1"/>
    <w:rsid w:val="058C6A54"/>
    <w:rsid w:val="060453C6"/>
    <w:rsid w:val="061C0221"/>
    <w:rsid w:val="06484101"/>
    <w:rsid w:val="06929DEA"/>
    <w:rsid w:val="06B91E31"/>
    <w:rsid w:val="06E7E0AD"/>
    <w:rsid w:val="071D1911"/>
    <w:rsid w:val="07225738"/>
    <w:rsid w:val="073B2909"/>
    <w:rsid w:val="07A38F18"/>
    <w:rsid w:val="07AE8C44"/>
    <w:rsid w:val="07B5B3EE"/>
    <w:rsid w:val="07FC2FF0"/>
    <w:rsid w:val="080DA592"/>
    <w:rsid w:val="08BB9269"/>
    <w:rsid w:val="0975179E"/>
    <w:rsid w:val="09870725"/>
    <w:rsid w:val="098A038B"/>
    <w:rsid w:val="0A11E5E6"/>
    <w:rsid w:val="0A9CC53C"/>
    <w:rsid w:val="0B62E4D2"/>
    <w:rsid w:val="0BF2AC25"/>
    <w:rsid w:val="0C3CA45F"/>
    <w:rsid w:val="0C8503F5"/>
    <w:rsid w:val="0CE14906"/>
    <w:rsid w:val="0CF32130"/>
    <w:rsid w:val="0D3225B3"/>
    <w:rsid w:val="0D541863"/>
    <w:rsid w:val="0D8AFD24"/>
    <w:rsid w:val="0DC24EB3"/>
    <w:rsid w:val="0F5E0460"/>
    <w:rsid w:val="0FD0E9EC"/>
    <w:rsid w:val="0FDBFBA5"/>
    <w:rsid w:val="0FE371E7"/>
    <w:rsid w:val="0FEFE30F"/>
    <w:rsid w:val="103EB5E2"/>
    <w:rsid w:val="10AC77F7"/>
    <w:rsid w:val="10C7A067"/>
    <w:rsid w:val="10D2E6DB"/>
    <w:rsid w:val="1148C5C0"/>
    <w:rsid w:val="1150F4A8"/>
    <w:rsid w:val="117A9993"/>
    <w:rsid w:val="11DD89FC"/>
    <w:rsid w:val="12781B23"/>
    <w:rsid w:val="12A1637B"/>
    <w:rsid w:val="133FFE3A"/>
    <w:rsid w:val="13795475"/>
    <w:rsid w:val="1381A7C8"/>
    <w:rsid w:val="1454C481"/>
    <w:rsid w:val="1478494C"/>
    <w:rsid w:val="1486E222"/>
    <w:rsid w:val="14D9E81C"/>
    <w:rsid w:val="14DA4791"/>
    <w:rsid w:val="1564C6D1"/>
    <w:rsid w:val="15DAA876"/>
    <w:rsid w:val="15FA97D8"/>
    <w:rsid w:val="162157A7"/>
    <w:rsid w:val="169CAE80"/>
    <w:rsid w:val="16FE1746"/>
    <w:rsid w:val="1715AFDA"/>
    <w:rsid w:val="172C4FE1"/>
    <w:rsid w:val="1737FB3A"/>
    <w:rsid w:val="17CFE4EC"/>
    <w:rsid w:val="181CBC26"/>
    <w:rsid w:val="19245A3A"/>
    <w:rsid w:val="19CB5AF7"/>
    <w:rsid w:val="1A06AB29"/>
    <w:rsid w:val="1A3781AD"/>
    <w:rsid w:val="1A9C6047"/>
    <w:rsid w:val="1AB78759"/>
    <w:rsid w:val="1AD82314"/>
    <w:rsid w:val="1B16CDDF"/>
    <w:rsid w:val="1B3A62C2"/>
    <w:rsid w:val="1BF03B96"/>
    <w:rsid w:val="1C08290E"/>
    <w:rsid w:val="1C09F61A"/>
    <w:rsid w:val="1D0A54D4"/>
    <w:rsid w:val="1D0B8263"/>
    <w:rsid w:val="1D17A540"/>
    <w:rsid w:val="1D2502C9"/>
    <w:rsid w:val="1D4BFF56"/>
    <w:rsid w:val="1D56D56D"/>
    <w:rsid w:val="1DE40278"/>
    <w:rsid w:val="1E5C59F2"/>
    <w:rsid w:val="1E61A07F"/>
    <w:rsid w:val="1E641566"/>
    <w:rsid w:val="1E8C96F7"/>
    <w:rsid w:val="1E97BD0F"/>
    <w:rsid w:val="1F3B4478"/>
    <w:rsid w:val="1F612F83"/>
    <w:rsid w:val="1F725967"/>
    <w:rsid w:val="1FE06D54"/>
    <w:rsid w:val="2069FE34"/>
    <w:rsid w:val="21218644"/>
    <w:rsid w:val="214689A2"/>
    <w:rsid w:val="21520FEC"/>
    <w:rsid w:val="2176276A"/>
    <w:rsid w:val="21F349B4"/>
    <w:rsid w:val="221B94A6"/>
    <w:rsid w:val="225E48CB"/>
    <w:rsid w:val="22D138EA"/>
    <w:rsid w:val="23385A6F"/>
    <w:rsid w:val="23606CDB"/>
    <w:rsid w:val="242D00E0"/>
    <w:rsid w:val="246B5F84"/>
    <w:rsid w:val="24CEF483"/>
    <w:rsid w:val="24DEE50A"/>
    <w:rsid w:val="24FAF240"/>
    <w:rsid w:val="2501D9AC"/>
    <w:rsid w:val="254180C0"/>
    <w:rsid w:val="25B75B29"/>
    <w:rsid w:val="2637D9AD"/>
    <w:rsid w:val="269A6D3C"/>
    <w:rsid w:val="26D43C8B"/>
    <w:rsid w:val="2736C479"/>
    <w:rsid w:val="27B97151"/>
    <w:rsid w:val="27DB2FA2"/>
    <w:rsid w:val="28297304"/>
    <w:rsid w:val="28756F95"/>
    <w:rsid w:val="28885418"/>
    <w:rsid w:val="28E0560A"/>
    <w:rsid w:val="29B6D748"/>
    <w:rsid w:val="29B7E785"/>
    <w:rsid w:val="2A3A57D6"/>
    <w:rsid w:val="2A6FB768"/>
    <w:rsid w:val="2A6FE518"/>
    <w:rsid w:val="2AB16E70"/>
    <w:rsid w:val="2AB19BFA"/>
    <w:rsid w:val="2AB81A8B"/>
    <w:rsid w:val="2AD2FE0C"/>
    <w:rsid w:val="2B1C8109"/>
    <w:rsid w:val="2B4F7345"/>
    <w:rsid w:val="2B82A884"/>
    <w:rsid w:val="2C15D32F"/>
    <w:rsid w:val="2C16E2EE"/>
    <w:rsid w:val="2C37F74F"/>
    <w:rsid w:val="2C479F94"/>
    <w:rsid w:val="2C7EF82E"/>
    <w:rsid w:val="2C84747F"/>
    <w:rsid w:val="2CE420E4"/>
    <w:rsid w:val="2CEFB313"/>
    <w:rsid w:val="2D0E9F32"/>
    <w:rsid w:val="2D24A1C2"/>
    <w:rsid w:val="2D6D92AF"/>
    <w:rsid w:val="2E2D4DD9"/>
    <w:rsid w:val="2E7A86BF"/>
    <w:rsid w:val="2F6F7B95"/>
    <w:rsid w:val="2F897402"/>
    <w:rsid w:val="303FCA0E"/>
    <w:rsid w:val="307F3148"/>
    <w:rsid w:val="30A10D69"/>
    <w:rsid w:val="30B82A9E"/>
    <w:rsid w:val="30BA6B8F"/>
    <w:rsid w:val="30D10718"/>
    <w:rsid w:val="30D18E1A"/>
    <w:rsid w:val="30DE8E72"/>
    <w:rsid w:val="30F53BDD"/>
    <w:rsid w:val="31012A7E"/>
    <w:rsid w:val="3101AEBC"/>
    <w:rsid w:val="31C05BFC"/>
    <w:rsid w:val="32224BA2"/>
    <w:rsid w:val="325990E8"/>
    <w:rsid w:val="3268D283"/>
    <w:rsid w:val="3272A636"/>
    <w:rsid w:val="32976FDD"/>
    <w:rsid w:val="32CB49AA"/>
    <w:rsid w:val="32D06C6D"/>
    <w:rsid w:val="32E65EDC"/>
    <w:rsid w:val="33CA3956"/>
    <w:rsid w:val="347BF24E"/>
    <w:rsid w:val="34C32A41"/>
    <w:rsid w:val="34D201CF"/>
    <w:rsid w:val="3500CB83"/>
    <w:rsid w:val="350D3A7A"/>
    <w:rsid w:val="35561D18"/>
    <w:rsid w:val="356D719F"/>
    <w:rsid w:val="3592A1F4"/>
    <w:rsid w:val="35BDBD51"/>
    <w:rsid w:val="35E32106"/>
    <w:rsid w:val="35E6E733"/>
    <w:rsid w:val="36604AD9"/>
    <w:rsid w:val="367631D4"/>
    <w:rsid w:val="36AFE4C3"/>
    <w:rsid w:val="36DE3271"/>
    <w:rsid w:val="371ABF74"/>
    <w:rsid w:val="3768D151"/>
    <w:rsid w:val="37713213"/>
    <w:rsid w:val="37A43B45"/>
    <w:rsid w:val="37CFBB3B"/>
    <w:rsid w:val="37D8734B"/>
    <w:rsid w:val="38DB76F8"/>
    <w:rsid w:val="392366C9"/>
    <w:rsid w:val="3924CF4A"/>
    <w:rsid w:val="398B90D5"/>
    <w:rsid w:val="39A868A1"/>
    <w:rsid w:val="39D95583"/>
    <w:rsid w:val="3A1D6E1B"/>
    <w:rsid w:val="3A229AC0"/>
    <w:rsid w:val="3A2CDD72"/>
    <w:rsid w:val="3A38674A"/>
    <w:rsid w:val="3A71C22D"/>
    <w:rsid w:val="3B1B92E9"/>
    <w:rsid w:val="3B961C7E"/>
    <w:rsid w:val="3BA1BEA0"/>
    <w:rsid w:val="3BFA43DB"/>
    <w:rsid w:val="3C095797"/>
    <w:rsid w:val="3C9A842F"/>
    <w:rsid w:val="3CE7CA7E"/>
    <w:rsid w:val="3D45FEAE"/>
    <w:rsid w:val="3D859BCC"/>
    <w:rsid w:val="3DAE586E"/>
    <w:rsid w:val="3DBE8ED8"/>
    <w:rsid w:val="3DEB6813"/>
    <w:rsid w:val="3E03607F"/>
    <w:rsid w:val="3E46CC19"/>
    <w:rsid w:val="3ED787EE"/>
    <w:rsid w:val="3F674642"/>
    <w:rsid w:val="3FD8E9F9"/>
    <w:rsid w:val="40D04B87"/>
    <w:rsid w:val="40DCF187"/>
    <w:rsid w:val="40DE7411"/>
    <w:rsid w:val="4156FEC4"/>
    <w:rsid w:val="41732100"/>
    <w:rsid w:val="419773E7"/>
    <w:rsid w:val="419891F7"/>
    <w:rsid w:val="41BE5CE5"/>
    <w:rsid w:val="41CCE5C7"/>
    <w:rsid w:val="41DE467E"/>
    <w:rsid w:val="422D3995"/>
    <w:rsid w:val="427951C5"/>
    <w:rsid w:val="42BCBBC9"/>
    <w:rsid w:val="42E4A2BE"/>
    <w:rsid w:val="43103A0E"/>
    <w:rsid w:val="4456434C"/>
    <w:rsid w:val="45266812"/>
    <w:rsid w:val="4581408B"/>
    <w:rsid w:val="45D01CC7"/>
    <w:rsid w:val="464C42DF"/>
    <w:rsid w:val="46814747"/>
    <w:rsid w:val="46825715"/>
    <w:rsid w:val="46EC9A25"/>
    <w:rsid w:val="4733C20D"/>
    <w:rsid w:val="48334D57"/>
    <w:rsid w:val="498AB3CE"/>
    <w:rsid w:val="49A12A5E"/>
    <w:rsid w:val="49C9AF97"/>
    <w:rsid w:val="4AAF9E70"/>
    <w:rsid w:val="4AD6F65D"/>
    <w:rsid w:val="4B2060F0"/>
    <w:rsid w:val="4B27AD8A"/>
    <w:rsid w:val="4B713200"/>
    <w:rsid w:val="4B7CBC85"/>
    <w:rsid w:val="4BB8ED1C"/>
    <w:rsid w:val="4BC5A5AC"/>
    <w:rsid w:val="4C00DC4F"/>
    <w:rsid w:val="4C5C8D08"/>
    <w:rsid w:val="4C8E588D"/>
    <w:rsid w:val="4CD8A6F8"/>
    <w:rsid w:val="4D2E2F60"/>
    <w:rsid w:val="4D6A2FF2"/>
    <w:rsid w:val="4D9CB3CD"/>
    <w:rsid w:val="4DE6339B"/>
    <w:rsid w:val="4E169572"/>
    <w:rsid w:val="4E606658"/>
    <w:rsid w:val="4E801A24"/>
    <w:rsid w:val="4E8EA37F"/>
    <w:rsid w:val="4F0CB1AF"/>
    <w:rsid w:val="4F8F44CD"/>
    <w:rsid w:val="4FD1E187"/>
    <w:rsid w:val="504F0DC9"/>
    <w:rsid w:val="5062C6D9"/>
    <w:rsid w:val="50C1CBFE"/>
    <w:rsid w:val="50C431B6"/>
    <w:rsid w:val="50CEBBA6"/>
    <w:rsid w:val="51050622"/>
    <w:rsid w:val="51285F76"/>
    <w:rsid w:val="512A4F47"/>
    <w:rsid w:val="51B3D865"/>
    <w:rsid w:val="51BF0DDC"/>
    <w:rsid w:val="51E71EFA"/>
    <w:rsid w:val="520F6CB2"/>
    <w:rsid w:val="52745053"/>
    <w:rsid w:val="52820977"/>
    <w:rsid w:val="52F710C9"/>
    <w:rsid w:val="530F40D1"/>
    <w:rsid w:val="536D13E2"/>
    <w:rsid w:val="53823608"/>
    <w:rsid w:val="544454C5"/>
    <w:rsid w:val="55DE183A"/>
    <w:rsid w:val="55F5C822"/>
    <w:rsid w:val="56323C97"/>
    <w:rsid w:val="5674674F"/>
    <w:rsid w:val="56AC6195"/>
    <w:rsid w:val="56B3626C"/>
    <w:rsid w:val="56E1CB36"/>
    <w:rsid w:val="57664B5D"/>
    <w:rsid w:val="57A71A5B"/>
    <w:rsid w:val="57EDB9B6"/>
    <w:rsid w:val="57F09DFD"/>
    <w:rsid w:val="5817833F"/>
    <w:rsid w:val="588B9F39"/>
    <w:rsid w:val="58E37858"/>
    <w:rsid w:val="58FE611B"/>
    <w:rsid w:val="5901953A"/>
    <w:rsid w:val="59520D79"/>
    <w:rsid w:val="596F9D1F"/>
    <w:rsid w:val="59B3D41B"/>
    <w:rsid w:val="59B501A0"/>
    <w:rsid w:val="59F30AEE"/>
    <w:rsid w:val="5A1AD4CD"/>
    <w:rsid w:val="5A29DF6F"/>
    <w:rsid w:val="5AAE51D8"/>
    <w:rsid w:val="5AF7B575"/>
    <w:rsid w:val="5B3B5F29"/>
    <w:rsid w:val="5B6C3262"/>
    <w:rsid w:val="5BAFAD47"/>
    <w:rsid w:val="5C1B83C5"/>
    <w:rsid w:val="5C22939D"/>
    <w:rsid w:val="5C278B07"/>
    <w:rsid w:val="5C70AA22"/>
    <w:rsid w:val="5C964A2C"/>
    <w:rsid w:val="5D5BE2DF"/>
    <w:rsid w:val="5D9D98CA"/>
    <w:rsid w:val="5DB95F95"/>
    <w:rsid w:val="5DC82BF7"/>
    <w:rsid w:val="5E0D3E0F"/>
    <w:rsid w:val="5E48BACC"/>
    <w:rsid w:val="5E5280DF"/>
    <w:rsid w:val="5EE3D1A0"/>
    <w:rsid w:val="5F8B8C53"/>
    <w:rsid w:val="5FCBBABA"/>
    <w:rsid w:val="5FDC0414"/>
    <w:rsid w:val="5FDD9777"/>
    <w:rsid w:val="605691F4"/>
    <w:rsid w:val="6071689D"/>
    <w:rsid w:val="607C97F3"/>
    <w:rsid w:val="60957FC8"/>
    <w:rsid w:val="609F4383"/>
    <w:rsid w:val="60B5DDE0"/>
    <w:rsid w:val="60B670E9"/>
    <w:rsid w:val="611C9116"/>
    <w:rsid w:val="6159A6BB"/>
    <w:rsid w:val="61B51DC3"/>
    <w:rsid w:val="61F6410C"/>
    <w:rsid w:val="623FA5AF"/>
    <w:rsid w:val="62892A01"/>
    <w:rsid w:val="62D152E2"/>
    <w:rsid w:val="634F5E86"/>
    <w:rsid w:val="6353DFF8"/>
    <w:rsid w:val="63750EEA"/>
    <w:rsid w:val="64029722"/>
    <w:rsid w:val="65149408"/>
    <w:rsid w:val="65434D19"/>
    <w:rsid w:val="65AD3941"/>
    <w:rsid w:val="65B5856F"/>
    <w:rsid w:val="65CA7B37"/>
    <w:rsid w:val="65DE6829"/>
    <w:rsid w:val="6606C31C"/>
    <w:rsid w:val="66084B67"/>
    <w:rsid w:val="66975E08"/>
    <w:rsid w:val="67330245"/>
    <w:rsid w:val="67C1F8C5"/>
    <w:rsid w:val="680037D6"/>
    <w:rsid w:val="682E8D74"/>
    <w:rsid w:val="68407C8A"/>
    <w:rsid w:val="68B47D3B"/>
    <w:rsid w:val="68E33E37"/>
    <w:rsid w:val="68ECA946"/>
    <w:rsid w:val="68FECA85"/>
    <w:rsid w:val="69940F33"/>
    <w:rsid w:val="69A7EDF3"/>
    <w:rsid w:val="69AB1A51"/>
    <w:rsid w:val="69CD7BC0"/>
    <w:rsid w:val="69DC27B3"/>
    <w:rsid w:val="6A3BAC65"/>
    <w:rsid w:val="6A593365"/>
    <w:rsid w:val="6A9B15F6"/>
    <w:rsid w:val="6A9F50C0"/>
    <w:rsid w:val="6AC253E7"/>
    <w:rsid w:val="6AE31953"/>
    <w:rsid w:val="6B4CA9F1"/>
    <w:rsid w:val="6BD2AEB9"/>
    <w:rsid w:val="6BF376DE"/>
    <w:rsid w:val="6C00CC8D"/>
    <w:rsid w:val="6C3D67DA"/>
    <w:rsid w:val="6CD5270B"/>
    <w:rsid w:val="6D1A242B"/>
    <w:rsid w:val="6DECE905"/>
    <w:rsid w:val="6E0724CD"/>
    <w:rsid w:val="6E2FB657"/>
    <w:rsid w:val="6E32C164"/>
    <w:rsid w:val="6E484D66"/>
    <w:rsid w:val="6EC12938"/>
    <w:rsid w:val="6EC2A9D1"/>
    <w:rsid w:val="6F52BE47"/>
    <w:rsid w:val="6F5A9BEF"/>
    <w:rsid w:val="6F99A4C6"/>
    <w:rsid w:val="6FA576CE"/>
    <w:rsid w:val="6FDDBD9D"/>
    <w:rsid w:val="6FE3DFA6"/>
    <w:rsid w:val="6FF7EAD8"/>
    <w:rsid w:val="70175709"/>
    <w:rsid w:val="7025F082"/>
    <w:rsid w:val="705EA1B8"/>
    <w:rsid w:val="7078AEE0"/>
    <w:rsid w:val="709D607F"/>
    <w:rsid w:val="70B64657"/>
    <w:rsid w:val="71132765"/>
    <w:rsid w:val="715B2F7A"/>
    <w:rsid w:val="7206876A"/>
    <w:rsid w:val="7238B34B"/>
    <w:rsid w:val="72A26E7E"/>
    <w:rsid w:val="730FAD2B"/>
    <w:rsid w:val="7352109E"/>
    <w:rsid w:val="7379E9F4"/>
    <w:rsid w:val="73A1698D"/>
    <w:rsid w:val="73C9812C"/>
    <w:rsid w:val="748A64C2"/>
    <w:rsid w:val="74A5D216"/>
    <w:rsid w:val="74F5B16F"/>
    <w:rsid w:val="7550C2A7"/>
    <w:rsid w:val="7574900F"/>
    <w:rsid w:val="7595EA5E"/>
    <w:rsid w:val="75979B6F"/>
    <w:rsid w:val="75BFF88B"/>
    <w:rsid w:val="762001D9"/>
    <w:rsid w:val="764A81D6"/>
    <w:rsid w:val="76679E54"/>
    <w:rsid w:val="76A5BE55"/>
    <w:rsid w:val="76B533F0"/>
    <w:rsid w:val="76EA9EF4"/>
    <w:rsid w:val="774EAA53"/>
    <w:rsid w:val="775C6DAF"/>
    <w:rsid w:val="778C0927"/>
    <w:rsid w:val="77B8DD88"/>
    <w:rsid w:val="77BD7F12"/>
    <w:rsid w:val="7825BEE5"/>
    <w:rsid w:val="785CE82B"/>
    <w:rsid w:val="787E31E5"/>
    <w:rsid w:val="78A6F8D9"/>
    <w:rsid w:val="78CA1F68"/>
    <w:rsid w:val="795A4B98"/>
    <w:rsid w:val="7968C1AE"/>
    <w:rsid w:val="79AFCE3A"/>
    <w:rsid w:val="7A12DD3E"/>
    <w:rsid w:val="7A151316"/>
    <w:rsid w:val="7A78011D"/>
    <w:rsid w:val="7A7801D6"/>
    <w:rsid w:val="7AD1304B"/>
    <w:rsid w:val="7AFDCEA3"/>
    <w:rsid w:val="7B019B86"/>
    <w:rsid w:val="7BF838B7"/>
    <w:rsid w:val="7C442C47"/>
    <w:rsid w:val="7C4CFB91"/>
    <w:rsid w:val="7C8DBFD4"/>
    <w:rsid w:val="7C8F0225"/>
    <w:rsid w:val="7CC6A769"/>
    <w:rsid w:val="7CC7B3FC"/>
    <w:rsid w:val="7D56E325"/>
    <w:rsid w:val="7D7E3F9B"/>
    <w:rsid w:val="7DF36D52"/>
    <w:rsid w:val="7E3F517D"/>
    <w:rsid w:val="7E6996B0"/>
    <w:rsid w:val="7E79AA72"/>
    <w:rsid w:val="7EA1DEF0"/>
    <w:rsid w:val="7EAB25C2"/>
    <w:rsid w:val="7EDB2867"/>
    <w:rsid w:val="7EFB11FF"/>
    <w:rsid w:val="7FA590CA"/>
    <w:rsid w:val="7FAEF472"/>
    <w:rsid w:val="7FBBA19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ADCF64A"/>
  <w15:docId w15:val="{DA25F59B-094B-4067-97A5-DC32CD39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customStyle="1" w:styleId="Default">
    <w:name w:val="Default"/>
    <w:rsid w:val="001D35D6"/>
    <w:pPr>
      <w:autoSpaceDE w:val="0"/>
      <w:autoSpaceDN w:val="0"/>
      <w:adjustRightInd w:val="0"/>
    </w:pPr>
    <w:rPr>
      <w:rFonts w:eastAsiaTheme="minorEastAsia"/>
      <w:color w:val="000000"/>
      <w:sz w:val="24"/>
      <w:szCs w:val="24"/>
    </w:rPr>
  </w:style>
  <w:style w:type="paragraph" w:customStyle="1" w:styleId="indent-2">
    <w:name w:val="indent-2"/>
    <w:basedOn w:val="Normal"/>
    <w:rsid w:val="00CC1E0D"/>
    <w:pPr>
      <w:spacing w:before="100" w:beforeAutospacing="1" w:after="100" w:afterAutospacing="1"/>
    </w:pPr>
    <w:rPr>
      <w:rFonts w:ascii="Times New Roman" w:hAnsi="Times New Roman"/>
      <w:szCs w:val="24"/>
    </w:rPr>
  </w:style>
  <w:style w:type="paragraph" w:customStyle="1" w:styleId="indent-3">
    <w:name w:val="indent-3"/>
    <w:basedOn w:val="Normal"/>
    <w:rsid w:val="00CC1E0D"/>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C1E0D"/>
  </w:style>
  <w:style w:type="character" w:customStyle="1" w:styleId="paren">
    <w:name w:val="paren"/>
    <w:basedOn w:val="DefaultParagraphFont"/>
    <w:rsid w:val="00CC1E0D"/>
  </w:style>
  <w:style w:type="character" w:styleId="Mention">
    <w:name w:val="Mention"/>
    <w:basedOn w:val="DefaultParagraphFont"/>
    <w:uiPriority w:val="99"/>
    <w:unhideWhenUsed/>
    <w:rsid w:val="009918BF"/>
    <w:rPr>
      <w:color w:val="2B579A"/>
      <w:shd w:val="clear" w:color="auto" w:fill="E1DFDD"/>
    </w:rPr>
  </w:style>
  <w:style w:type="character" w:styleId="FollowedHyperlink">
    <w:name w:val="FollowedHyperlink"/>
    <w:basedOn w:val="DefaultParagraphFont"/>
    <w:uiPriority w:val="99"/>
    <w:semiHidden/>
    <w:unhideWhenUsed/>
    <w:rsid w:val="00DD17B3"/>
    <w:rPr>
      <w:color w:val="800080" w:themeColor="followedHyperlink"/>
      <w:u w:val="single"/>
    </w:rPr>
  </w:style>
  <w:style w:type="paragraph" w:styleId="BodyText0">
    <w:name w:val="Body Text"/>
    <w:basedOn w:val="Normal"/>
    <w:link w:val="BodyTextChar0"/>
    <w:unhideWhenUsed/>
    <w:rsid w:val="00FD0943"/>
    <w:pPr>
      <w:spacing w:after="120"/>
    </w:pPr>
  </w:style>
  <w:style w:type="character" w:customStyle="1" w:styleId="BodyTextChar0">
    <w:name w:val="Body Text Char"/>
    <w:basedOn w:val="DefaultParagraphFont"/>
    <w:link w:val="BodyText0"/>
    <w:rsid w:val="00FD0943"/>
    <w:rPr>
      <w:rFonts w:ascii="Courier" w:hAnsi="Courier"/>
      <w:sz w:val="24"/>
    </w:rPr>
  </w:style>
  <w:style w:type="paragraph" w:styleId="Revision">
    <w:name w:val="Revision"/>
    <w:hidden/>
    <w:uiPriority w:val="99"/>
    <w:semiHidden/>
    <w:rsid w:val="00F43E12"/>
    <w:rPr>
      <w:rFonts w:ascii="Courier" w:hAnsi="Courier"/>
      <w:sz w:val="24"/>
    </w:rPr>
  </w:style>
  <w:style w:type="paragraph" w:styleId="Title">
    <w:name w:val="Title"/>
    <w:basedOn w:val="Normal"/>
    <w:link w:val="TitleChar"/>
    <w:qFormat/>
    <w:rsid w:val="00095A89"/>
    <w:pPr>
      <w:spacing w:before="240" w:after="60"/>
      <w:jc w:val="center"/>
    </w:pPr>
    <w:rPr>
      <w:rFonts w:ascii="Arial" w:hAnsi="Arial"/>
      <w:b/>
      <w:kern w:val="28"/>
      <w:sz w:val="32"/>
    </w:rPr>
  </w:style>
  <w:style w:type="character" w:customStyle="1" w:styleId="TitleChar">
    <w:name w:val="Title Char"/>
    <w:basedOn w:val="DefaultParagraphFont"/>
    <w:link w:val="Title"/>
    <w:rsid w:val="00095A89"/>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6/01/30/2026-01912/reimagining-and-improving-student-educ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B459B-31E8-4BC8-99BD-F7CFDED7DA9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C428BF9B-E1FA-4CD3-8DFB-0D55559B78EE}">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6A59FBF4-CAE8-42EF-9E8C-4F5084AF1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5736</Words>
  <Characters>32697</Characters>
  <Application>Microsoft Office Word</Application>
  <DocSecurity>0</DocSecurity>
  <Lines>272</Lines>
  <Paragraphs>76</Paragraphs>
  <ScaleCrop>false</ScaleCrop>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Norwood-Struppa, Ashley</cp:lastModifiedBy>
  <cp:revision>35</cp:revision>
  <dcterms:created xsi:type="dcterms:W3CDTF">2026-04-02T22:43:00Z</dcterms:created>
  <dcterms:modified xsi:type="dcterms:W3CDTF">2026-06-23T19:00:00Z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