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42E8E548" w14:textId="77777777">
      <w:pPr>
        <w:pStyle w:val="Heading1"/>
        <w:rPr>
          <w:b/>
          <w:bCs/>
          <w:sz w:val="24"/>
          <w:szCs w:val="24"/>
        </w:rPr>
      </w:pPr>
      <w:r w:rsidRPr="00F74288">
        <w:rPr>
          <w:b/>
          <w:bCs/>
          <w:sz w:val="24"/>
          <w:szCs w:val="24"/>
        </w:rPr>
        <w:t>SUPPORTING STATEMENT</w:t>
      </w:r>
    </w:p>
    <w:p w:rsidR="00043C32" w:rsidRPr="00F74288" w:rsidP="00AD381B" w14:paraId="7BB0D810" w14:textId="77777777">
      <w:pPr>
        <w:pStyle w:val="Heading1"/>
        <w:rPr>
          <w:b/>
          <w:bCs/>
          <w:sz w:val="24"/>
          <w:szCs w:val="24"/>
        </w:rPr>
      </w:pPr>
      <w:r w:rsidRPr="00F74288">
        <w:rPr>
          <w:b/>
          <w:bCs/>
          <w:sz w:val="24"/>
          <w:szCs w:val="24"/>
        </w:rPr>
        <w:t>FOR PAPERWORK REDUCTION ACT SUBMISSION</w:t>
      </w:r>
    </w:p>
    <w:p w:rsidR="005F4E11" w:rsidRPr="00F74288" w:rsidP="00F74288" w14:paraId="4A5DE702" w14:textId="77777777">
      <w:pPr>
        <w:jc w:val="center"/>
        <w:rPr>
          <w:rFonts w:asciiTheme="minorHAnsi" w:hAnsiTheme="minorHAnsi" w:cstheme="minorHAnsi"/>
        </w:rPr>
      </w:pPr>
      <w:r>
        <w:rPr>
          <w:rFonts w:asciiTheme="minorHAnsi" w:hAnsiTheme="minorHAnsi" w:cstheme="minorHAnsi"/>
        </w:rPr>
        <w:t>Foreign Gifts and Contracts Disclosures</w:t>
      </w:r>
    </w:p>
    <w:p w:rsidR="00043C32" w:rsidRPr="00AD381B" w:rsidP="00AD381B" w14:paraId="0F7401AF" w14:textId="77777777">
      <w:pPr>
        <w:tabs>
          <w:tab w:val="left" w:pos="0"/>
        </w:tabs>
        <w:suppressAutoHyphens/>
        <w:rPr>
          <w:rFonts w:ascii="Times New Roman" w:hAnsi="Times New Roman"/>
          <w:szCs w:val="24"/>
        </w:rPr>
      </w:pPr>
    </w:p>
    <w:p w:rsidR="00EA1767" w:rsidP="00AD381B" w14:paraId="707154C3"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46CDB3E7" w14:textId="77777777">
      <w:pPr>
        <w:suppressAutoHyphens/>
        <w:spacing w:line="240" w:lineRule="exact"/>
        <w:ind w:left="720"/>
        <w:rPr>
          <w:rFonts w:ascii="Times New Roman" w:hAnsi="Times New Roman"/>
          <w:bCs/>
          <w:szCs w:val="24"/>
        </w:rPr>
      </w:pPr>
    </w:p>
    <w:p w:rsidR="00337C75" w:rsidP="0011644E" w14:paraId="5C7B7085" w14:textId="77777777">
      <w:pPr>
        <w:pStyle w:val="ListParagraph"/>
        <w:contextualSpacing w:val="0"/>
        <w:rPr>
          <w:rFonts w:asciiTheme="minorHAnsi" w:hAnsiTheme="minorHAnsi" w:cstheme="minorHAnsi"/>
          <w:szCs w:val="24"/>
        </w:rPr>
      </w:pPr>
      <w:r>
        <w:rPr>
          <w:rFonts w:asciiTheme="minorHAnsi" w:hAnsiTheme="minorHAnsi" w:cstheme="minorHAnsi"/>
          <w:szCs w:val="24"/>
        </w:rPr>
        <w:t xml:space="preserve">Federal Student Aid (FSA), in partnership with the Office </w:t>
      </w:r>
      <w:r w:rsidR="003C20A8">
        <w:rPr>
          <w:rFonts w:asciiTheme="minorHAnsi" w:hAnsiTheme="minorHAnsi" w:cstheme="minorHAnsi"/>
          <w:szCs w:val="24"/>
        </w:rPr>
        <w:t xml:space="preserve">of </w:t>
      </w:r>
      <w:r w:rsidR="000C63CF">
        <w:rPr>
          <w:rFonts w:asciiTheme="minorHAnsi" w:hAnsiTheme="minorHAnsi" w:cstheme="minorHAnsi"/>
          <w:szCs w:val="24"/>
        </w:rPr>
        <w:t xml:space="preserve">the </w:t>
      </w:r>
      <w:r w:rsidR="003C20A8">
        <w:rPr>
          <w:rFonts w:asciiTheme="minorHAnsi" w:hAnsiTheme="minorHAnsi" w:cstheme="minorHAnsi"/>
          <w:szCs w:val="24"/>
        </w:rPr>
        <w:t xml:space="preserve">General Counsel (OGC) of the U.S. Department of Education (ED or </w:t>
      </w:r>
      <w:r w:rsidR="005A0E1C">
        <w:rPr>
          <w:rFonts w:asciiTheme="minorHAnsi" w:hAnsiTheme="minorHAnsi" w:cstheme="minorHAnsi"/>
          <w:szCs w:val="24"/>
        </w:rPr>
        <w:t>Department)</w:t>
      </w:r>
      <w:r w:rsidR="001234B9">
        <w:rPr>
          <w:rFonts w:asciiTheme="minorHAnsi" w:hAnsiTheme="minorHAnsi" w:cstheme="minorHAnsi"/>
          <w:szCs w:val="24"/>
        </w:rPr>
        <w:t>,</w:t>
      </w:r>
      <w:r>
        <w:rPr>
          <w:rFonts w:asciiTheme="minorHAnsi" w:hAnsiTheme="minorHAnsi" w:cstheme="minorHAnsi"/>
          <w:szCs w:val="24"/>
        </w:rPr>
        <w:t xml:space="preserve"> is requesting a </w:t>
      </w:r>
      <w:r w:rsidR="00F41303">
        <w:rPr>
          <w:rFonts w:asciiTheme="minorHAnsi" w:hAnsiTheme="minorHAnsi" w:cstheme="minorHAnsi"/>
          <w:szCs w:val="24"/>
        </w:rPr>
        <w:t xml:space="preserve">the </w:t>
      </w:r>
      <w:r>
        <w:rPr>
          <w:rFonts w:asciiTheme="minorHAnsi" w:hAnsiTheme="minorHAnsi" w:cstheme="minorHAnsi"/>
          <w:szCs w:val="24"/>
        </w:rPr>
        <w:t>renewal</w:t>
      </w:r>
      <w:r w:rsidR="00F41303">
        <w:rPr>
          <w:rFonts w:asciiTheme="minorHAnsi" w:hAnsiTheme="minorHAnsi" w:cstheme="minorHAnsi"/>
          <w:szCs w:val="24"/>
        </w:rPr>
        <w:t xml:space="preserve"> of a</w:t>
      </w:r>
      <w:r w:rsidR="001234B9">
        <w:rPr>
          <w:rFonts w:asciiTheme="minorHAnsi" w:hAnsiTheme="minorHAnsi" w:cstheme="minorHAnsi"/>
          <w:szCs w:val="24"/>
        </w:rPr>
        <w:t xml:space="preserve"> current </w:t>
      </w:r>
      <w:r>
        <w:rPr>
          <w:rFonts w:asciiTheme="minorHAnsi" w:hAnsiTheme="minorHAnsi" w:cstheme="minorHAnsi"/>
          <w:szCs w:val="24"/>
        </w:rPr>
        <w:t xml:space="preserve">information collection to </w:t>
      </w:r>
      <w:r w:rsidR="00B33910">
        <w:rPr>
          <w:rFonts w:asciiTheme="minorHAnsi" w:hAnsiTheme="minorHAnsi" w:cstheme="minorHAnsi"/>
          <w:szCs w:val="24"/>
        </w:rPr>
        <w:t xml:space="preserve">collect required information from institutions </w:t>
      </w:r>
      <w:r w:rsidR="00052CB8">
        <w:rPr>
          <w:rFonts w:asciiTheme="minorHAnsi" w:hAnsiTheme="minorHAnsi" w:cstheme="minorHAnsi"/>
          <w:szCs w:val="24"/>
        </w:rPr>
        <w:t xml:space="preserve">of higher education </w:t>
      </w:r>
      <w:r w:rsidR="000543F1">
        <w:rPr>
          <w:rFonts w:asciiTheme="minorHAnsi" w:hAnsiTheme="minorHAnsi" w:cstheme="minorHAnsi"/>
          <w:szCs w:val="24"/>
        </w:rPr>
        <w:t xml:space="preserve">(IHE) </w:t>
      </w:r>
      <w:r w:rsidR="00B33910">
        <w:rPr>
          <w:rFonts w:asciiTheme="minorHAnsi" w:hAnsiTheme="minorHAnsi" w:cstheme="minorHAnsi"/>
          <w:szCs w:val="24"/>
        </w:rPr>
        <w:t>regarding foreign gifts and contr</w:t>
      </w:r>
      <w:r w:rsidR="002019A2">
        <w:rPr>
          <w:rFonts w:asciiTheme="minorHAnsi" w:hAnsiTheme="minorHAnsi" w:cstheme="minorHAnsi"/>
          <w:szCs w:val="24"/>
        </w:rPr>
        <w:t>a</w:t>
      </w:r>
      <w:r w:rsidR="00B33910">
        <w:rPr>
          <w:rFonts w:asciiTheme="minorHAnsi" w:hAnsiTheme="minorHAnsi" w:cstheme="minorHAnsi"/>
          <w:szCs w:val="24"/>
        </w:rPr>
        <w:t xml:space="preserve">cts as specified in </w:t>
      </w:r>
      <w:r w:rsidRPr="0011644E" w:rsidR="00B33910">
        <w:rPr>
          <w:rFonts w:asciiTheme="minorHAnsi" w:hAnsiTheme="minorHAnsi" w:cstheme="minorHAnsi"/>
          <w:szCs w:val="24"/>
        </w:rPr>
        <w:t>the Higher Education Act of 1965 (HEA), as amended</w:t>
      </w:r>
      <w:r w:rsidR="00B33910">
        <w:rPr>
          <w:rFonts w:asciiTheme="minorHAnsi" w:hAnsiTheme="minorHAnsi" w:cstheme="minorHAnsi"/>
          <w:szCs w:val="24"/>
        </w:rPr>
        <w:t>.</w:t>
      </w:r>
    </w:p>
    <w:p w:rsidR="00B33910" w:rsidP="0011644E" w14:paraId="069882B9" w14:textId="77777777">
      <w:pPr>
        <w:pStyle w:val="ListParagraph"/>
        <w:contextualSpacing w:val="0"/>
        <w:rPr>
          <w:rFonts w:asciiTheme="minorHAnsi" w:hAnsiTheme="minorHAnsi" w:cstheme="minorHAnsi"/>
          <w:szCs w:val="24"/>
        </w:rPr>
      </w:pPr>
    </w:p>
    <w:p w:rsidR="0011644E" w:rsidP="0011644E" w14:paraId="23DBB5F8" w14:textId="77777777">
      <w:pPr>
        <w:pStyle w:val="ListParagraph"/>
        <w:contextualSpacing w:val="0"/>
        <w:rPr>
          <w:rFonts w:asciiTheme="minorHAnsi" w:hAnsiTheme="minorHAnsi" w:cstheme="minorHAnsi"/>
          <w:szCs w:val="24"/>
        </w:rPr>
      </w:pPr>
      <w:r w:rsidRPr="0011644E">
        <w:rPr>
          <w:rFonts w:asciiTheme="minorHAnsi" w:hAnsiTheme="minorHAnsi" w:cstheme="minorHAnsi"/>
          <w:szCs w:val="24"/>
        </w:rPr>
        <w:t>Section 117 of</w:t>
      </w:r>
      <w:r w:rsidR="00B33910">
        <w:rPr>
          <w:rFonts w:asciiTheme="minorHAnsi" w:hAnsiTheme="minorHAnsi" w:cstheme="minorHAnsi"/>
          <w:szCs w:val="24"/>
        </w:rPr>
        <w:t xml:space="preserve"> the HEA</w:t>
      </w:r>
      <w:r w:rsidR="002019A2">
        <w:rPr>
          <w:rFonts w:asciiTheme="minorHAnsi" w:hAnsiTheme="minorHAnsi" w:cstheme="minorHAnsi"/>
          <w:szCs w:val="24"/>
        </w:rPr>
        <w:t>, codified at 20 U.S.C. §</w:t>
      </w:r>
      <w:r w:rsidR="00E10B05">
        <w:rPr>
          <w:rFonts w:asciiTheme="minorHAnsi" w:hAnsiTheme="minorHAnsi" w:cstheme="minorHAnsi"/>
          <w:szCs w:val="24"/>
        </w:rPr>
        <w:t xml:space="preserve"> 1011f</w:t>
      </w:r>
      <w:r w:rsidR="001B02CB">
        <w:rPr>
          <w:rFonts w:asciiTheme="minorHAnsi" w:hAnsiTheme="minorHAnsi" w:cstheme="minorHAnsi"/>
          <w:szCs w:val="24"/>
        </w:rPr>
        <w:t>,</w:t>
      </w:r>
      <w:r w:rsidRPr="0011644E">
        <w:rPr>
          <w:rFonts w:asciiTheme="minorHAnsi" w:hAnsiTheme="minorHAnsi" w:cstheme="minorHAnsi"/>
          <w:szCs w:val="24"/>
        </w:rPr>
        <w:t xml:space="preserve"> provides that institutions of higher education must file a disclosure report with the Secretary of Education </w:t>
      </w:r>
      <w:r w:rsidR="00337C75">
        <w:rPr>
          <w:rFonts w:asciiTheme="minorHAnsi" w:hAnsiTheme="minorHAnsi" w:cstheme="minorHAnsi"/>
          <w:szCs w:val="24"/>
        </w:rPr>
        <w:t xml:space="preserve">on </w:t>
      </w:r>
      <w:r w:rsidRPr="0011644E" w:rsidR="00337C75">
        <w:rPr>
          <w:rFonts w:asciiTheme="minorHAnsi" w:hAnsiTheme="minorHAnsi" w:cstheme="minorHAnsi"/>
          <w:szCs w:val="24"/>
        </w:rPr>
        <w:t>January 31 or July 31, whichever is sooner</w:t>
      </w:r>
      <w:r w:rsidR="00E10B05">
        <w:rPr>
          <w:rFonts w:asciiTheme="minorHAnsi" w:hAnsiTheme="minorHAnsi" w:cstheme="minorHAnsi"/>
          <w:szCs w:val="24"/>
        </w:rPr>
        <w:t>,</w:t>
      </w:r>
      <w:r w:rsidRPr="0011644E" w:rsidR="00337C75">
        <w:rPr>
          <w:rFonts w:asciiTheme="minorHAnsi" w:hAnsiTheme="minorHAnsi" w:cstheme="minorHAnsi"/>
          <w:szCs w:val="24"/>
        </w:rPr>
        <w:t xml:space="preserve"> </w:t>
      </w:r>
      <w:r w:rsidRPr="0011644E">
        <w:rPr>
          <w:rFonts w:asciiTheme="minorHAnsi" w:hAnsiTheme="minorHAnsi" w:cstheme="minorHAnsi"/>
          <w:szCs w:val="24"/>
        </w:rPr>
        <w:t>under the following circumstances:</w:t>
      </w:r>
    </w:p>
    <w:p w:rsidR="002047F8" w:rsidRPr="0011644E" w:rsidP="0011644E" w14:paraId="3EE0BEDD" w14:textId="77777777">
      <w:pPr>
        <w:pStyle w:val="ListParagraph"/>
        <w:contextualSpacing w:val="0"/>
        <w:rPr>
          <w:rFonts w:asciiTheme="minorHAnsi" w:hAnsiTheme="minorHAnsi" w:cstheme="minorHAnsi"/>
          <w:szCs w:val="24"/>
        </w:rPr>
      </w:pPr>
    </w:p>
    <w:p w:rsidR="0011644E" w:rsidP="0011644E" w14:paraId="4F0700F9" w14:textId="77777777">
      <w:pPr>
        <w:pStyle w:val="ListParagraph"/>
        <w:numPr>
          <w:ilvl w:val="0"/>
          <w:numId w:val="7"/>
        </w:numPr>
        <w:rPr>
          <w:rFonts w:asciiTheme="minorHAnsi" w:hAnsiTheme="minorHAnsi" w:cstheme="minorHAnsi"/>
          <w:szCs w:val="24"/>
        </w:rPr>
      </w:pPr>
      <w:r w:rsidRPr="0011644E">
        <w:rPr>
          <w:rFonts w:asciiTheme="minorHAnsi" w:hAnsiTheme="minorHAnsi" w:cstheme="minorHAnsi"/>
          <w:szCs w:val="24"/>
        </w:rPr>
        <w:t>Whenever any institution is owned or controlled by a foreign source</w:t>
      </w:r>
      <w:r w:rsidR="00337C75">
        <w:rPr>
          <w:rFonts w:asciiTheme="minorHAnsi" w:hAnsiTheme="minorHAnsi" w:cstheme="minorHAnsi"/>
          <w:szCs w:val="24"/>
        </w:rPr>
        <w:t>,</w:t>
      </w:r>
      <w:r w:rsidRPr="0011644E">
        <w:rPr>
          <w:rFonts w:asciiTheme="minorHAnsi" w:hAnsiTheme="minorHAnsi" w:cstheme="minorHAnsi"/>
          <w:szCs w:val="24"/>
        </w:rPr>
        <w:t xml:space="preserve"> or </w:t>
      </w:r>
    </w:p>
    <w:p w:rsidR="0011644E" w:rsidRPr="00237366" w:rsidP="00237366" w14:paraId="5ABD1E62" w14:textId="77777777">
      <w:pPr>
        <w:pStyle w:val="ListParagraph"/>
        <w:numPr>
          <w:ilvl w:val="0"/>
          <w:numId w:val="7"/>
        </w:numPr>
        <w:rPr>
          <w:rFonts w:asciiTheme="minorHAnsi" w:hAnsiTheme="minorHAnsi" w:cstheme="minorHAnsi"/>
          <w:szCs w:val="24"/>
        </w:rPr>
      </w:pPr>
      <w:r>
        <w:rPr>
          <w:rFonts w:asciiTheme="minorHAnsi" w:hAnsiTheme="minorHAnsi" w:cstheme="minorHAnsi"/>
          <w:szCs w:val="24"/>
        </w:rPr>
        <w:t xml:space="preserve">Whenever an institutions </w:t>
      </w:r>
      <w:r w:rsidRPr="0011644E">
        <w:rPr>
          <w:rFonts w:asciiTheme="minorHAnsi" w:hAnsiTheme="minorHAnsi" w:cstheme="minorHAnsi"/>
          <w:szCs w:val="24"/>
        </w:rPr>
        <w:t xml:space="preserve">receives a gift from or enters into a contract with a foreign source, the value of which is $250,000 or more, considered alone or in combination with all other gifts from or contracts with that foreign source within a calendar year.  </w:t>
      </w:r>
      <w:r w:rsidRPr="00237366">
        <w:rPr>
          <w:rFonts w:asciiTheme="minorHAnsi" w:hAnsiTheme="minorHAnsi" w:cstheme="minorHAnsi"/>
          <w:szCs w:val="24"/>
        </w:rPr>
        <w:t xml:space="preserve">(see </w:t>
      </w:r>
      <w:hyperlink r:id="rId9" w:history="1">
        <w:r w:rsidRPr="00237366" w:rsidR="0058666B">
          <w:rPr>
            <w:rStyle w:val="Hyperlink"/>
            <w:rFonts w:asciiTheme="minorHAnsi" w:hAnsiTheme="minorHAnsi" w:cstheme="minorHAnsi"/>
            <w:szCs w:val="24"/>
          </w:rPr>
          <w:t>https://www.govinfo.gov/content/pkg/USCODE-2017-title20/pdf/USCODE-2017-title20-chap28-subchapI-partB-sec1011f.pdf</w:t>
        </w:r>
      </w:hyperlink>
      <w:r w:rsidRPr="00237366">
        <w:rPr>
          <w:rFonts w:asciiTheme="minorHAnsi" w:hAnsiTheme="minorHAnsi" w:cstheme="minorHAnsi"/>
          <w:szCs w:val="24"/>
        </w:rPr>
        <w:t>).</w:t>
      </w:r>
    </w:p>
    <w:p w:rsidR="00337C75" w:rsidRPr="00337C75" w:rsidP="00337C75" w14:paraId="24436BD9" w14:textId="77777777">
      <w:pPr>
        <w:rPr>
          <w:rFonts w:asciiTheme="minorHAnsi" w:hAnsiTheme="minorHAnsi" w:cstheme="minorHAnsi"/>
          <w:szCs w:val="24"/>
        </w:rPr>
      </w:pPr>
    </w:p>
    <w:p w:rsidR="00E73D5A" w:rsidP="33FD2799" w14:paraId="498D19EE" w14:textId="77777777">
      <w:pPr>
        <w:pStyle w:val="ListParagraph"/>
        <w:rPr>
          <w:rFonts w:asciiTheme="minorHAnsi" w:hAnsiTheme="minorHAnsi" w:cstheme="minorBidi"/>
        </w:rPr>
      </w:pPr>
      <w:r>
        <w:rPr>
          <w:rFonts w:asciiTheme="minorHAnsi" w:hAnsiTheme="minorHAnsi" w:cstheme="minorBidi"/>
        </w:rPr>
        <w:t xml:space="preserve">In June of 2020, </w:t>
      </w:r>
      <w:r w:rsidRPr="33FD2799" w:rsidR="003E47BD">
        <w:rPr>
          <w:rFonts w:asciiTheme="minorHAnsi" w:hAnsiTheme="minorHAnsi" w:cstheme="minorBidi"/>
        </w:rPr>
        <w:t xml:space="preserve">ED </w:t>
      </w:r>
      <w:r w:rsidRPr="33FD2799" w:rsidR="0011644E">
        <w:rPr>
          <w:rFonts w:asciiTheme="minorHAnsi" w:hAnsiTheme="minorHAnsi" w:cstheme="minorBidi"/>
        </w:rPr>
        <w:t>establish</w:t>
      </w:r>
      <w:r w:rsidRPr="33FD2799" w:rsidR="00237366">
        <w:rPr>
          <w:rFonts w:asciiTheme="minorHAnsi" w:hAnsiTheme="minorHAnsi" w:cstheme="minorBidi"/>
        </w:rPr>
        <w:t>ed</w:t>
      </w:r>
      <w:r w:rsidRPr="33FD2799" w:rsidR="0011644E">
        <w:rPr>
          <w:rFonts w:asciiTheme="minorHAnsi" w:hAnsiTheme="minorHAnsi" w:cstheme="minorBidi"/>
        </w:rPr>
        <w:t xml:space="preserve"> </w:t>
      </w:r>
      <w:r w:rsidRPr="33FD2799" w:rsidR="00237366">
        <w:rPr>
          <w:rFonts w:asciiTheme="minorHAnsi" w:hAnsiTheme="minorHAnsi" w:cstheme="minorBidi"/>
        </w:rPr>
        <w:t>a</w:t>
      </w:r>
      <w:r w:rsidRPr="33FD2799" w:rsidR="0011644E">
        <w:rPr>
          <w:rFonts w:asciiTheme="minorHAnsi" w:hAnsiTheme="minorHAnsi" w:cstheme="minorBidi"/>
        </w:rPr>
        <w:t xml:space="preserve"> collection of information</w:t>
      </w:r>
      <w:r w:rsidRPr="33FD2799" w:rsidR="00237366">
        <w:rPr>
          <w:rFonts w:asciiTheme="minorHAnsi" w:hAnsiTheme="minorHAnsi" w:cstheme="minorBidi"/>
        </w:rPr>
        <w:t xml:space="preserve">, Foreign Gifts and Contracts Disclosures, 1801-0006, through </w:t>
      </w:r>
      <w:r w:rsidRPr="33FD2799" w:rsidR="00E875EF">
        <w:rPr>
          <w:rFonts w:asciiTheme="minorHAnsi" w:hAnsiTheme="minorHAnsi" w:cstheme="minorBidi"/>
        </w:rPr>
        <w:t xml:space="preserve">ED’s </w:t>
      </w:r>
      <w:r w:rsidRPr="33FD2799" w:rsidR="007D7360">
        <w:rPr>
          <w:rFonts w:asciiTheme="minorHAnsi" w:hAnsiTheme="minorHAnsi" w:cstheme="minorBidi"/>
        </w:rPr>
        <w:t>Partner</w:t>
      </w:r>
      <w:r>
        <w:rPr>
          <w:rFonts w:asciiTheme="minorHAnsi" w:hAnsiTheme="minorHAnsi" w:cstheme="minorBidi"/>
        </w:rPr>
        <w:t xml:space="preserve"> </w:t>
      </w:r>
      <w:r w:rsidRPr="33FD2799" w:rsidR="007D7360">
        <w:rPr>
          <w:rFonts w:asciiTheme="minorHAnsi" w:hAnsiTheme="minorHAnsi" w:cstheme="minorBidi"/>
        </w:rPr>
        <w:t>Enterprise Business Collaboration (PEBC</w:t>
      </w:r>
      <w:r w:rsidRPr="33FD2799" w:rsidR="3508296D">
        <w:rPr>
          <w:rFonts w:asciiTheme="minorHAnsi" w:hAnsiTheme="minorHAnsi" w:cstheme="minorBidi"/>
        </w:rPr>
        <w:t>)</w:t>
      </w:r>
      <w:r w:rsidRPr="33FD2799" w:rsidR="2D96AB60">
        <w:rPr>
          <w:rFonts w:asciiTheme="minorHAnsi" w:hAnsiTheme="minorHAnsi" w:cstheme="minorBidi"/>
        </w:rPr>
        <w:t xml:space="preserve"> system</w:t>
      </w:r>
      <w:r w:rsidRPr="33FD2799" w:rsidR="3508296D">
        <w:rPr>
          <w:rFonts w:asciiTheme="minorHAnsi" w:hAnsiTheme="minorHAnsi" w:cstheme="minorBidi"/>
        </w:rPr>
        <w:t>.</w:t>
      </w:r>
      <w:r w:rsidRPr="33FD2799" w:rsidR="00D10984">
        <w:rPr>
          <w:rFonts w:asciiTheme="minorHAnsi" w:hAnsiTheme="minorHAnsi" w:cstheme="minorBidi"/>
        </w:rPr>
        <w:t xml:space="preserve">  Th</w:t>
      </w:r>
      <w:r w:rsidRPr="33FD2799" w:rsidR="006844D8">
        <w:rPr>
          <w:rFonts w:asciiTheme="minorHAnsi" w:hAnsiTheme="minorHAnsi" w:cstheme="minorBidi"/>
        </w:rPr>
        <w:t xml:space="preserve">at </w:t>
      </w:r>
      <w:r w:rsidRPr="33FD2799" w:rsidR="00D10984">
        <w:rPr>
          <w:rFonts w:asciiTheme="minorHAnsi" w:hAnsiTheme="minorHAnsi" w:cstheme="minorBidi"/>
        </w:rPr>
        <w:t xml:space="preserve">collection </w:t>
      </w:r>
      <w:r w:rsidR="00A8763A">
        <w:rPr>
          <w:rFonts w:asciiTheme="minorHAnsi" w:hAnsiTheme="minorHAnsi" w:cstheme="minorBidi"/>
        </w:rPr>
        <w:t>was</w:t>
      </w:r>
      <w:r w:rsidRPr="33FD2799" w:rsidR="00A8763A">
        <w:rPr>
          <w:rFonts w:asciiTheme="minorHAnsi" w:hAnsiTheme="minorHAnsi" w:cstheme="minorBidi"/>
        </w:rPr>
        <w:t xml:space="preserve"> </w:t>
      </w:r>
      <w:r w:rsidRPr="33FD2799" w:rsidR="004E24FB">
        <w:rPr>
          <w:rFonts w:asciiTheme="minorHAnsi" w:hAnsiTheme="minorHAnsi" w:cstheme="minorBidi"/>
        </w:rPr>
        <w:t xml:space="preserve">under an OMB control number for </w:t>
      </w:r>
      <w:r w:rsidR="00A21ECA">
        <w:rPr>
          <w:rFonts w:asciiTheme="minorHAnsi" w:hAnsiTheme="minorHAnsi" w:cstheme="minorBidi"/>
        </w:rPr>
        <w:t>OGC</w:t>
      </w:r>
      <w:r w:rsidRPr="33FD2799" w:rsidR="004E24FB">
        <w:rPr>
          <w:rFonts w:asciiTheme="minorHAnsi" w:hAnsiTheme="minorHAnsi" w:cstheme="minorBidi"/>
        </w:rPr>
        <w:t>.</w:t>
      </w:r>
      <w:r w:rsidR="00EB600C">
        <w:rPr>
          <w:rFonts w:asciiTheme="minorHAnsi" w:hAnsiTheme="minorHAnsi" w:cstheme="minorBidi"/>
        </w:rPr>
        <w:t xml:space="preserve">  </w:t>
      </w:r>
      <w:r w:rsidRPr="00EB600C" w:rsidR="0011644E">
        <w:rPr>
          <w:rFonts w:asciiTheme="minorHAnsi" w:hAnsiTheme="minorHAnsi" w:cstheme="minorBidi"/>
        </w:rPr>
        <w:t>Th</w:t>
      </w:r>
      <w:r w:rsidRPr="00EB600C" w:rsidR="00E875EF">
        <w:rPr>
          <w:rFonts w:asciiTheme="minorHAnsi" w:hAnsiTheme="minorHAnsi" w:cstheme="minorBidi"/>
        </w:rPr>
        <w:t>e</w:t>
      </w:r>
      <w:r w:rsidRPr="00EB600C" w:rsidR="009A3805">
        <w:rPr>
          <w:rFonts w:asciiTheme="minorHAnsi" w:hAnsiTheme="minorHAnsi" w:cstheme="minorBidi"/>
        </w:rPr>
        <w:t xml:space="preserve"> </w:t>
      </w:r>
      <w:r w:rsidRPr="00EB600C" w:rsidR="00536583">
        <w:rPr>
          <w:rFonts w:asciiTheme="minorHAnsi" w:hAnsiTheme="minorHAnsi" w:cstheme="minorBidi"/>
        </w:rPr>
        <w:t>PEBC</w:t>
      </w:r>
      <w:r w:rsidRPr="00EB600C" w:rsidR="00E875EF">
        <w:rPr>
          <w:rFonts w:asciiTheme="minorHAnsi" w:hAnsiTheme="minorHAnsi" w:cstheme="minorBidi"/>
        </w:rPr>
        <w:t xml:space="preserve"> </w:t>
      </w:r>
      <w:r w:rsidRPr="00EB600C" w:rsidR="0011644E">
        <w:rPr>
          <w:rFonts w:asciiTheme="minorHAnsi" w:hAnsiTheme="minorHAnsi" w:cstheme="minorBidi"/>
        </w:rPr>
        <w:t>collection</w:t>
      </w:r>
      <w:r w:rsidRPr="00EB600C" w:rsidR="00E875EF">
        <w:rPr>
          <w:rFonts w:asciiTheme="minorHAnsi" w:hAnsiTheme="minorHAnsi" w:cstheme="minorBidi"/>
        </w:rPr>
        <w:t xml:space="preserve"> </w:t>
      </w:r>
      <w:r w:rsidR="001A0A1E">
        <w:rPr>
          <w:rFonts w:asciiTheme="minorHAnsi" w:hAnsiTheme="minorHAnsi" w:cstheme="minorBidi"/>
        </w:rPr>
        <w:t>provide</w:t>
      </w:r>
      <w:r w:rsidR="00A21ECA">
        <w:rPr>
          <w:rFonts w:asciiTheme="minorHAnsi" w:hAnsiTheme="minorHAnsi" w:cstheme="minorBidi"/>
        </w:rPr>
        <w:t>d</w:t>
      </w:r>
      <w:r w:rsidR="001A0A1E">
        <w:rPr>
          <w:rFonts w:asciiTheme="minorHAnsi" w:hAnsiTheme="minorHAnsi" w:cstheme="minorBidi"/>
        </w:rPr>
        <w:t xml:space="preserve"> for collection of the</w:t>
      </w:r>
      <w:r w:rsidRPr="00EB600C" w:rsidR="00963B1D">
        <w:rPr>
          <w:rFonts w:asciiTheme="minorHAnsi" w:hAnsiTheme="minorHAnsi" w:cstheme="minorBidi"/>
        </w:rPr>
        <w:t xml:space="preserve"> data elements that ED believes are </w:t>
      </w:r>
      <w:r w:rsidRPr="00EB600C" w:rsidR="0011644E">
        <w:rPr>
          <w:rFonts w:asciiTheme="minorHAnsi" w:hAnsiTheme="minorHAnsi" w:cstheme="minorBidi"/>
        </w:rPr>
        <w:t>necessary to ensure institutions provide Congressionally-mandated transparency with respect to covered gifts from and contracts with foreign sources</w:t>
      </w:r>
      <w:r w:rsidRPr="00EB600C" w:rsidR="0070226C">
        <w:rPr>
          <w:rFonts w:asciiTheme="minorHAnsi" w:hAnsiTheme="minorHAnsi" w:cstheme="minorBidi"/>
        </w:rPr>
        <w:t xml:space="preserve">.  </w:t>
      </w:r>
      <w:r w:rsidR="00D419FD">
        <w:rPr>
          <w:rFonts w:asciiTheme="minorHAnsi" w:hAnsiTheme="minorHAnsi" w:cstheme="minorHAnsi"/>
        </w:rPr>
        <w:t>In June of 2023, a new collection of information</w:t>
      </w:r>
      <w:r w:rsidR="00762AEE">
        <w:rPr>
          <w:rFonts w:asciiTheme="minorHAnsi" w:hAnsiTheme="minorHAnsi" w:cstheme="minorHAnsi"/>
        </w:rPr>
        <w:t>, Foreign Gifts and Contracts Disclosures, 1845-0172</w:t>
      </w:r>
      <w:r w:rsidR="0008527A">
        <w:rPr>
          <w:rFonts w:asciiTheme="minorHAnsi" w:hAnsiTheme="minorHAnsi" w:cstheme="minorHAnsi"/>
        </w:rPr>
        <w:t>, was approved with the same PEBC collection portal</w:t>
      </w:r>
      <w:r w:rsidR="005F3029">
        <w:rPr>
          <w:rFonts w:asciiTheme="minorHAnsi" w:hAnsiTheme="minorHAnsi" w:cstheme="minorHAnsi"/>
        </w:rPr>
        <w:t>, with a few minimal changes, but returning the collection of information to FSA.</w:t>
      </w:r>
      <w:r w:rsidR="00DD5580">
        <w:rPr>
          <w:rFonts w:asciiTheme="minorHAnsi" w:hAnsiTheme="minorHAnsi" w:cstheme="minorHAnsi"/>
        </w:rPr>
        <w:t xml:space="preserve">  </w:t>
      </w:r>
      <w:r w:rsidR="00DD5580">
        <w:rPr>
          <w:rFonts w:asciiTheme="minorHAnsi" w:hAnsiTheme="minorHAnsi" w:cstheme="minorBidi"/>
        </w:rPr>
        <w:t>OGC and FSA have</w:t>
      </w:r>
      <w:r w:rsidRPr="33FD2799" w:rsidR="00DD5580">
        <w:rPr>
          <w:rFonts w:asciiTheme="minorHAnsi" w:hAnsiTheme="minorHAnsi" w:cstheme="minorBidi"/>
        </w:rPr>
        <w:t xml:space="preserve"> worked closely </w:t>
      </w:r>
      <w:r w:rsidR="00942BAE">
        <w:rPr>
          <w:rFonts w:asciiTheme="minorHAnsi" w:hAnsiTheme="minorHAnsi" w:cstheme="minorBidi"/>
        </w:rPr>
        <w:t xml:space="preserve">over the course of these two information requests.  </w:t>
      </w:r>
      <w:r w:rsidR="008E6A44">
        <w:rPr>
          <w:rFonts w:asciiTheme="minorHAnsi" w:hAnsiTheme="minorHAnsi" w:cstheme="minorBidi"/>
        </w:rPr>
        <w:t xml:space="preserve">Through these collections, the public has had ready and meaningful </w:t>
      </w:r>
      <w:r w:rsidR="008F6529">
        <w:rPr>
          <w:rFonts w:asciiTheme="minorHAnsi" w:hAnsiTheme="minorHAnsi" w:cstheme="minorBidi"/>
        </w:rPr>
        <w:t>access to this information</w:t>
      </w:r>
      <w:r w:rsidR="00D100EA">
        <w:rPr>
          <w:rFonts w:asciiTheme="minorHAnsi" w:hAnsiTheme="minorHAnsi" w:cstheme="minorBidi"/>
        </w:rPr>
        <w:t xml:space="preserve">, and the Secretary </w:t>
      </w:r>
      <w:r w:rsidR="005F03B7">
        <w:rPr>
          <w:rFonts w:asciiTheme="minorHAnsi" w:hAnsiTheme="minorHAnsi" w:cstheme="minorBidi"/>
        </w:rPr>
        <w:t xml:space="preserve">has received more meaningful </w:t>
      </w:r>
      <w:r w:rsidR="008E6A44">
        <w:rPr>
          <w:rFonts w:asciiTheme="minorHAnsi" w:hAnsiTheme="minorHAnsi" w:cstheme="minorBidi"/>
        </w:rPr>
        <w:t>i</w:t>
      </w:r>
      <w:r w:rsidR="008F6529">
        <w:rPr>
          <w:rFonts w:asciiTheme="minorHAnsi" w:hAnsiTheme="minorHAnsi" w:cstheme="minorBidi"/>
        </w:rPr>
        <w:t>nformation</w:t>
      </w:r>
      <w:r w:rsidR="005F03B7">
        <w:rPr>
          <w:rFonts w:asciiTheme="minorHAnsi" w:hAnsiTheme="minorHAnsi" w:cstheme="minorBidi"/>
        </w:rPr>
        <w:t xml:space="preserve"> about covered gifts or contracts involving foreign sources</w:t>
      </w:r>
      <w:r w:rsidR="00A4501B">
        <w:rPr>
          <w:rFonts w:asciiTheme="minorHAnsi" w:hAnsiTheme="minorHAnsi" w:cstheme="minorBidi"/>
        </w:rPr>
        <w:t xml:space="preserve">, or about ownership or control of institutions by foreign sources, and </w:t>
      </w:r>
      <w:r w:rsidR="00456B43">
        <w:rPr>
          <w:rFonts w:asciiTheme="minorHAnsi" w:hAnsiTheme="minorHAnsi" w:cstheme="minorBidi"/>
        </w:rPr>
        <w:t xml:space="preserve">has been better able to determine whether it appears an institution has failed to comply with the requirements of 20 U.S.C. </w:t>
      </w:r>
      <w:r w:rsidR="00456B43">
        <w:rPr>
          <w:rFonts w:asciiTheme="minorHAnsi" w:hAnsiTheme="minorHAnsi" w:cstheme="minorHAnsi"/>
        </w:rPr>
        <w:t>§</w:t>
      </w:r>
      <w:r w:rsidR="00456B43">
        <w:rPr>
          <w:rFonts w:asciiTheme="minorHAnsi" w:hAnsiTheme="minorHAnsi" w:cstheme="minorBidi"/>
        </w:rPr>
        <w:t xml:space="preserve"> 1011f.</w:t>
      </w:r>
      <w:r>
        <w:rPr>
          <w:rFonts w:asciiTheme="minorHAnsi" w:hAnsiTheme="minorHAnsi" w:cstheme="minorBidi"/>
        </w:rPr>
        <w:t xml:space="preserve">  </w:t>
      </w:r>
    </w:p>
    <w:p w:rsidR="0070226C" w:rsidRPr="0011644E" w:rsidP="33FD2799" w14:paraId="45289ED8" w14:textId="18715A25">
      <w:pPr>
        <w:pStyle w:val="ListParagraph"/>
        <w:rPr>
          <w:rFonts w:asciiTheme="minorHAnsi" w:hAnsiTheme="minorHAnsi" w:cstheme="minorBidi"/>
        </w:rPr>
      </w:pPr>
      <w:r>
        <w:rPr>
          <w:rFonts w:asciiTheme="minorHAnsi" w:hAnsiTheme="minorHAnsi" w:cstheme="minorBidi"/>
        </w:rPr>
        <w:t>Consistent</w:t>
      </w:r>
      <w:r w:rsidR="006C18FD">
        <w:rPr>
          <w:rFonts w:asciiTheme="minorHAnsi" w:hAnsiTheme="minorHAnsi" w:cstheme="minorBidi"/>
        </w:rPr>
        <w:t xml:space="preserve"> with </w:t>
      </w:r>
      <w:r w:rsidR="001A438B">
        <w:rPr>
          <w:rFonts w:asciiTheme="minorHAnsi" w:hAnsiTheme="minorHAnsi" w:cstheme="minorBidi"/>
        </w:rPr>
        <w:t xml:space="preserve">Executive </w:t>
      </w:r>
      <w:r w:rsidR="00546644">
        <w:rPr>
          <w:rFonts w:asciiTheme="minorHAnsi" w:hAnsiTheme="minorHAnsi" w:cstheme="minorBidi"/>
        </w:rPr>
        <w:t xml:space="preserve">Order  No. </w:t>
      </w:r>
      <w:r w:rsidR="00D02FEE">
        <w:rPr>
          <w:rFonts w:asciiTheme="minorHAnsi" w:hAnsiTheme="minorHAnsi" w:cstheme="minorBidi"/>
        </w:rPr>
        <w:t>14282</w:t>
      </w:r>
      <w:r w:rsidR="00546644">
        <w:rPr>
          <w:rFonts w:asciiTheme="minorHAnsi" w:hAnsiTheme="minorHAnsi" w:cstheme="minorBidi"/>
        </w:rPr>
        <w:t xml:space="preserve">, Transparency Regarding Foreign Influence at American Universities and </w:t>
      </w:r>
      <w:r w:rsidR="007321BD">
        <w:rPr>
          <w:rFonts w:asciiTheme="minorHAnsi" w:hAnsiTheme="minorHAnsi" w:cstheme="minorBidi"/>
        </w:rPr>
        <w:t>the directives of U.S. Department of Education Secretary Linda McMahon</w:t>
      </w:r>
      <w:r>
        <w:rPr>
          <w:rFonts w:asciiTheme="minorHAnsi" w:hAnsiTheme="minorHAnsi" w:cstheme="minorBidi"/>
        </w:rPr>
        <w:t>,</w:t>
      </w:r>
      <w:r w:rsidR="00BD0280">
        <w:rPr>
          <w:rFonts w:asciiTheme="minorHAnsi" w:hAnsiTheme="minorHAnsi" w:cstheme="minorBidi"/>
        </w:rPr>
        <w:t xml:space="preserve"> </w:t>
      </w:r>
      <w:r>
        <w:rPr>
          <w:rFonts w:asciiTheme="minorHAnsi" w:hAnsiTheme="minorHAnsi" w:cstheme="minorBidi"/>
        </w:rPr>
        <w:t>FSA is seeking</w:t>
      </w:r>
      <w:r w:rsidR="00D84F70">
        <w:rPr>
          <w:rFonts w:asciiTheme="minorHAnsi" w:hAnsiTheme="minorHAnsi" w:cstheme="minorBidi"/>
        </w:rPr>
        <w:t xml:space="preserve"> renew</w:t>
      </w:r>
      <w:r>
        <w:rPr>
          <w:rFonts w:asciiTheme="minorHAnsi" w:hAnsiTheme="minorHAnsi" w:cstheme="minorBidi"/>
        </w:rPr>
        <w:t>al</w:t>
      </w:r>
      <w:r w:rsidR="00D84F70">
        <w:rPr>
          <w:rFonts w:asciiTheme="minorHAnsi" w:hAnsiTheme="minorHAnsi" w:cstheme="minorBidi"/>
        </w:rPr>
        <w:t xml:space="preserve"> for substantially the same information collection</w:t>
      </w:r>
      <w:r w:rsidR="0050530E">
        <w:rPr>
          <w:rFonts w:asciiTheme="minorHAnsi" w:hAnsiTheme="minorHAnsi" w:cstheme="minorBidi"/>
        </w:rPr>
        <w:t xml:space="preserve">, utilizing a new, more </w:t>
      </w:r>
      <w:r w:rsidR="0050530E">
        <w:rPr>
          <w:rFonts w:asciiTheme="minorHAnsi" w:hAnsiTheme="minorHAnsi" w:cstheme="minorBidi"/>
        </w:rPr>
        <w:t>user friendly</w:t>
      </w:r>
      <w:r w:rsidR="0050530E">
        <w:rPr>
          <w:rFonts w:asciiTheme="minorHAnsi" w:hAnsiTheme="minorHAnsi" w:cstheme="minorBidi"/>
        </w:rPr>
        <w:t xml:space="preserve"> portal</w:t>
      </w:r>
      <w:r w:rsidR="00AC4C94">
        <w:rPr>
          <w:rFonts w:asciiTheme="minorHAnsi" w:hAnsiTheme="minorHAnsi" w:cstheme="minorBidi"/>
        </w:rPr>
        <w:t xml:space="preserve"> located at </w:t>
      </w:r>
      <w:hyperlink r:id="rId10" w:history="1">
        <w:r w:rsidRPr="00574CA0">
          <w:rPr>
            <w:rStyle w:val="Hyperlink"/>
            <w:rFonts w:asciiTheme="minorHAnsi" w:hAnsiTheme="minorHAnsi" w:cstheme="minorBidi"/>
          </w:rPr>
          <w:t>https://www.foreignfundinghighered.gov</w:t>
        </w:r>
      </w:hyperlink>
      <w:r w:rsidRPr="33FD2799" w:rsidR="007B424C">
        <w:rPr>
          <w:rFonts w:asciiTheme="minorHAnsi" w:hAnsiTheme="minorHAnsi" w:cstheme="minorBidi"/>
        </w:rPr>
        <w:t>.</w:t>
      </w:r>
      <w:r>
        <w:rPr>
          <w:rFonts w:asciiTheme="minorHAnsi" w:hAnsiTheme="minorHAnsi" w:cstheme="minorBidi"/>
        </w:rPr>
        <w:t xml:space="preserve"> </w:t>
      </w:r>
      <w:r w:rsidRPr="33FD2799" w:rsidR="007B424C">
        <w:rPr>
          <w:rFonts w:asciiTheme="minorHAnsi" w:hAnsiTheme="minorHAnsi" w:cstheme="minorBidi"/>
        </w:rPr>
        <w:t xml:space="preserve">  </w:t>
      </w:r>
    </w:p>
    <w:p w:rsidR="007C700A" w:rsidRPr="00AD381B" w:rsidP="00AD381B" w14:paraId="4262A713" w14:textId="77777777">
      <w:pPr>
        <w:pStyle w:val="ListParagraph"/>
        <w:suppressAutoHyphens/>
        <w:spacing w:line="240" w:lineRule="exact"/>
        <w:contextualSpacing w:val="0"/>
        <w:rPr>
          <w:rFonts w:ascii="Times New Roman" w:hAnsi="Times New Roman"/>
          <w:szCs w:val="24"/>
        </w:rPr>
      </w:pPr>
    </w:p>
    <w:p w:rsidR="00AD381B" w:rsidP="00AD381B" w14:paraId="5DB05F3D"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5242911C" w14:textId="77777777">
      <w:pPr>
        <w:suppressAutoHyphens/>
        <w:spacing w:line="240" w:lineRule="exact"/>
        <w:ind w:left="720"/>
        <w:rPr>
          <w:rFonts w:ascii="Times New Roman" w:hAnsi="Times New Roman"/>
          <w:szCs w:val="24"/>
        </w:rPr>
      </w:pPr>
    </w:p>
    <w:p w:rsidR="00FD45AA" w:rsidP="00903092" w14:paraId="5EC5B2DD" w14:textId="77777777">
      <w:pPr>
        <w:pStyle w:val="CommentText"/>
        <w:ind w:left="720"/>
        <w:rPr>
          <w:rFonts w:asciiTheme="minorHAnsi" w:hAnsiTheme="minorHAnsi" w:cstheme="minorHAnsi"/>
          <w:b/>
          <w:bCs/>
          <w:sz w:val="24"/>
          <w:szCs w:val="24"/>
        </w:rPr>
      </w:pPr>
      <w:r w:rsidRPr="00F4151E">
        <w:rPr>
          <w:rFonts w:asciiTheme="minorHAnsi" w:hAnsiTheme="minorHAnsi" w:cstheme="minorHAnsi"/>
          <w:sz w:val="24"/>
          <w:szCs w:val="24"/>
        </w:rPr>
        <w:t>The plain language and Congressional purpose of Section 117 require institutions subject to this information request to disclose fully foreign money provided to them the value of which is $250,000 or more, considered alone or in combination with all other gifts from or contracts with that foreign source within a calendar year.  The statute requires the disclosure reports to be made readily available to the public.  Also, the Department use</w:t>
      </w:r>
      <w:r w:rsidRPr="00F4151E" w:rsidR="00AB722D">
        <w:rPr>
          <w:rFonts w:asciiTheme="minorHAnsi" w:hAnsiTheme="minorHAnsi" w:cstheme="minorHAnsi"/>
          <w:sz w:val="24"/>
          <w:szCs w:val="24"/>
        </w:rPr>
        <w:t>s</w:t>
      </w:r>
      <w:r w:rsidRPr="00F4151E">
        <w:rPr>
          <w:rFonts w:asciiTheme="minorHAnsi" w:hAnsiTheme="minorHAnsi" w:cstheme="minorHAnsi"/>
          <w:sz w:val="24"/>
          <w:szCs w:val="24"/>
        </w:rPr>
        <w:t xml:space="preserve"> this information to inform its enforcement work under 20 U.S.C. </w:t>
      </w:r>
      <w:r w:rsidR="002C6129">
        <w:rPr>
          <w:rFonts w:asciiTheme="minorHAnsi" w:hAnsiTheme="minorHAnsi" w:cstheme="minorHAnsi"/>
          <w:sz w:val="24"/>
          <w:szCs w:val="24"/>
        </w:rPr>
        <w:t xml:space="preserve">§ </w:t>
      </w:r>
      <w:r w:rsidRPr="00F4151E">
        <w:rPr>
          <w:rFonts w:asciiTheme="minorHAnsi" w:hAnsiTheme="minorHAnsi" w:cstheme="minorHAnsi"/>
          <w:sz w:val="24"/>
          <w:szCs w:val="24"/>
        </w:rPr>
        <w:t xml:space="preserve">1011f.  </w:t>
      </w:r>
    </w:p>
    <w:p w:rsidR="0073173F" w:rsidRPr="00B33825" w:rsidP="00903092" w14:paraId="616BC45D" w14:textId="77777777">
      <w:pPr>
        <w:pStyle w:val="CommentText"/>
        <w:ind w:left="720"/>
        <w:rPr>
          <w:rFonts w:asciiTheme="minorHAnsi" w:hAnsiTheme="minorHAnsi" w:cstheme="minorHAnsi"/>
          <w:b/>
          <w:bCs/>
          <w:sz w:val="24"/>
          <w:szCs w:val="24"/>
        </w:rPr>
      </w:pPr>
    </w:p>
    <w:p w:rsidR="00043C32" w:rsidRPr="00AD381B" w:rsidP="00BC1A67" w14:paraId="7E591C31" w14:textId="77777777">
      <w:pPr>
        <w:suppressAutoHyphens/>
        <w:spacing w:line="240" w:lineRule="exact"/>
        <w:ind w:left="720"/>
        <w:rPr>
          <w:rFonts w:ascii="Times New Roman" w:hAnsi="Times New Roman"/>
          <w:szCs w:val="24"/>
        </w:rPr>
      </w:pPr>
    </w:p>
    <w:p w:rsidR="00043C32" w:rsidRPr="00AD381B" w:rsidP="00AD381B" w14:paraId="3B9B8008"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A65CA9" w:rsidP="00A65CA9" w14:paraId="578B930A" w14:textId="77777777">
      <w:pPr>
        <w:pStyle w:val="ListParagraph"/>
        <w:tabs>
          <w:tab w:val="left" w:pos="-720"/>
        </w:tabs>
        <w:suppressAutoHyphens/>
        <w:contextualSpacing w:val="0"/>
        <w:rPr>
          <w:rFonts w:asciiTheme="minorHAnsi" w:hAnsiTheme="minorHAnsi" w:cstheme="minorHAnsi"/>
          <w:szCs w:val="24"/>
        </w:rPr>
      </w:pPr>
    </w:p>
    <w:p w:rsidR="00A65CA9" w:rsidRPr="00A65CA9" w:rsidP="00A65CA9" w14:paraId="2094C233" w14:textId="77777777">
      <w:pPr>
        <w:pStyle w:val="ListParagraph"/>
        <w:tabs>
          <w:tab w:val="left" w:pos="-720"/>
        </w:tabs>
        <w:suppressAutoHyphens/>
        <w:contextualSpacing w:val="0"/>
        <w:rPr>
          <w:rFonts w:asciiTheme="minorHAnsi" w:hAnsiTheme="minorHAnsi" w:cstheme="minorHAnsi"/>
          <w:szCs w:val="24"/>
        </w:rPr>
      </w:pPr>
      <w:r w:rsidRPr="00A65CA9">
        <w:rPr>
          <w:rFonts w:asciiTheme="minorHAnsi" w:hAnsiTheme="minorHAnsi" w:cstheme="minorHAnsi"/>
          <w:szCs w:val="24"/>
        </w:rPr>
        <w:t xml:space="preserve">The collection instrument </w:t>
      </w:r>
      <w:r w:rsidR="001919CB">
        <w:rPr>
          <w:rFonts w:asciiTheme="minorHAnsi" w:hAnsiTheme="minorHAnsi" w:cstheme="minorHAnsi"/>
          <w:szCs w:val="24"/>
        </w:rPr>
        <w:t xml:space="preserve">is hosted via an on-line portal </w:t>
      </w:r>
      <w:r w:rsidR="000E772E">
        <w:rPr>
          <w:rFonts w:asciiTheme="minorHAnsi" w:hAnsiTheme="minorHAnsi" w:cstheme="minorHAnsi"/>
          <w:szCs w:val="24"/>
        </w:rPr>
        <w:t xml:space="preserve">located at </w:t>
      </w:r>
      <w:hyperlink r:id="rId11" w:history="1">
        <w:r w:rsidRPr="004B1353" w:rsidR="000E772E">
          <w:rPr>
            <w:rStyle w:val="Hyperlink"/>
            <w:rFonts w:asciiTheme="minorHAnsi" w:hAnsiTheme="minorHAnsi" w:cstheme="minorHAnsi"/>
            <w:szCs w:val="24"/>
          </w:rPr>
          <w:t>www.foreignfundinghighered.gov</w:t>
        </w:r>
      </w:hyperlink>
      <w:r w:rsidR="004144E9">
        <w:rPr>
          <w:rFonts w:asciiTheme="minorHAnsi" w:hAnsiTheme="minorHAnsi" w:cstheme="minorHAnsi"/>
          <w:szCs w:val="24"/>
        </w:rPr>
        <w:t xml:space="preserve"> </w:t>
      </w:r>
      <w:r>
        <w:rPr>
          <w:rFonts w:asciiTheme="minorHAnsi" w:hAnsiTheme="minorHAnsi" w:cstheme="minorHAnsi"/>
          <w:szCs w:val="24"/>
        </w:rPr>
        <w:t xml:space="preserve">which was </w:t>
      </w:r>
      <w:r w:rsidRPr="00A65CA9">
        <w:rPr>
          <w:rFonts w:asciiTheme="minorHAnsi" w:hAnsiTheme="minorHAnsi" w:cstheme="minorHAnsi"/>
          <w:szCs w:val="24"/>
        </w:rPr>
        <w:t>developed specifically to facilitate the electronic submission of Section 117 information by institutions</w:t>
      </w:r>
      <w:r w:rsidR="00E07AFE">
        <w:rPr>
          <w:rFonts w:asciiTheme="minorHAnsi" w:hAnsiTheme="minorHAnsi" w:cstheme="minorHAnsi"/>
          <w:szCs w:val="24"/>
        </w:rPr>
        <w:t xml:space="preserve"> and which addresses </w:t>
      </w:r>
      <w:r w:rsidR="002E3493">
        <w:rPr>
          <w:rFonts w:asciiTheme="minorHAnsi" w:hAnsiTheme="minorHAnsi" w:cstheme="minorHAnsi"/>
          <w:szCs w:val="24"/>
        </w:rPr>
        <w:t>many of the complaints raised about the functionality of the PE</w:t>
      </w:r>
      <w:r w:rsidR="000127C4">
        <w:rPr>
          <w:rFonts w:asciiTheme="minorHAnsi" w:hAnsiTheme="minorHAnsi" w:cstheme="minorHAnsi"/>
          <w:szCs w:val="24"/>
        </w:rPr>
        <w:t>BC</w:t>
      </w:r>
      <w:r w:rsidR="002E3493">
        <w:rPr>
          <w:rFonts w:asciiTheme="minorHAnsi" w:hAnsiTheme="minorHAnsi" w:cstheme="minorHAnsi"/>
          <w:szCs w:val="24"/>
        </w:rPr>
        <w:t>-based portal as they were raised in response to Foreign</w:t>
      </w:r>
      <w:r w:rsidR="004F5E99">
        <w:rPr>
          <w:rFonts w:asciiTheme="minorHAnsi" w:hAnsiTheme="minorHAnsi" w:cstheme="minorHAnsi"/>
          <w:szCs w:val="24"/>
        </w:rPr>
        <w:t xml:space="preserve"> Gifts and Contract Disclosures, 1845-0172</w:t>
      </w:r>
      <w:r w:rsidR="00E52C13">
        <w:rPr>
          <w:rFonts w:asciiTheme="minorHAnsi" w:hAnsiTheme="minorHAnsi" w:cstheme="minorHAnsi"/>
          <w:szCs w:val="24"/>
        </w:rPr>
        <w:t xml:space="preserve"> and in other contexts</w:t>
      </w:r>
      <w:r w:rsidRPr="00A65CA9">
        <w:rPr>
          <w:rFonts w:asciiTheme="minorHAnsi" w:hAnsiTheme="minorHAnsi" w:cstheme="minorHAnsi"/>
          <w:szCs w:val="24"/>
        </w:rPr>
        <w:t xml:space="preserve">.  </w:t>
      </w:r>
    </w:p>
    <w:p w:rsidR="005F4E11" w:rsidP="00AD381B" w14:paraId="05EAD0A9" w14:textId="77777777">
      <w:pPr>
        <w:pStyle w:val="ListParagraph"/>
        <w:tabs>
          <w:tab w:val="left" w:pos="-720"/>
        </w:tabs>
        <w:suppressAutoHyphens/>
        <w:contextualSpacing w:val="0"/>
        <w:rPr>
          <w:rFonts w:ascii="Times New Roman" w:hAnsi="Times New Roman"/>
          <w:szCs w:val="24"/>
        </w:rPr>
      </w:pPr>
    </w:p>
    <w:p w:rsidR="00AD381B" w:rsidP="00AD381B" w14:paraId="1C53845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701916" w:rsidP="00701916" w14:paraId="4B09BAA0" w14:textId="77777777">
      <w:pPr>
        <w:pStyle w:val="ListParagraph"/>
        <w:tabs>
          <w:tab w:val="left" w:pos="-720"/>
        </w:tabs>
        <w:suppressAutoHyphens/>
        <w:contextualSpacing w:val="0"/>
        <w:rPr>
          <w:rFonts w:ascii="Times New Roman" w:hAnsi="Times New Roman"/>
          <w:b/>
          <w:szCs w:val="24"/>
        </w:rPr>
      </w:pPr>
    </w:p>
    <w:p w:rsidR="00A65CA9" w:rsidRPr="00C2307A" w:rsidP="00C2307A" w14:paraId="4F4979F8" w14:textId="77777777">
      <w:pPr>
        <w:ind w:left="720"/>
        <w:rPr>
          <w:rFonts w:asciiTheme="minorHAnsi" w:hAnsiTheme="minorHAnsi" w:cstheme="minorHAnsi"/>
          <w:sz w:val="22"/>
        </w:rPr>
      </w:pPr>
      <w:r>
        <w:rPr>
          <w:rFonts w:asciiTheme="minorHAnsi" w:hAnsiTheme="minorHAnsi" w:cstheme="minorHAnsi"/>
          <w:szCs w:val="24"/>
        </w:rPr>
        <w:t>The information in this collection is not duplicative of information in any other Department system.</w:t>
      </w:r>
      <w:r w:rsidRPr="00701916">
        <w:rPr>
          <w:rFonts w:asciiTheme="minorHAnsi" w:hAnsiTheme="minorHAnsi" w:cstheme="minorHAnsi"/>
          <w:szCs w:val="24"/>
        </w:rPr>
        <w:t xml:space="preserve">  </w:t>
      </w:r>
      <w:r w:rsidRPr="00A71EB4" w:rsidR="00544032">
        <w:rPr>
          <w:rFonts w:asciiTheme="minorHAnsi" w:hAnsiTheme="minorHAnsi" w:cstheme="minorHAnsi"/>
        </w:rPr>
        <w:t xml:space="preserve">Section 10339B of </w:t>
      </w:r>
      <w:r w:rsidRPr="00D47362" w:rsidR="00544032">
        <w:rPr>
          <w:rFonts w:asciiTheme="minorHAnsi" w:hAnsiTheme="minorHAnsi" w:cstheme="minorHAnsi"/>
        </w:rPr>
        <w:t xml:space="preserve">the </w:t>
      </w:r>
      <w:r w:rsidRPr="00D47362" w:rsidR="00D47362">
        <w:rPr>
          <w:rFonts w:asciiTheme="minorHAnsi" w:hAnsiTheme="minorHAnsi" w:cstheme="minorHAnsi"/>
          <w:szCs w:val="24"/>
        </w:rPr>
        <w:t>Research and Development, Competition, and Innovation Act, Division B of P.L. 117-167 (commonly known as the CHIPS and Science Act of 2022),</w:t>
      </w:r>
      <w:r w:rsidR="00D47362">
        <w:rPr>
          <w:rFonts w:ascii="Times New Roman" w:hAnsi="Times New Roman"/>
          <w:szCs w:val="24"/>
        </w:rPr>
        <w:t xml:space="preserve"> </w:t>
      </w:r>
      <w:r w:rsidR="00B74B73">
        <w:rPr>
          <w:rFonts w:asciiTheme="minorHAnsi" w:hAnsiTheme="minorHAnsi" w:cstheme="minorHAnsi"/>
        </w:rPr>
        <w:t>includes</w:t>
      </w:r>
      <w:r w:rsidRPr="00A71EB4" w:rsidR="00544032">
        <w:rPr>
          <w:rFonts w:asciiTheme="minorHAnsi" w:hAnsiTheme="minorHAnsi" w:cstheme="minorHAnsi"/>
        </w:rPr>
        <w:t xml:space="preserve"> a requirement that the Director of the National Science Foundation (NSF) request certain disclosures from institutions of higher education of the current financial support received from a foreign source associated with a foreign </w:t>
      </w:r>
      <w:r w:rsidRPr="00A71EB4" w:rsidR="00544032">
        <w:rPr>
          <w:rFonts w:asciiTheme="minorHAnsi" w:hAnsiTheme="minorHAnsi" w:cstheme="minorHAnsi"/>
        </w:rPr>
        <w:t xml:space="preserve">country of concern.  The Department is aware of this NSF requirement, which </w:t>
      </w:r>
      <w:r w:rsidR="00C85D3F">
        <w:rPr>
          <w:rFonts w:asciiTheme="minorHAnsi" w:hAnsiTheme="minorHAnsi" w:cstheme="minorHAnsi"/>
        </w:rPr>
        <w:t xml:space="preserve">appears to </w:t>
      </w:r>
      <w:r w:rsidRPr="00A71EB4" w:rsidR="00544032">
        <w:rPr>
          <w:rFonts w:asciiTheme="minorHAnsi" w:hAnsiTheme="minorHAnsi" w:cstheme="minorHAnsi"/>
        </w:rPr>
        <w:t xml:space="preserve">seek similar information to the proposed information collection, and the potential for duplication from the perspective of an institution of higher education.  </w:t>
      </w:r>
      <w:r w:rsidR="0072153C">
        <w:rPr>
          <w:rFonts w:asciiTheme="minorHAnsi" w:hAnsiTheme="minorHAnsi" w:cstheme="minorHAnsi"/>
        </w:rPr>
        <w:t>However, the collections are not duplicative because</w:t>
      </w:r>
      <w:r w:rsidR="00363454">
        <w:rPr>
          <w:rFonts w:asciiTheme="minorHAnsi" w:hAnsiTheme="minorHAnsi" w:cstheme="minorHAnsi"/>
        </w:rPr>
        <w:t xml:space="preserve"> the range of countries which are reportable foreign sources and dollar thresholds for reporting are not the same.  </w:t>
      </w:r>
      <w:r w:rsidR="009C5FA4">
        <w:rPr>
          <w:rFonts w:asciiTheme="minorHAnsi" w:hAnsiTheme="minorHAnsi" w:cstheme="minorHAnsi"/>
        </w:rPr>
        <w:t xml:space="preserve">Furthermore, </w:t>
      </w:r>
      <w:r w:rsidR="00A752CE">
        <w:rPr>
          <w:rFonts w:asciiTheme="minorHAnsi" w:hAnsiTheme="minorHAnsi" w:cstheme="minorHAnsi"/>
        </w:rPr>
        <w:t xml:space="preserve">the Department detailed an OGC employee to NSF during of the process of NSF standing up its collection mechanism </w:t>
      </w:r>
      <w:r w:rsidR="00C2307A">
        <w:rPr>
          <w:rFonts w:asciiTheme="minorHAnsi" w:hAnsiTheme="minorHAnsi" w:cstheme="minorHAnsi"/>
        </w:rPr>
        <w:t xml:space="preserve">to avoid duplication of effort between the two collections.  </w:t>
      </w:r>
    </w:p>
    <w:p w:rsidR="00043C32" w:rsidRPr="005F4E11" w:rsidP="005F4E11" w14:paraId="50D903DF"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3076679E" w14:textId="77777777">
      <w:pPr>
        <w:pStyle w:val="ListParagraph"/>
        <w:contextualSpacing w:val="0"/>
        <w:rPr>
          <w:rFonts w:ascii="Times New Roman" w:hAnsi="Times New Roman"/>
          <w:szCs w:val="24"/>
        </w:rPr>
      </w:pPr>
    </w:p>
    <w:p w:rsidR="00EF4C67" w:rsidP="00AD381B" w14:paraId="4971D790" w14:textId="77777777">
      <w:pPr>
        <w:pStyle w:val="ListParagraph"/>
        <w:contextualSpacing w:val="0"/>
        <w:rPr>
          <w:rFonts w:asciiTheme="minorHAnsi" w:hAnsiTheme="minorHAnsi" w:cstheme="minorHAnsi"/>
          <w:szCs w:val="24"/>
        </w:rPr>
      </w:pPr>
      <w:r>
        <w:rPr>
          <w:rFonts w:asciiTheme="minorHAnsi" w:hAnsiTheme="minorHAnsi" w:cstheme="minorHAnsi"/>
          <w:szCs w:val="24"/>
        </w:rPr>
        <w:t>T</w:t>
      </w:r>
      <w:r w:rsidRPr="00701916">
        <w:rPr>
          <w:rFonts w:asciiTheme="minorHAnsi" w:hAnsiTheme="minorHAnsi" w:cstheme="minorHAnsi"/>
          <w:szCs w:val="24"/>
        </w:rPr>
        <w:t>his information collection does not significantly impact small businesses or other small entities.</w:t>
      </w:r>
    </w:p>
    <w:p w:rsidR="00BD56DD" w:rsidRPr="00701916" w:rsidP="00AD381B" w14:paraId="2F678DE0" w14:textId="77777777">
      <w:pPr>
        <w:pStyle w:val="ListParagraph"/>
        <w:contextualSpacing w:val="0"/>
        <w:rPr>
          <w:rFonts w:asciiTheme="minorHAnsi" w:hAnsiTheme="minorHAnsi" w:cstheme="minorHAnsi"/>
          <w:szCs w:val="24"/>
        </w:rPr>
      </w:pPr>
    </w:p>
    <w:p w:rsidR="00043C32" w:rsidP="00AD381B" w14:paraId="32BA86B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8CE169C" w14:textId="77777777">
      <w:pPr>
        <w:tabs>
          <w:tab w:val="left" w:pos="-720"/>
        </w:tabs>
        <w:suppressAutoHyphens/>
        <w:ind w:left="720"/>
        <w:rPr>
          <w:rFonts w:ascii="Times New Roman" w:hAnsi="Times New Roman"/>
          <w:bCs/>
          <w:szCs w:val="24"/>
        </w:rPr>
      </w:pPr>
    </w:p>
    <w:p w:rsidR="00701916" w:rsidRPr="00701916" w:rsidP="00701916" w14:paraId="55461E23" w14:textId="77777777">
      <w:pPr>
        <w:pStyle w:val="ListParagraph"/>
        <w:tabs>
          <w:tab w:val="left" w:pos="-720"/>
        </w:tabs>
        <w:suppressAutoHyphens/>
        <w:contextualSpacing w:val="0"/>
        <w:rPr>
          <w:rFonts w:asciiTheme="minorHAnsi" w:hAnsiTheme="minorHAnsi" w:cstheme="minorHAnsi"/>
          <w:szCs w:val="24"/>
        </w:rPr>
      </w:pPr>
      <w:r w:rsidRPr="00701916">
        <w:rPr>
          <w:rFonts w:asciiTheme="minorHAnsi" w:hAnsiTheme="minorHAnsi" w:cstheme="minorHAnsi"/>
          <w:szCs w:val="24"/>
        </w:rPr>
        <w:t xml:space="preserve">If the collection is not conducted or is conducted less frequently, then the Department will be in violation of its statutory duties, it will be unable to provide public transparency </w:t>
      </w:r>
      <w:r w:rsidR="00BF5A79">
        <w:rPr>
          <w:rFonts w:asciiTheme="minorHAnsi" w:hAnsiTheme="minorHAnsi" w:cstheme="minorHAnsi"/>
          <w:szCs w:val="24"/>
        </w:rPr>
        <w:t xml:space="preserve">in the reporting of </w:t>
      </w:r>
      <w:r w:rsidR="00F1110C">
        <w:rPr>
          <w:rFonts w:asciiTheme="minorHAnsi" w:hAnsiTheme="minorHAnsi" w:cstheme="minorHAnsi"/>
          <w:szCs w:val="24"/>
        </w:rPr>
        <w:t xml:space="preserve">foreign funding in higher education </w:t>
      </w:r>
      <w:r w:rsidRPr="00701916">
        <w:rPr>
          <w:rFonts w:asciiTheme="minorHAnsi" w:hAnsiTheme="minorHAnsi" w:cstheme="minorHAnsi"/>
          <w:szCs w:val="24"/>
        </w:rPr>
        <w:t xml:space="preserve">as required by Congress, and it will not be able to enforce the provisions of 20 U.S.C. </w:t>
      </w:r>
      <w:r w:rsidR="005235C2">
        <w:rPr>
          <w:rFonts w:asciiTheme="minorHAnsi" w:hAnsiTheme="minorHAnsi" w:cstheme="minorHAnsi"/>
          <w:szCs w:val="24"/>
        </w:rPr>
        <w:t xml:space="preserve">§ </w:t>
      </w:r>
      <w:r w:rsidRPr="00701916">
        <w:rPr>
          <w:rFonts w:asciiTheme="minorHAnsi" w:hAnsiTheme="minorHAnsi" w:cstheme="minorHAnsi"/>
          <w:szCs w:val="24"/>
        </w:rPr>
        <w:t xml:space="preserve">1011f.   </w:t>
      </w:r>
    </w:p>
    <w:p w:rsidR="005F4E11" w:rsidRPr="005F4E11" w:rsidP="005F4E11" w14:paraId="7DFEF8C8" w14:textId="77777777">
      <w:pPr>
        <w:tabs>
          <w:tab w:val="left" w:pos="-720"/>
        </w:tabs>
        <w:suppressAutoHyphens/>
        <w:ind w:left="720"/>
        <w:rPr>
          <w:rFonts w:ascii="Times New Roman" w:hAnsi="Times New Roman"/>
          <w:bCs/>
          <w:szCs w:val="24"/>
        </w:rPr>
      </w:pPr>
    </w:p>
    <w:p w:rsidR="00043C32" w:rsidRPr="00AD381B" w:rsidP="00AD381B" w14:paraId="399B0937"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0BBD66D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7C1FE4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E92E5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146C16F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11B92F8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08616AA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1C45078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t>unnecessarily impedes sharing of data with other agencies for compatible confidential use; or</w:t>
      </w:r>
    </w:p>
    <w:p w:rsidR="00043C32" w:rsidP="00AD381B" w14:paraId="1F3F43E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701916" w:rsidP="00701916" w14:paraId="591CB7AE" w14:textId="77777777">
      <w:pPr>
        <w:pStyle w:val="ListParagraph"/>
        <w:rPr>
          <w:rFonts w:asciiTheme="minorHAnsi" w:hAnsiTheme="minorHAnsi" w:cstheme="minorHAnsi"/>
          <w:bCs/>
          <w:szCs w:val="24"/>
        </w:rPr>
      </w:pPr>
    </w:p>
    <w:p w:rsidR="00701916" w:rsidRPr="00701916" w:rsidP="00701916" w14:paraId="3DBF61FB" w14:textId="77777777">
      <w:pPr>
        <w:tabs>
          <w:tab w:val="left" w:pos="-720"/>
        </w:tabs>
        <w:suppressAutoHyphens/>
        <w:ind w:left="720"/>
        <w:rPr>
          <w:rFonts w:asciiTheme="minorHAnsi" w:hAnsiTheme="minorHAnsi" w:cstheme="minorHAnsi"/>
        </w:rPr>
      </w:pPr>
      <w:r w:rsidRPr="00701916">
        <w:rPr>
          <w:rFonts w:asciiTheme="minorHAnsi" w:hAnsiTheme="minorHAnsi" w:cstheme="minorHAnsi"/>
        </w:rPr>
        <w:t>This collection of information does not meet any of the special circumstances described above.</w:t>
      </w:r>
    </w:p>
    <w:p w:rsidR="005F4E11" w:rsidRPr="00AD381B" w:rsidP="005F4E11" w14:paraId="721EB6DE" w14:textId="77777777">
      <w:pPr>
        <w:tabs>
          <w:tab w:val="left" w:pos="-720"/>
        </w:tabs>
        <w:suppressAutoHyphens/>
        <w:ind w:left="720"/>
        <w:rPr>
          <w:rFonts w:ascii="Times New Roman" w:hAnsi="Times New Roman"/>
          <w:szCs w:val="24"/>
        </w:rPr>
      </w:pPr>
    </w:p>
    <w:p w:rsidR="00D75313" w:rsidP="00AD381B" w14:paraId="1F5A56F1"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7C60B6E"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33B1576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573A99E"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313EF50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574A02B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D5676FA" w14:textId="77777777">
      <w:pPr>
        <w:tabs>
          <w:tab w:val="left" w:pos="-720"/>
        </w:tabs>
        <w:suppressAutoHyphens/>
        <w:rPr>
          <w:rStyle w:val="a"/>
          <w:rFonts w:ascii="Times New Roman" w:hAnsi="Times New Roman"/>
          <w:b/>
          <w:szCs w:val="24"/>
        </w:rPr>
      </w:pPr>
    </w:p>
    <w:p w:rsidR="00043C32" w:rsidP="00AD381B" w14:paraId="091F288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0B6225AD" w14:textId="77777777">
      <w:pPr>
        <w:tabs>
          <w:tab w:val="left" w:pos="-720"/>
        </w:tabs>
        <w:suppressAutoHyphens/>
        <w:ind w:left="720"/>
        <w:rPr>
          <w:rFonts w:ascii="Times New Roman" w:hAnsi="Times New Roman"/>
          <w:bCs/>
          <w:szCs w:val="24"/>
        </w:rPr>
      </w:pPr>
    </w:p>
    <w:p w:rsidR="00B366F3" w:rsidRPr="003E0A2D" w:rsidP="00B366F3" w14:paraId="4F4C0988" w14:textId="1EC9FC64">
      <w:pPr>
        <w:tabs>
          <w:tab w:val="left" w:pos="-720"/>
        </w:tabs>
        <w:suppressAutoHyphens/>
        <w:ind w:left="720"/>
        <w:rPr>
          <w:rFonts w:asciiTheme="minorHAnsi" w:hAnsiTheme="minorHAnsi" w:cstheme="minorHAnsi"/>
          <w:iCs/>
          <w:szCs w:val="24"/>
        </w:rPr>
      </w:pPr>
      <w:r w:rsidRPr="003E0A2D">
        <w:rPr>
          <w:rFonts w:asciiTheme="minorHAnsi" w:hAnsiTheme="minorHAnsi" w:cstheme="minorHAnsi"/>
          <w:iCs/>
          <w:szCs w:val="24"/>
        </w:rPr>
        <w:t xml:space="preserve">The Department will be requesting a 60-day and 30-day public comment period to solicit comments on the current burden assigned to this regulation. This is the </w:t>
      </w:r>
      <w:r w:rsidR="006A1666">
        <w:rPr>
          <w:rFonts w:asciiTheme="minorHAnsi" w:hAnsiTheme="minorHAnsi" w:cstheme="minorHAnsi"/>
          <w:iCs/>
          <w:szCs w:val="24"/>
        </w:rPr>
        <w:t>30</w:t>
      </w:r>
      <w:r w:rsidRPr="003E0A2D">
        <w:rPr>
          <w:rFonts w:asciiTheme="minorHAnsi" w:hAnsiTheme="minorHAnsi" w:cstheme="minorHAnsi"/>
          <w:iCs/>
          <w:szCs w:val="24"/>
        </w:rPr>
        <w:t>-day public comment period request.</w:t>
      </w:r>
    </w:p>
    <w:p w:rsidR="005F4E11" w:rsidP="00AD381B" w14:paraId="33167C46" w14:textId="77777777">
      <w:pPr>
        <w:tabs>
          <w:tab w:val="left" w:pos="-720"/>
        </w:tabs>
        <w:suppressAutoHyphens/>
        <w:ind w:left="720"/>
        <w:rPr>
          <w:rFonts w:ascii="Times New Roman" w:hAnsi="Times New Roman"/>
          <w:szCs w:val="24"/>
        </w:rPr>
      </w:pPr>
    </w:p>
    <w:p w:rsidR="00043C32" w:rsidP="00AD381B" w14:paraId="00AA696B"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249AD523" w14:textId="77777777">
      <w:pPr>
        <w:pStyle w:val="ListParagraph"/>
        <w:tabs>
          <w:tab w:val="left" w:pos="-720"/>
        </w:tabs>
        <w:suppressAutoHyphens/>
        <w:contextualSpacing w:val="0"/>
        <w:rPr>
          <w:rFonts w:ascii="Times New Roman" w:hAnsi="Times New Roman"/>
          <w:bCs/>
          <w:szCs w:val="24"/>
        </w:rPr>
      </w:pPr>
    </w:p>
    <w:p w:rsidR="00A47AA2" w:rsidRPr="00B87844" w:rsidP="00A47AA2" w14:paraId="62EF5A15"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There are no payments or gifts to respondents.</w:t>
      </w:r>
    </w:p>
    <w:p w:rsidR="00920F63" w:rsidRPr="005F4E11" w:rsidP="00920F63" w14:paraId="135FD014" w14:textId="77777777">
      <w:pPr>
        <w:pStyle w:val="ListParagraph"/>
        <w:tabs>
          <w:tab w:val="left" w:pos="-720"/>
        </w:tabs>
        <w:suppressAutoHyphens/>
        <w:contextualSpacing w:val="0"/>
        <w:rPr>
          <w:rFonts w:ascii="Times New Roman" w:hAnsi="Times New Roman"/>
          <w:bCs/>
          <w:szCs w:val="24"/>
        </w:rPr>
      </w:pPr>
    </w:p>
    <w:p w:rsidR="00043C32" w:rsidRPr="00D75313" w:rsidP="00AD381B" w14:paraId="5DBE556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w:t>
      </w:r>
      <w:r w:rsidRPr="00920F63">
        <w:rPr>
          <w:rFonts w:ascii="Times New Roman" w:hAnsi="Times New Roman"/>
          <w:b/>
          <w:szCs w:val="24"/>
        </w:rPr>
        <w:t>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9DF047E" w14:textId="77777777">
      <w:pPr>
        <w:tabs>
          <w:tab w:val="left" w:pos="-720"/>
        </w:tabs>
        <w:suppressAutoHyphens/>
        <w:ind w:left="720"/>
        <w:rPr>
          <w:rFonts w:ascii="Times New Roman" w:hAnsi="Times New Roman"/>
          <w:bCs/>
          <w:szCs w:val="24"/>
        </w:rPr>
      </w:pPr>
    </w:p>
    <w:p w:rsidR="002D6E25" w:rsidRPr="00E40B0D" w:rsidP="002D6E25" w14:paraId="2BBC38D5"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w:t>
      </w:r>
      <w:r w:rsidR="00856ABF">
        <w:rPr>
          <w:rFonts w:asciiTheme="minorHAnsi" w:hAnsiTheme="minorHAnsi" w:cstheme="minorHAnsi"/>
          <w:szCs w:val="24"/>
        </w:rPr>
        <w:t xml:space="preserve">collection </w:t>
      </w:r>
      <w:r>
        <w:rPr>
          <w:rFonts w:asciiTheme="minorHAnsi" w:hAnsiTheme="minorHAnsi" w:cstheme="minorHAnsi"/>
          <w:szCs w:val="24"/>
        </w:rPr>
        <w:t xml:space="preserve">portal includes a Privacy Act warning as follows:  </w:t>
      </w:r>
      <w:r w:rsidRPr="002D6E25">
        <w:rPr>
          <w:rFonts w:asciiTheme="minorHAnsi" w:hAnsiTheme="minorHAnsi" w:cstheme="minorHAnsi"/>
          <w:szCs w:val="24"/>
        </w:rPr>
        <w:t>This U.S. Government information system may contain personal information protected by the Privacy Act of 1974 (as amended). By using this information system, you are explicitly consenting to be bound by the Act's requirements and acknowledge the possible criminal and civil penalties for violation of the Act.</w:t>
      </w:r>
      <w:r w:rsidR="00E950CD">
        <w:rPr>
          <w:rFonts w:asciiTheme="minorHAnsi" w:hAnsiTheme="minorHAnsi" w:cstheme="minorHAnsi"/>
          <w:szCs w:val="24"/>
        </w:rPr>
        <w:t xml:space="preserve">  Consistent with the requirements of Section 117, the De</w:t>
      </w:r>
      <w:r w:rsidR="00907873">
        <w:rPr>
          <w:rFonts w:asciiTheme="minorHAnsi" w:hAnsiTheme="minorHAnsi" w:cstheme="minorHAnsi"/>
          <w:szCs w:val="24"/>
        </w:rPr>
        <w:t xml:space="preserve">partment intends to publish the </w:t>
      </w:r>
      <w:r w:rsidR="00345C48">
        <w:rPr>
          <w:rFonts w:asciiTheme="minorHAnsi" w:hAnsiTheme="minorHAnsi" w:cstheme="minorHAnsi"/>
          <w:szCs w:val="24"/>
        </w:rPr>
        <w:t xml:space="preserve">contents of reports made </w:t>
      </w:r>
      <w:r w:rsidR="00F67EF1">
        <w:rPr>
          <w:rFonts w:asciiTheme="minorHAnsi" w:hAnsiTheme="minorHAnsi" w:cstheme="minorHAnsi"/>
          <w:szCs w:val="24"/>
        </w:rPr>
        <w:t xml:space="preserve">by institutions to the fullest extent required by 20 U.S.C. </w:t>
      </w:r>
      <w:r w:rsidR="00346E0C">
        <w:rPr>
          <w:rFonts w:asciiTheme="minorHAnsi" w:hAnsiTheme="minorHAnsi" w:cstheme="minorHAnsi"/>
          <w:szCs w:val="24"/>
        </w:rPr>
        <w:t>§ 1</w:t>
      </w:r>
      <w:r w:rsidR="00CF3A8F">
        <w:rPr>
          <w:rFonts w:asciiTheme="minorHAnsi" w:hAnsiTheme="minorHAnsi" w:cstheme="minorHAnsi"/>
          <w:szCs w:val="24"/>
        </w:rPr>
        <w:t>011</w:t>
      </w:r>
      <w:r w:rsidR="00346E0C">
        <w:rPr>
          <w:rFonts w:asciiTheme="minorHAnsi" w:hAnsiTheme="minorHAnsi" w:cstheme="minorHAnsi"/>
          <w:szCs w:val="24"/>
        </w:rPr>
        <w:t>f</w:t>
      </w:r>
      <w:r w:rsidR="00F64860">
        <w:rPr>
          <w:rFonts w:asciiTheme="minorHAnsi" w:hAnsiTheme="minorHAnsi" w:cstheme="minorHAnsi"/>
          <w:szCs w:val="24"/>
        </w:rPr>
        <w:t>(e</w:t>
      </w:r>
      <w:r w:rsidRPr="000C63CF" w:rsidR="00F64860">
        <w:rPr>
          <w:rFonts w:ascii="Calibri" w:hAnsi="Calibri" w:cs="Calibri"/>
          <w:szCs w:val="24"/>
        </w:rPr>
        <w:t>)</w:t>
      </w:r>
      <w:r w:rsidR="00FE4F02">
        <w:rPr>
          <w:rFonts w:ascii="Calibri" w:hAnsi="Calibri" w:cs="Calibri"/>
          <w:szCs w:val="24"/>
        </w:rPr>
        <w:t>,</w:t>
      </w:r>
      <w:r w:rsidRPr="000C63CF" w:rsidR="0010518B">
        <w:rPr>
          <w:rFonts w:ascii="Calibri" w:hAnsi="Calibri" w:cs="Calibri"/>
        </w:rPr>
        <w:t xml:space="preserve"> including publication of details about specific counterparties, such as the counterparty's name</w:t>
      </w:r>
      <w:r w:rsidRPr="000C63CF" w:rsidR="00F64860">
        <w:rPr>
          <w:rFonts w:ascii="Calibri" w:hAnsi="Calibri" w:cs="Calibri"/>
          <w:szCs w:val="24"/>
        </w:rPr>
        <w:t xml:space="preserve">. </w:t>
      </w:r>
      <w:r w:rsidR="00F64860">
        <w:rPr>
          <w:rFonts w:asciiTheme="minorHAnsi" w:hAnsiTheme="minorHAnsi" w:cstheme="minorHAnsi"/>
          <w:szCs w:val="24"/>
        </w:rPr>
        <w:t xml:space="preserve"> </w:t>
      </w:r>
      <w:r w:rsidR="0080480F">
        <w:rPr>
          <w:rFonts w:asciiTheme="minorHAnsi" w:hAnsiTheme="minorHAnsi" w:cstheme="minorHAnsi"/>
          <w:szCs w:val="24"/>
        </w:rPr>
        <w:t xml:space="preserve">It is clear on the face of the statute and in the </w:t>
      </w:r>
      <w:r w:rsidRPr="00E40B0D" w:rsidR="0080480F">
        <w:rPr>
          <w:rFonts w:asciiTheme="minorHAnsi" w:hAnsiTheme="minorHAnsi" w:cstheme="minorHAnsi"/>
          <w:szCs w:val="24"/>
        </w:rPr>
        <w:t xml:space="preserve">legislative history of Section 117 </w:t>
      </w:r>
      <w:r w:rsidR="00084775">
        <w:rPr>
          <w:rFonts w:asciiTheme="minorHAnsi" w:hAnsiTheme="minorHAnsi" w:cstheme="minorHAnsi"/>
          <w:szCs w:val="24"/>
        </w:rPr>
        <w:t xml:space="preserve">that </w:t>
      </w:r>
      <w:r w:rsidRPr="00B33825" w:rsidR="0080480F">
        <w:rPr>
          <w:rFonts w:asciiTheme="minorHAnsi" w:hAnsiTheme="minorHAnsi" w:cstheme="minorHAnsi"/>
        </w:rPr>
        <w:t>Congress enacted Section 117 believing</w:t>
      </w:r>
      <w:r w:rsidR="0028696D">
        <w:rPr>
          <w:rFonts w:asciiTheme="minorHAnsi" w:hAnsiTheme="minorHAnsi" w:cstheme="minorHAnsi"/>
        </w:rPr>
        <w:t xml:space="preserve"> that </w:t>
      </w:r>
      <w:r w:rsidRPr="00B33825" w:rsidR="0080480F">
        <w:rPr>
          <w:rFonts w:asciiTheme="minorHAnsi" w:hAnsiTheme="minorHAnsi" w:cstheme="minorHAnsi"/>
        </w:rPr>
        <w:t xml:space="preserve"> transparent reporting </w:t>
      </w:r>
      <w:r w:rsidR="0028696D">
        <w:rPr>
          <w:rFonts w:asciiTheme="minorHAnsi" w:hAnsiTheme="minorHAnsi" w:cstheme="minorHAnsi"/>
        </w:rPr>
        <w:t xml:space="preserve">was necessary to </w:t>
      </w:r>
      <w:r w:rsidRPr="00B33825" w:rsidR="0080480F">
        <w:rPr>
          <w:rFonts w:asciiTheme="minorHAnsi" w:hAnsiTheme="minorHAnsi" w:cstheme="minorHAnsi"/>
        </w:rPr>
        <w:t xml:space="preserve">counteract any distorting influence of foreign money on teaching, research, and culture and provide policymakers and the public with information to assess, detect, and respond to foreign influence operations under the guise of “academic” activities and to threats against the U.S. research enterprise. </w:t>
      </w:r>
    </w:p>
    <w:p w:rsidR="00082967" w:rsidRPr="005F4E11" w:rsidP="005F4E11" w14:paraId="6EDCFBCC" w14:textId="77777777">
      <w:pPr>
        <w:tabs>
          <w:tab w:val="left" w:pos="-720"/>
        </w:tabs>
        <w:suppressAutoHyphens/>
        <w:ind w:left="720"/>
        <w:rPr>
          <w:rFonts w:ascii="Times New Roman" w:hAnsi="Times New Roman"/>
          <w:bCs/>
          <w:szCs w:val="24"/>
        </w:rPr>
      </w:pPr>
    </w:p>
    <w:p w:rsidR="00043C32" w:rsidP="00AD381B" w14:paraId="2EB4B8B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61E5A9B" w14:textId="77777777">
      <w:pPr>
        <w:tabs>
          <w:tab w:val="left" w:pos="-720"/>
        </w:tabs>
        <w:suppressAutoHyphens/>
        <w:ind w:left="720"/>
        <w:rPr>
          <w:rFonts w:ascii="Times New Roman" w:hAnsi="Times New Roman"/>
          <w:bCs/>
          <w:szCs w:val="24"/>
        </w:rPr>
      </w:pPr>
    </w:p>
    <w:p w:rsidR="00A47AA2" w:rsidRPr="00CA59E3" w:rsidP="00A47AA2" w14:paraId="3586D343" w14:textId="77777777">
      <w:pPr>
        <w:tabs>
          <w:tab w:val="left" w:pos="0"/>
        </w:tabs>
        <w:suppressAutoHyphens/>
        <w:ind w:left="720"/>
        <w:rPr>
          <w:rFonts w:asciiTheme="minorHAnsi" w:hAnsiTheme="minorHAnsi" w:cstheme="minorHAnsi"/>
        </w:rPr>
      </w:pPr>
      <w:r w:rsidRPr="00CA59E3">
        <w:rPr>
          <w:rFonts w:asciiTheme="minorHAnsi" w:hAnsiTheme="minorHAnsi" w:cstheme="minorHAnsi"/>
        </w:rPr>
        <w:t>The form does not require information of a sensitive nature</w:t>
      </w:r>
      <w:r w:rsidR="00F932BE">
        <w:rPr>
          <w:rFonts w:asciiTheme="minorHAnsi" w:hAnsiTheme="minorHAnsi" w:cstheme="minorHAnsi"/>
        </w:rPr>
        <w:t xml:space="preserve"> as noted above</w:t>
      </w:r>
      <w:r w:rsidRPr="00CA59E3">
        <w:rPr>
          <w:rFonts w:asciiTheme="minorHAnsi" w:hAnsiTheme="minorHAnsi" w:cstheme="minorHAnsi"/>
        </w:rPr>
        <w:t>.</w:t>
      </w:r>
    </w:p>
    <w:p w:rsidR="00920F63" w:rsidRPr="005F4E11" w:rsidP="005F4E11" w14:paraId="10637AD9" w14:textId="77777777">
      <w:pPr>
        <w:tabs>
          <w:tab w:val="left" w:pos="-720"/>
        </w:tabs>
        <w:suppressAutoHyphens/>
        <w:ind w:left="720"/>
        <w:rPr>
          <w:rFonts w:ascii="Times New Roman" w:hAnsi="Times New Roman"/>
          <w:bCs/>
          <w:szCs w:val="24"/>
        </w:rPr>
      </w:pPr>
    </w:p>
    <w:p w:rsidR="00043C32" w:rsidRPr="00920F63" w:rsidP="00AD381B" w14:paraId="536C919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07199DD5" w14:textId="77777777">
      <w:pPr>
        <w:tabs>
          <w:tab w:val="left" w:pos="-720"/>
        </w:tabs>
        <w:suppressAutoHyphens/>
        <w:rPr>
          <w:rStyle w:val="a"/>
          <w:rFonts w:ascii="Times New Roman" w:hAnsi="Times New Roman"/>
          <w:b/>
          <w:szCs w:val="24"/>
        </w:rPr>
      </w:pPr>
    </w:p>
    <w:p w:rsidR="00C224FD" w:rsidP="00C224FD" w14:paraId="7CC8974B"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6610AD0"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43E89D1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4DDE3DF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1FAF2D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RPr="001717EA" w:rsidP="001717EA" w14:paraId="7342BCA1" w14:textId="77777777">
      <w:pPr>
        <w:tabs>
          <w:tab w:val="left" w:pos="-720"/>
          <w:tab w:val="left" w:pos="1247"/>
        </w:tabs>
        <w:suppressAutoHyphens/>
        <w:rPr>
          <w:rStyle w:val="a"/>
          <w:rFonts w:asciiTheme="minorHAnsi" w:hAnsiTheme="minorHAnsi" w:cstheme="minorHAnsi"/>
          <w:b/>
          <w:szCs w:val="24"/>
        </w:rPr>
      </w:pPr>
    </w:p>
    <w:p w:rsidR="002713B1" w:rsidRPr="000D2DD4" w:rsidP="000D2DD4" w14:paraId="624B51DD" w14:textId="34D8F87A">
      <w:pPr>
        <w:ind w:left="1170"/>
        <w:rPr>
          <w:rFonts w:asciiTheme="minorHAnsi" w:hAnsiTheme="minorHAnsi" w:cstheme="minorBidi"/>
          <w:sz w:val="22"/>
          <w:szCs w:val="22"/>
        </w:rPr>
      </w:pPr>
      <w:bookmarkStart w:id="0" w:name="_Hlk121138289"/>
      <w:r w:rsidRPr="33FD2799">
        <w:rPr>
          <w:rStyle w:val="a"/>
          <w:rFonts w:asciiTheme="minorHAnsi" w:hAnsiTheme="minorHAnsi" w:cstheme="minorBidi"/>
        </w:rPr>
        <w:t xml:space="preserve">Since implementation of </w:t>
      </w:r>
      <w:r w:rsidRPr="00000BFC">
        <w:rPr>
          <w:rStyle w:val="a"/>
          <w:rFonts w:asciiTheme="minorHAnsi" w:hAnsiTheme="minorHAnsi" w:cstheme="minorHAnsi"/>
        </w:rPr>
        <w:t xml:space="preserve">the </w:t>
      </w:r>
      <w:r w:rsidRPr="00000BFC" w:rsidR="00634654">
        <w:rPr>
          <w:rStyle w:val="a"/>
          <w:rFonts w:asciiTheme="minorHAnsi" w:hAnsiTheme="minorHAnsi" w:cstheme="minorHAnsi"/>
        </w:rPr>
        <w:t xml:space="preserve">improved and updated portal, </w:t>
      </w:r>
      <w:r w:rsidRPr="00000BFC" w:rsidR="0063251C">
        <w:rPr>
          <w:rStyle w:val="a"/>
          <w:rFonts w:asciiTheme="minorHAnsi" w:hAnsiTheme="minorHAnsi" w:cstheme="minorHAnsi"/>
        </w:rPr>
        <w:t xml:space="preserve">the likely burden to institutions </w:t>
      </w:r>
      <w:r w:rsidRPr="00000BFC" w:rsidR="00EE0731">
        <w:rPr>
          <w:rStyle w:val="a"/>
          <w:rFonts w:asciiTheme="minorHAnsi" w:hAnsiTheme="minorHAnsi" w:cstheme="minorHAnsi"/>
        </w:rPr>
        <w:t>has been significantly reduced</w:t>
      </w:r>
      <w:r w:rsidR="00AE14DA">
        <w:rPr>
          <w:rStyle w:val="a"/>
          <w:rFonts w:asciiTheme="minorHAnsi" w:hAnsiTheme="minorHAnsi" w:cstheme="minorHAnsi"/>
        </w:rPr>
        <w:t xml:space="preserve"> because of the </w:t>
      </w:r>
      <w:r w:rsidR="00E176FF">
        <w:rPr>
          <w:rStyle w:val="a"/>
          <w:rFonts w:asciiTheme="minorHAnsi" w:hAnsiTheme="minorHAnsi" w:cstheme="minorHAnsi"/>
        </w:rPr>
        <w:t>inadequacies of the PE</w:t>
      </w:r>
      <w:r w:rsidR="00581766">
        <w:rPr>
          <w:rStyle w:val="a"/>
          <w:rFonts w:asciiTheme="minorHAnsi" w:hAnsiTheme="minorHAnsi" w:cstheme="minorHAnsi"/>
        </w:rPr>
        <w:t>BC</w:t>
      </w:r>
      <w:r w:rsidR="00E176FF">
        <w:rPr>
          <w:rStyle w:val="a"/>
          <w:rFonts w:asciiTheme="minorHAnsi" w:hAnsiTheme="minorHAnsi" w:cstheme="minorHAnsi"/>
        </w:rPr>
        <w:t>-based system</w:t>
      </w:r>
      <w:r w:rsidR="00685D92">
        <w:rPr>
          <w:rStyle w:val="a"/>
          <w:rFonts w:asciiTheme="minorHAnsi" w:hAnsiTheme="minorHAnsi" w:cstheme="minorHAnsi"/>
        </w:rPr>
        <w:t xml:space="preserve"> </w:t>
      </w:r>
      <w:r w:rsidR="00AE14DA">
        <w:rPr>
          <w:rStyle w:val="a"/>
          <w:rFonts w:asciiTheme="minorHAnsi" w:hAnsiTheme="minorHAnsi" w:cstheme="minorHAnsi"/>
        </w:rPr>
        <w:t>previously commented upon by institutions in response to the prior colle</w:t>
      </w:r>
      <w:r w:rsidR="00740171">
        <w:rPr>
          <w:rStyle w:val="a"/>
          <w:rFonts w:asciiTheme="minorHAnsi" w:hAnsiTheme="minorHAnsi" w:cstheme="minorHAnsi"/>
        </w:rPr>
        <w:t>ctions</w:t>
      </w:r>
      <w:r w:rsidRPr="00000BFC" w:rsidR="00EE0731">
        <w:rPr>
          <w:rStyle w:val="a"/>
          <w:rFonts w:asciiTheme="minorHAnsi" w:hAnsiTheme="minorHAnsi" w:cstheme="minorHAnsi"/>
        </w:rPr>
        <w:t xml:space="preserve">.  </w:t>
      </w:r>
      <w:r w:rsidRPr="00B33825" w:rsidR="00000BFC">
        <w:rPr>
          <w:rFonts w:asciiTheme="minorHAnsi" w:hAnsiTheme="minorHAnsi" w:cstheme="minorHAnsi"/>
          <w:color w:val="17232E"/>
          <w:shd w:val="clear" w:color="auto" w:fill="FFFFFF"/>
        </w:rPr>
        <w:t>For example, the new reporting portal facilitate</w:t>
      </w:r>
      <w:r w:rsidR="00740171">
        <w:rPr>
          <w:rFonts w:asciiTheme="minorHAnsi" w:hAnsiTheme="minorHAnsi" w:cstheme="minorHAnsi"/>
          <w:color w:val="17232E"/>
          <w:shd w:val="clear" w:color="auto" w:fill="FFFFFF"/>
        </w:rPr>
        <w:t>s</w:t>
      </w:r>
      <w:r w:rsidRPr="00B33825" w:rsidR="00000BFC">
        <w:rPr>
          <w:rFonts w:asciiTheme="minorHAnsi" w:hAnsiTheme="minorHAnsi" w:cstheme="minorHAnsi"/>
          <w:color w:val="17232E"/>
          <w:shd w:val="clear" w:color="auto" w:fill="FFFFFF"/>
        </w:rPr>
        <w:t xml:space="preserve"> “bulk uploads” for reportable gifts and contracts and</w:t>
      </w:r>
      <w:r w:rsidR="00353B27">
        <w:rPr>
          <w:rFonts w:asciiTheme="minorHAnsi" w:hAnsiTheme="minorHAnsi" w:cstheme="minorHAnsi"/>
          <w:color w:val="17232E"/>
          <w:shd w:val="clear" w:color="auto" w:fill="FFFFFF"/>
        </w:rPr>
        <w:t xml:space="preserve"> </w:t>
      </w:r>
      <w:r w:rsidRPr="00B33825" w:rsidR="00000BFC">
        <w:rPr>
          <w:rFonts w:asciiTheme="minorHAnsi" w:hAnsiTheme="minorHAnsi" w:cstheme="minorHAnsi"/>
          <w:color w:val="17232E"/>
          <w:shd w:val="clear" w:color="auto" w:fill="FFFFFF"/>
        </w:rPr>
        <w:t>include</w:t>
      </w:r>
      <w:r w:rsidR="00353B27">
        <w:rPr>
          <w:rFonts w:asciiTheme="minorHAnsi" w:hAnsiTheme="minorHAnsi" w:cstheme="minorHAnsi"/>
          <w:color w:val="17232E"/>
          <w:shd w:val="clear" w:color="auto" w:fill="FFFFFF"/>
        </w:rPr>
        <w:t>s</w:t>
      </w:r>
      <w:r w:rsidRPr="00B33825" w:rsidR="00000BFC">
        <w:rPr>
          <w:rFonts w:asciiTheme="minorHAnsi" w:hAnsiTheme="minorHAnsi" w:cstheme="minorHAnsi"/>
          <w:color w:val="17232E"/>
          <w:shd w:val="clear" w:color="auto" w:fill="FFFFFF"/>
        </w:rPr>
        <w:t xml:space="preserve"> an “executive summary” for each IHE to view the toplines of its submissions in a condensed form. In addition, the new portal address</w:t>
      </w:r>
      <w:r w:rsidR="00353B27">
        <w:rPr>
          <w:rFonts w:asciiTheme="minorHAnsi" w:hAnsiTheme="minorHAnsi" w:cstheme="minorHAnsi"/>
          <w:color w:val="17232E"/>
          <w:shd w:val="clear" w:color="auto" w:fill="FFFFFF"/>
        </w:rPr>
        <w:t>es</w:t>
      </w:r>
      <w:r w:rsidRPr="00B33825" w:rsidR="00000BFC">
        <w:rPr>
          <w:rFonts w:asciiTheme="minorHAnsi" w:hAnsiTheme="minorHAnsi" w:cstheme="minorHAnsi"/>
          <w:color w:val="17232E"/>
          <w:shd w:val="clear" w:color="auto" w:fill="FFFFFF"/>
        </w:rPr>
        <w:t xml:space="preserve"> previously articulated concerns about, among other things: (1) automatic log off; (2) duplicative and onerous submission requirements concerning identifying information for the IHE; (3) save-as-draft capability; (4) ease of review of prior draft and final submissions; (5) capacity to self-correct prior</w:t>
      </w:r>
      <w:r w:rsidR="00254823">
        <w:rPr>
          <w:rFonts w:asciiTheme="minorHAnsi" w:hAnsiTheme="minorHAnsi" w:cstheme="minorHAnsi"/>
          <w:color w:val="17232E"/>
          <w:shd w:val="clear" w:color="auto" w:fill="FFFFFF"/>
        </w:rPr>
        <w:t xml:space="preserve"> submissions</w:t>
      </w:r>
      <w:r w:rsidRPr="00B33825" w:rsidR="00000BFC">
        <w:rPr>
          <w:rFonts w:asciiTheme="minorHAnsi" w:hAnsiTheme="minorHAnsi" w:cstheme="minorHAnsi"/>
          <w:color w:val="17232E"/>
          <w:shd w:val="clear" w:color="auto" w:fill="FFFFFF"/>
        </w:rPr>
        <w:t>; (6) ability to review and revise another institutional user’s submission; (7) summary page of entries to allow final review; (8) publication of a reporting portal user’s guide; and (9) system functionality to allow an institutional user to download the full set of records that were submitted rather than print each individual submission.</w:t>
      </w:r>
      <w:r w:rsidR="002829EB">
        <w:rPr>
          <w:rFonts w:asciiTheme="minorHAnsi" w:hAnsiTheme="minorHAnsi" w:cstheme="minorHAnsi"/>
          <w:color w:val="17232E"/>
          <w:shd w:val="clear" w:color="auto" w:fill="FFFFFF"/>
        </w:rPr>
        <w:t xml:space="preserve">  These upgrades, among others, addressed </w:t>
      </w:r>
      <w:r w:rsidR="0020764A">
        <w:rPr>
          <w:rFonts w:asciiTheme="minorHAnsi" w:hAnsiTheme="minorHAnsi" w:cstheme="minorHAnsi"/>
          <w:color w:val="17232E"/>
          <w:shd w:val="clear" w:color="auto" w:fill="FFFFFF"/>
        </w:rPr>
        <w:t>most of the</w:t>
      </w:r>
      <w:r w:rsidR="002829EB">
        <w:rPr>
          <w:rFonts w:asciiTheme="minorHAnsi" w:hAnsiTheme="minorHAnsi" w:cstheme="minorHAnsi"/>
          <w:color w:val="17232E"/>
          <w:shd w:val="clear" w:color="auto" w:fill="FFFFFF"/>
        </w:rPr>
        <w:t xml:space="preserve"> concerns raised by IHE</w:t>
      </w:r>
      <w:r w:rsidR="00BD0F48">
        <w:rPr>
          <w:rFonts w:asciiTheme="minorHAnsi" w:hAnsiTheme="minorHAnsi" w:cstheme="minorHAnsi"/>
          <w:color w:val="17232E"/>
          <w:shd w:val="clear" w:color="auto" w:fill="FFFFFF"/>
        </w:rPr>
        <w:t xml:space="preserve">s that they represented made the burden of foreign gifts and contracts reporting onerous and time-consuming.  Of particular significance to prior IHE </w:t>
      </w:r>
      <w:r w:rsidR="00CA3D86">
        <w:rPr>
          <w:rFonts w:asciiTheme="minorHAnsi" w:hAnsiTheme="minorHAnsi" w:cstheme="minorHAnsi"/>
          <w:color w:val="17232E"/>
          <w:shd w:val="clear" w:color="auto" w:fill="FFFFFF"/>
        </w:rPr>
        <w:t xml:space="preserve">comments </w:t>
      </w:r>
      <w:r w:rsidR="00BD0F48">
        <w:rPr>
          <w:rFonts w:asciiTheme="minorHAnsi" w:hAnsiTheme="minorHAnsi" w:cstheme="minorHAnsi"/>
          <w:color w:val="17232E"/>
          <w:shd w:val="clear" w:color="auto" w:fill="FFFFFF"/>
        </w:rPr>
        <w:t>is the new</w:t>
      </w:r>
      <w:r w:rsidRPr="00000BFC" w:rsidR="00EE0731">
        <w:rPr>
          <w:rStyle w:val="a"/>
          <w:rFonts w:asciiTheme="minorHAnsi" w:hAnsiTheme="minorHAnsi" w:cstheme="minorHAnsi"/>
        </w:rPr>
        <w:t xml:space="preserve"> bulk upload functionality.  In response to the previous two collections, commenters </w:t>
      </w:r>
      <w:r w:rsidRPr="00000BFC" w:rsidR="009C4790">
        <w:rPr>
          <w:rStyle w:val="a"/>
          <w:rFonts w:asciiTheme="minorHAnsi" w:hAnsiTheme="minorHAnsi" w:cstheme="minorHAnsi"/>
        </w:rPr>
        <w:t xml:space="preserve">made clear that implementation </w:t>
      </w:r>
      <w:r w:rsidR="00693AA2">
        <w:rPr>
          <w:rStyle w:val="a"/>
          <w:rFonts w:asciiTheme="minorHAnsi" w:hAnsiTheme="minorHAnsi" w:cstheme="minorHAnsi"/>
        </w:rPr>
        <w:t>of</w:t>
      </w:r>
      <w:r w:rsidRPr="00000BFC" w:rsidR="009C4790">
        <w:rPr>
          <w:rStyle w:val="a"/>
          <w:rFonts w:asciiTheme="minorHAnsi" w:hAnsiTheme="minorHAnsi" w:cstheme="minorHAnsi"/>
        </w:rPr>
        <w:t xml:space="preserve"> bulk upload </w:t>
      </w:r>
      <w:r w:rsidR="00693AA2">
        <w:rPr>
          <w:rStyle w:val="a"/>
          <w:rFonts w:asciiTheme="minorHAnsi" w:hAnsiTheme="minorHAnsi" w:cstheme="minorHAnsi"/>
        </w:rPr>
        <w:t xml:space="preserve">capacity </w:t>
      </w:r>
      <w:r w:rsidR="009C4790">
        <w:rPr>
          <w:rStyle w:val="a"/>
          <w:rFonts w:asciiTheme="minorHAnsi" w:hAnsiTheme="minorHAnsi" w:cstheme="minorBidi"/>
        </w:rPr>
        <w:t xml:space="preserve">would </w:t>
      </w:r>
      <w:r w:rsidR="00693AA2">
        <w:rPr>
          <w:rStyle w:val="a"/>
          <w:rFonts w:asciiTheme="minorHAnsi" w:hAnsiTheme="minorHAnsi" w:cstheme="minorBidi"/>
        </w:rPr>
        <w:t xml:space="preserve">provide a </w:t>
      </w:r>
      <w:r w:rsidR="009C4790">
        <w:rPr>
          <w:rStyle w:val="a"/>
          <w:rFonts w:asciiTheme="minorHAnsi" w:hAnsiTheme="minorHAnsi" w:cstheme="minorBidi"/>
        </w:rPr>
        <w:t xml:space="preserve">significant </w:t>
      </w:r>
      <w:r w:rsidR="00693AA2">
        <w:rPr>
          <w:rStyle w:val="a"/>
          <w:rFonts w:asciiTheme="minorHAnsi" w:hAnsiTheme="minorHAnsi" w:cstheme="minorBidi"/>
        </w:rPr>
        <w:t xml:space="preserve">reduction in their burden.  </w:t>
      </w:r>
      <w:r w:rsidR="00FD353E">
        <w:rPr>
          <w:rStyle w:val="a"/>
          <w:rFonts w:asciiTheme="minorHAnsi" w:hAnsiTheme="minorHAnsi" w:cstheme="minorBidi"/>
        </w:rPr>
        <w:t xml:space="preserve">Based on these </w:t>
      </w:r>
      <w:r w:rsidR="001E7FB0">
        <w:rPr>
          <w:rStyle w:val="a"/>
          <w:rFonts w:asciiTheme="minorHAnsi" w:hAnsiTheme="minorHAnsi" w:cstheme="minorBidi"/>
        </w:rPr>
        <w:t xml:space="preserve">new </w:t>
      </w:r>
      <w:r w:rsidR="00FD353E">
        <w:rPr>
          <w:rStyle w:val="a"/>
          <w:rFonts w:asciiTheme="minorHAnsi" w:hAnsiTheme="minorHAnsi" w:cstheme="minorBidi"/>
        </w:rPr>
        <w:t>efficiencies, w</w:t>
      </w:r>
      <w:r w:rsidRPr="33FD2799" w:rsidR="009B5AB1">
        <w:rPr>
          <w:rFonts w:asciiTheme="minorHAnsi" w:hAnsiTheme="minorHAnsi" w:cstheme="minorBidi"/>
        </w:rPr>
        <w:t xml:space="preserve">e believe a </w:t>
      </w:r>
      <w:r w:rsidRPr="33FD2799" w:rsidR="009B5AB1">
        <w:rPr>
          <w:rFonts w:asciiTheme="minorHAnsi" w:hAnsiTheme="minorHAnsi" w:cstheme="minorBidi"/>
        </w:rPr>
        <w:t xml:space="preserve">reasonable assignment of time </w:t>
      </w:r>
      <w:r w:rsidRPr="33FD2799" w:rsidR="00BD748E">
        <w:rPr>
          <w:rFonts w:asciiTheme="minorHAnsi" w:hAnsiTheme="minorHAnsi" w:cstheme="minorBidi"/>
        </w:rPr>
        <w:t xml:space="preserve">for an institution to use the data collection system </w:t>
      </w:r>
      <w:r w:rsidRPr="33FD2799" w:rsidR="009B5AB1">
        <w:rPr>
          <w:rFonts w:asciiTheme="minorHAnsi" w:hAnsiTheme="minorHAnsi" w:cstheme="minorBidi"/>
        </w:rPr>
        <w:t xml:space="preserve">to process </w:t>
      </w:r>
      <w:r w:rsidRPr="33FD2799" w:rsidR="00BD748E">
        <w:rPr>
          <w:rFonts w:asciiTheme="minorHAnsi" w:hAnsiTheme="minorHAnsi" w:cstheme="minorBidi"/>
        </w:rPr>
        <w:t xml:space="preserve">a submission </w:t>
      </w:r>
      <w:r w:rsidRPr="33FD2799" w:rsidR="009B5AB1">
        <w:rPr>
          <w:rFonts w:asciiTheme="minorHAnsi" w:hAnsiTheme="minorHAnsi" w:cstheme="minorBidi"/>
        </w:rPr>
        <w:t xml:space="preserve">is </w:t>
      </w:r>
      <w:r w:rsidR="00FE7D8D">
        <w:rPr>
          <w:rFonts w:asciiTheme="minorHAnsi" w:hAnsiTheme="minorHAnsi" w:cstheme="minorBidi"/>
        </w:rPr>
        <w:t>30</w:t>
      </w:r>
      <w:r w:rsidR="00B650AE">
        <w:rPr>
          <w:rFonts w:asciiTheme="minorHAnsi" w:hAnsiTheme="minorHAnsi" w:cstheme="minorBidi"/>
        </w:rPr>
        <w:t xml:space="preserve"> minutes </w:t>
      </w:r>
      <w:r w:rsidRPr="33FD2799" w:rsidR="00FE4511">
        <w:rPr>
          <w:rFonts w:asciiTheme="minorHAnsi" w:hAnsiTheme="minorHAnsi" w:cstheme="minorBidi"/>
        </w:rPr>
        <w:t xml:space="preserve">This includes the time necessary to gather the information for the report as well as the time necessary to enter and submit the information into the data collection system.  </w:t>
      </w:r>
    </w:p>
    <w:p w:rsidR="00FE4511" w:rsidRPr="00DE4A87" w:rsidP="00DE4A87" w14:paraId="7E908258" w14:textId="77777777">
      <w:pPr>
        <w:ind w:left="720" w:firstLine="50"/>
        <w:rPr>
          <w:rFonts w:asciiTheme="minorHAnsi" w:hAnsiTheme="minorHAnsi" w:cstheme="minorHAnsi"/>
          <w:szCs w:val="24"/>
        </w:rPr>
      </w:pPr>
    </w:p>
    <w:p w:rsidR="00787A18" w:rsidRPr="00DE4A87" w:rsidP="006E0A9C" w14:paraId="08E55BDD" w14:textId="77777777">
      <w:pPr>
        <w:ind w:left="1170"/>
        <w:rPr>
          <w:rStyle w:val="a"/>
          <w:rFonts w:asciiTheme="minorHAnsi" w:hAnsiTheme="minorHAnsi" w:cstheme="minorHAnsi"/>
        </w:rPr>
      </w:pPr>
      <w:r w:rsidRPr="33FD2799">
        <w:rPr>
          <w:rStyle w:val="a"/>
          <w:rFonts w:asciiTheme="minorHAnsi" w:hAnsiTheme="minorHAnsi" w:cstheme="minorBidi"/>
        </w:rPr>
        <w:t>B</w:t>
      </w:r>
      <w:r w:rsidRPr="00DE4A87">
        <w:rPr>
          <w:rStyle w:val="a"/>
          <w:rFonts w:asciiTheme="minorHAnsi" w:hAnsiTheme="minorHAnsi" w:cstheme="minorBidi"/>
        </w:rPr>
        <w:t xml:space="preserve">ased on the </w:t>
      </w:r>
      <w:r w:rsidRPr="33FD2799" w:rsidR="009C19F8">
        <w:rPr>
          <w:rStyle w:val="a"/>
          <w:rFonts w:asciiTheme="minorHAnsi" w:hAnsiTheme="minorHAnsi" w:cstheme="minorBidi"/>
        </w:rPr>
        <w:t>data submitted between</w:t>
      </w:r>
      <w:r w:rsidR="000469E3">
        <w:rPr>
          <w:rStyle w:val="a"/>
          <w:rFonts w:asciiTheme="minorHAnsi" w:hAnsiTheme="minorHAnsi" w:cstheme="minorBidi"/>
        </w:rPr>
        <w:t xml:space="preserve"> </w:t>
      </w:r>
      <w:r w:rsidR="00EA57F7">
        <w:rPr>
          <w:rStyle w:val="a"/>
          <w:rFonts w:asciiTheme="minorHAnsi" w:hAnsiTheme="minorHAnsi" w:cstheme="minorBidi"/>
        </w:rPr>
        <w:t xml:space="preserve">October </w:t>
      </w:r>
      <w:r w:rsidR="006700F7">
        <w:rPr>
          <w:rStyle w:val="a"/>
          <w:rFonts w:asciiTheme="minorHAnsi" w:hAnsiTheme="minorHAnsi" w:cstheme="minorBidi"/>
        </w:rPr>
        <w:t>202</w:t>
      </w:r>
      <w:r w:rsidR="00D36130">
        <w:rPr>
          <w:rStyle w:val="a"/>
          <w:rFonts w:asciiTheme="minorHAnsi" w:hAnsiTheme="minorHAnsi" w:cstheme="minorBidi"/>
        </w:rPr>
        <w:t>4</w:t>
      </w:r>
      <w:r w:rsidR="006700F7">
        <w:rPr>
          <w:rStyle w:val="a"/>
          <w:rFonts w:asciiTheme="minorHAnsi" w:hAnsiTheme="minorHAnsi" w:cstheme="minorBidi"/>
        </w:rPr>
        <w:t xml:space="preserve"> through February 202</w:t>
      </w:r>
      <w:r w:rsidR="00D36130">
        <w:rPr>
          <w:rStyle w:val="a"/>
          <w:rFonts w:asciiTheme="minorHAnsi" w:hAnsiTheme="minorHAnsi" w:cstheme="minorBidi"/>
        </w:rPr>
        <w:t>5</w:t>
      </w:r>
      <w:r w:rsidRPr="33FD2799" w:rsidR="009C19F8">
        <w:rPr>
          <w:rFonts w:asciiTheme="minorHAnsi" w:hAnsiTheme="minorHAnsi" w:cstheme="minorBidi"/>
        </w:rPr>
        <w:t xml:space="preserve">, </w:t>
      </w:r>
      <w:r w:rsidR="00713023">
        <w:rPr>
          <w:rFonts w:asciiTheme="minorHAnsi" w:hAnsiTheme="minorHAnsi" w:cstheme="minorBidi"/>
        </w:rPr>
        <w:t>267</w:t>
      </w:r>
      <w:r w:rsidR="00DF2428">
        <w:rPr>
          <w:rFonts w:asciiTheme="minorHAnsi" w:hAnsiTheme="minorHAnsi" w:cstheme="minorBidi"/>
        </w:rPr>
        <w:t xml:space="preserve"> </w:t>
      </w:r>
      <w:r w:rsidRPr="33FD2799" w:rsidR="009C19F8">
        <w:rPr>
          <w:rFonts w:asciiTheme="minorHAnsi" w:hAnsiTheme="minorHAnsi" w:cstheme="minorBidi"/>
        </w:rPr>
        <w:t>institutions submitted information</w:t>
      </w:r>
      <w:r w:rsidRPr="33FD2799">
        <w:rPr>
          <w:rFonts w:asciiTheme="minorHAnsi" w:hAnsiTheme="minorHAnsi" w:cstheme="minorBidi"/>
        </w:rPr>
        <w:t xml:space="preserve"> on </w:t>
      </w:r>
      <w:r w:rsidR="00DF2428">
        <w:rPr>
          <w:rFonts w:asciiTheme="minorHAnsi" w:hAnsiTheme="minorHAnsi" w:cstheme="minorBidi"/>
        </w:rPr>
        <w:t>10,370</w:t>
      </w:r>
      <w:r w:rsidRPr="33FD2799">
        <w:rPr>
          <w:rFonts w:asciiTheme="minorHAnsi" w:hAnsiTheme="minorHAnsi" w:cstheme="minorBidi"/>
        </w:rPr>
        <w:t xml:space="preserve"> transactions </w:t>
      </w:r>
      <w:r w:rsidR="00DF2428">
        <w:rPr>
          <w:rFonts w:asciiTheme="minorHAnsi" w:hAnsiTheme="minorHAnsi" w:cstheme="minorBidi"/>
        </w:rPr>
        <w:t xml:space="preserve">ranging in </w:t>
      </w:r>
      <w:r w:rsidR="000360A9">
        <w:rPr>
          <w:rFonts w:asciiTheme="minorHAnsi" w:hAnsiTheme="minorHAnsi" w:cstheme="minorBidi"/>
        </w:rPr>
        <w:t>size from $1.00 to $178,631,300</w:t>
      </w:r>
      <w:r w:rsidRPr="33FD2799" w:rsidR="00C13C7D">
        <w:rPr>
          <w:rFonts w:asciiTheme="minorHAnsi" w:hAnsiTheme="minorHAnsi" w:cstheme="minorBidi"/>
        </w:rPr>
        <w:t xml:space="preserve">.  </w:t>
      </w:r>
      <w:r w:rsidRPr="33FD2799" w:rsidR="000E5E0F">
        <w:rPr>
          <w:rFonts w:asciiTheme="minorHAnsi" w:hAnsiTheme="minorHAnsi" w:cstheme="minorBidi"/>
        </w:rPr>
        <w:t xml:space="preserve">This results in an average of </w:t>
      </w:r>
      <w:r w:rsidR="0056450F">
        <w:rPr>
          <w:rFonts w:asciiTheme="minorHAnsi" w:hAnsiTheme="minorHAnsi" w:cstheme="minorBidi"/>
        </w:rPr>
        <w:t xml:space="preserve">39 </w:t>
      </w:r>
      <w:r w:rsidRPr="33FD2799">
        <w:rPr>
          <w:rFonts w:asciiTheme="minorHAnsi" w:hAnsiTheme="minorHAnsi" w:cstheme="minorBidi"/>
        </w:rPr>
        <w:t>transactions per institution</w:t>
      </w:r>
      <w:r w:rsidRPr="33FD2799" w:rsidR="00BD748E">
        <w:rPr>
          <w:rFonts w:asciiTheme="minorHAnsi" w:hAnsiTheme="minorHAnsi" w:cstheme="minorBidi"/>
        </w:rPr>
        <w:t xml:space="preserve"> (rounded up)</w:t>
      </w:r>
      <w:r w:rsidRPr="33FD2799" w:rsidR="008B5EA1">
        <w:rPr>
          <w:rFonts w:asciiTheme="minorHAnsi" w:hAnsiTheme="minorHAnsi" w:cstheme="minorBidi"/>
        </w:rPr>
        <w:t xml:space="preserve">, for a </w:t>
      </w:r>
      <w:r w:rsidRPr="00DE4A87">
        <w:rPr>
          <w:rStyle w:val="a"/>
          <w:rFonts w:asciiTheme="minorHAnsi" w:hAnsiTheme="minorHAnsi" w:cstheme="minorBidi"/>
        </w:rPr>
        <w:t xml:space="preserve">total annual burden of </w:t>
      </w:r>
      <w:r w:rsidR="005B001B">
        <w:rPr>
          <w:rStyle w:val="a"/>
          <w:rFonts w:asciiTheme="minorHAnsi" w:hAnsiTheme="minorHAnsi" w:cstheme="minorBidi"/>
        </w:rPr>
        <w:t>5,206.50</w:t>
      </w:r>
      <w:r w:rsidR="00A653BB">
        <w:rPr>
          <w:rStyle w:val="a"/>
          <w:rFonts w:asciiTheme="minorHAnsi" w:hAnsiTheme="minorHAnsi" w:cstheme="minorBidi"/>
        </w:rPr>
        <w:t xml:space="preserve"> </w:t>
      </w:r>
      <w:r w:rsidRPr="00DE4A87">
        <w:rPr>
          <w:rStyle w:val="a"/>
          <w:rFonts w:asciiTheme="minorHAnsi" w:hAnsiTheme="minorHAnsi" w:cstheme="minorBidi"/>
        </w:rPr>
        <w:t xml:space="preserve">hours </w:t>
      </w:r>
      <w:r w:rsidRPr="33FD2799">
        <w:rPr>
          <w:rStyle w:val="a"/>
          <w:rFonts w:asciiTheme="minorHAnsi" w:hAnsiTheme="minorHAnsi" w:cstheme="minorBidi"/>
        </w:rPr>
        <w:t>(</w:t>
      </w:r>
      <w:r w:rsidR="00115762">
        <w:rPr>
          <w:rStyle w:val="a"/>
          <w:rFonts w:asciiTheme="minorHAnsi" w:hAnsiTheme="minorHAnsi" w:cstheme="minorBidi"/>
        </w:rPr>
        <w:t>267</w:t>
      </w:r>
      <w:r w:rsidRPr="33FD2799">
        <w:rPr>
          <w:rStyle w:val="a"/>
          <w:rFonts w:asciiTheme="minorHAnsi" w:hAnsiTheme="minorHAnsi" w:cstheme="minorBidi"/>
        </w:rPr>
        <w:t xml:space="preserve"> </w:t>
      </w:r>
      <w:r w:rsidRPr="00DE4A87">
        <w:rPr>
          <w:rStyle w:val="a"/>
          <w:rFonts w:asciiTheme="minorHAnsi" w:hAnsiTheme="minorHAnsi" w:cstheme="minorBidi"/>
        </w:rPr>
        <w:t xml:space="preserve">institutions x </w:t>
      </w:r>
      <w:r w:rsidR="00115762">
        <w:rPr>
          <w:rStyle w:val="a"/>
          <w:rFonts w:asciiTheme="minorHAnsi" w:hAnsiTheme="minorHAnsi" w:cstheme="minorBidi"/>
        </w:rPr>
        <w:t>39</w:t>
      </w:r>
      <w:r w:rsidR="00EA4DA5">
        <w:rPr>
          <w:rStyle w:val="a"/>
          <w:rFonts w:asciiTheme="minorHAnsi" w:hAnsiTheme="minorHAnsi" w:cstheme="minorBidi"/>
        </w:rPr>
        <w:t xml:space="preserve"> </w:t>
      </w:r>
      <w:r w:rsidRPr="00DE4A87">
        <w:rPr>
          <w:rStyle w:val="a"/>
          <w:rFonts w:asciiTheme="minorHAnsi" w:hAnsiTheme="minorHAnsi" w:cstheme="minorBidi"/>
        </w:rPr>
        <w:t xml:space="preserve">reports x </w:t>
      </w:r>
      <w:r w:rsidR="00873777">
        <w:rPr>
          <w:rStyle w:val="a"/>
          <w:rFonts w:asciiTheme="minorHAnsi" w:hAnsiTheme="minorHAnsi" w:cstheme="minorBidi"/>
        </w:rPr>
        <w:t>.</w:t>
      </w:r>
      <w:r w:rsidR="00EA4DA5">
        <w:rPr>
          <w:rStyle w:val="a"/>
          <w:rFonts w:asciiTheme="minorHAnsi" w:hAnsiTheme="minorHAnsi" w:cstheme="minorBidi"/>
        </w:rPr>
        <w:t>50</w:t>
      </w:r>
      <w:r w:rsidRPr="00DE4A87">
        <w:rPr>
          <w:rStyle w:val="a"/>
          <w:rFonts w:asciiTheme="minorHAnsi" w:hAnsiTheme="minorHAnsi" w:cstheme="minorBidi"/>
        </w:rPr>
        <w:t xml:space="preserve"> hour</w:t>
      </w:r>
      <w:r w:rsidR="00EA4DA5">
        <w:rPr>
          <w:rStyle w:val="a"/>
          <w:rFonts w:asciiTheme="minorHAnsi" w:hAnsiTheme="minorHAnsi" w:cstheme="minorBidi"/>
        </w:rPr>
        <w:t>s</w:t>
      </w:r>
      <w:r w:rsidRPr="00DE4A87">
        <w:rPr>
          <w:rStyle w:val="a"/>
          <w:rFonts w:asciiTheme="minorHAnsi" w:hAnsiTheme="minorHAnsi" w:cstheme="minorBidi"/>
        </w:rPr>
        <w:t xml:space="preserve"> per report).</w:t>
      </w:r>
      <w:r w:rsidRPr="33FD2799">
        <w:rPr>
          <w:rStyle w:val="a"/>
          <w:rFonts w:asciiTheme="minorHAnsi" w:hAnsiTheme="minorHAnsi" w:cstheme="minorBidi"/>
        </w:rPr>
        <w:t xml:space="preserve">  </w:t>
      </w:r>
    </w:p>
    <w:bookmarkEnd w:id="0"/>
    <w:p w:rsidR="001717EA" w:rsidRPr="001717EA" w:rsidP="001717EA" w14:paraId="6201E45B" w14:textId="77777777">
      <w:pPr>
        <w:tabs>
          <w:tab w:val="left" w:pos="-720"/>
          <w:tab w:val="left" w:pos="1247"/>
        </w:tabs>
        <w:suppressAutoHyphens/>
        <w:ind w:left="1170"/>
        <w:rPr>
          <w:rStyle w:val="a"/>
          <w:rFonts w:asciiTheme="minorHAnsi" w:hAnsiTheme="minorHAnsi" w:cstheme="minorHAnsi"/>
        </w:rPr>
      </w:pPr>
      <w:r w:rsidRPr="001717EA">
        <w:rPr>
          <w:rStyle w:val="a"/>
          <w:rFonts w:asciiTheme="minorHAnsi" w:hAnsiTheme="minorHAnsi" w:cstheme="minorHAnsi"/>
        </w:rPr>
        <w:t xml:space="preserve"> </w:t>
      </w:r>
    </w:p>
    <w:p w:rsidR="00ED7195" w:rsidP="00756FD3" w14:paraId="7DA2644D" w14:textId="77777777">
      <w:pPr>
        <w:pStyle w:val="Caption"/>
        <w:jc w:val="center"/>
        <w:rPr>
          <w:rFonts w:ascii="Times New Roman" w:hAnsi="Times New Roman"/>
          <w:color w:val="000000" w:themeColor="text1"/>
          <w:sz w:val="24"/>
          <w:szCs w:val="24"/>
        </w:rPr>
      </w:pPr>
      <w:bookmarkStart w:id="1" w:name="_Hlk121144985"/>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175" w:type="dxa"/>
        <w:tblLayout w:type="fixed"/>
        <w:tblLook w:val="0020"/>
      </w:tblPr>
      <w:tblGrid>
        <w:gridCol w:w="1345"/>
        <w:gridCol w:w="1170"/>
        <w:gridCol w:w="1620"/>
        <w:gridCol w:w="990"/>
        <w:gridCol w:w="1170"/>
        <w:gridCol w:w="1260"/>
        <w:gridCol w:w="1620"/>
      </w:tblGrid>
      <w:tr w14:paraId="0DD43365" w14:textId="77777777" w:rsidTr="009869A5">
        <w:tblPrEx>
          <w:tblW w:w="9175" w:type="dxa"/>
          <w:tblLayout w:type="fixed"/>
          <w:tblLook w:val="0020"/>
        </w:tblPrEx>
        <w:trPr>
          <w:tblHeader/>
        </w:trPr>
        <w:tc>
          <w:tcPr>
            <w:tcW w:w="1345" w:type="dxa"/>
          </w:tcPr>
          <w:p w:rsidR="009C37AF" w:rsidRPr="0078057E" w:rsidP="00012A31" w14:paraId="59EED7BB" w14:textId="77777777">
            <w:pPr>
              <w:jc w:val="center"/>
              <w:rPr>
                <w:rFonts w:ascii="Times New Roman" w:hAnsi="Times New Roman"/>
                <w:sz w:val="16"/>
                <w:szCs w:val="16"/>
              </w:rPr>
            </w:pPr>
          </w:p>
          <w:p w:rsidR="009C37AF" w:rsidRPr="0078057E" w:rsidP="00012A31" w14:paraId="3AD70138" w14:textId="77777777">
            <w:pPr>
              <w:jc w:val="center"/>
              <w:rPr>
                <w:rFonts w:ascii="Times New Roman" w:hAnsi="Times New Roman"/>
                <w:sz w:val="16"/>
                <w:szCs w:val="16"/>
              </w:rPr>
            </w:pPr>
          </w:p>
          <w:p w:rsidR="009C37AF" w:rsidRPr="0078057E" w:rsidP="00012A31" w14:paraId="6556847A" w14:textId="77777777">
            <w:pPr>
              <w:jc w:val="center"/>
              <w:rPr>
                <w:rFonts w:ascii="Times New Roman" w:hAnsi="Times New Roman"/>
                <w:sz w:val="16"/>
                <w:szCs w:val="16"/>
              </w:rPr>
            </w:pPr>
            <w:r w:rsidRPr="0078057E">
              <w:rPr>
                <w:rFonts w:ascii="Times New Roman" w:hAnsi="Times New Roman"/>
                <w:sz w:val="16"/>
                <w:szCs w:val="16"/>
              </w:rPr>
              <w:t>Information Activity or IC (with type of respondent)</w:t>
            </w:r>
          </w:p>
        </w:tc>
        <w:tc>
          <w:tcPr>
            <w:tcW w:w="1170" w:type="dxa"/>
          </w:tcPr>
          <w:p w:rsidR="009C37AF" w:rsidP="00012A31" w14:paraId="432532EF" w14:textId="77777777">
            <w:pPr>
              <w:jc w:val="center"/>
              <w:rPr>
                <w:rFonts w:ascii="Times New Roman" w:hAnsi="Times New Roman"/>
                <w:sz w:val="16"/>
                <w:szCs w:val="16"/>
              </w:rPr>
            </w:pPr>
          </w:p>
          <w:p w:rsidR="00801DFE" w:rsidP="00012A31" w14:paraId="051FC2E9" w14:textId="77777777">
            <w:pPr>
              <w:jc w:val="center"/>
              <w:rPr>
                <w:rFonts w:ascii="Times New Roman" w:hAnsi="Times New Roman"/>
                <w:sz w:val="16"/>
                <w:szCs w:val="16"/>
              </w:rPr>
            </w:pPr>
          </w:p>
          <w:p w:rsidR="00801DFE" w:rsidRPr="0078057E" w:rsidP="00012A31" w14:paraId="2E850E15" w14:textId="77777777">
            <w:pPr>
              <w:jc w:val="center"/>
              <w:rPr>
                <w:rFonts w:ascii="Times New Roman" w:hAnsi="Times New Roman"/>
                <w:sz w:val="16"/>
                <w:szCs w:val="16"/>
              </w:rPr>
            </w:pPr>
            <w:r w:rsidRPr="0078057E">
              <w:rPr>
                <w:rFonts w:ascii="Times New Roman" w:hAnsi="Times New Roman"/>
                <w:sz w:val="16"/>
                <w:szCs w:val="16"/>
              </w:rPr>
              <w:t>Number of Respondents</w:t>
            </w:r>
          </w:p>
        </w:tc>
        <w:tc>
          <w:tcPr>
            <w:tcW w:w="1620" w:type="dxa"/>
          </w:tcPr>
          <w:p w:rsidR="009C37AF" w:rsidRPr="0078057E" w:rsidP="00012A31" w14:paraId="417A0043" w14:textId="77777777">
            <w:pPr>
              <w:jc w:val="center"/>
              <w:rPr>
                <w:rFonts w:ascii="Times New Roman" w:hAnsi="Times New Roman"/>
                <w:sz w:val="16"/>
                <w:szCs w:val="16"/>
              </w:rPr>
            </w:pPr>
          </w:p>
          <w:p w:rsidR="009C37AF" w:rsidRPr="0078057E" w:rsidP="00012A31" w14:paraId="0068F2DE" w14:textId="77777777">
            <w:pPr>
              <w:jc w:val="center"/>
              <w:rPr>
                <w:rFonts w:ascii="Times New Roman" w:hAnsi="Times New Roman"/>
                <w:sz w:val="16"/>
                <w:szCs w:val="16"/>
              </w:rPr>
            </w:pPr>
          </w:p>
          <w:p w:rsidR="009C37AF" w:rsidRPr="0078057E" w:rsidP="00012A31" w14:paraId="5539F109" w14:textId="77777777">
            <w:pPr>
              <w:jc w:val="center"/>
              <w:rPr>
                <w:rFonts w:ascii="Times New Roman" w:hAnsi="Times New Roman"/>
                <w:sz w:val="16"/>
                <w:szCs w:val="16"/>
              </w:rPr>
            </w:pPr>
            <w:r w:rsidRPr="0078057E">
              <w:rPr>
                <w:rFonts w:ascii="Times New Roman" w:hAnsi="Times New Roman"/>
                <w:sz w:val="16"/>
                <w:szCs w:val="16"/>
              </w:rPr>
              <w:t>Responses</w:t>
            </w:r>
            <w:r w:rsidRPr="0078057E" w:rsidR="0016500B">
              <w:rPr>
                <w:rFonts w:ascii="Times New Roman" w:hAnsi="Times New Roman"/>
                <w:sz w:val="16"/>
                <w:szCs w:val="16"/>
              </w:rPr>
              <w:t>/Year</w:t>
            </w:r>
          </w:p>
        </w:tc>
        <w:tc>
          <w:tcPr>
            <w:tcW w:w="990" w:type="dxa"/>
          </w:tcPr>
          <w:p w:rsidR="009C37AF" w:rsidRPr="0078057E" w:rsidP="00012A31" w14:paraId="2AE0BD90" w14:textId="77777777">
            <w:pPr>
              <w:jc w:val="center"/>
              <w:rPr>
                <w:rFonts w:ascii="Times New Roman" w:hAnsi="Times New Roman"/>
                <w:sz w:val="16"/>
                <w:szCs w:val="16"/>
              </w:rPr>
            </w:pPr>
          </w:p>
          <w:p w:rsidR="009C37AF" w:rsidRPr="0078057E" w:rsidP="00012A31" w14:paraId="0AD516A1" w14:textId="77777777">
            <w:pPr>
              <w:jc w:val="center"/>
              <w:rPr>
                <w:rFonts w:ascii="Times New Roman" w:hAnsi="Times New Roman"/>
                <w:sz w:val="16"/>
                <w:szCs w:val="16"/>
              </w:rPr>
            </w:pPr>
            <w:r w:rsidRPr="0078057E">
              <w:rPr>
                <w:rFonts w:ascii="Times New Roman" w:hAnsi="Times New Roman"/>
                <w:sz w:val="16"/>
                <w:szCs w:val="16"/>
              </w:rPr>
              <w:t>Hours per Response</w:t>
            </w:r>
          </w:p>
        </w:tc>
        <w:tc>
          <w:tcPr>
            <w:tcW w:w="1170" w:type="dxa"/>
          </w:tcPr>
          <w:p w:rsidR="009C37AF" w:rsidRPr="0078057E" w:rsidP="00012A31" w14:paraId="2BD1E5BF" w14:textId="77777777">
            <w:pPr>
              <w:jc w:val="center"/>
              <w:rPr>
                <w:rFonts w:ascii="Times New Roman" w:hAnsi="Times New Roman"/>
                <w:sz w:val="16"/>
                <w:szCs w:val="16"/>
              </w:rPr>
            </w:pPr>
          </w:p>
          <w:p w:rsidR="009C37AF" w:rsidRPr="0078057E" w:rsidP="00012A31" w14:paraId="2E67A043" w14:textId="77777777">
            <w:pPr>
              <w:rPr>
                <w:rFonts w:ascii="Times New Roman" w:hAnsi="Times New Roman"/>
                <w:sz w:val="16"/>
                <w:szCs w:val="16"/>
              </w:rPr>
            </w:pPr>
            <w:r w:rsidRPr="0078057E">
              <w:rPr>
                <w:rFonts w:ascii="Times New Roman" w:hAnsi="Times New Roman"/>
                <w:sz w:val="16"/>
                <w:szCs w:val="16"/>
              </w:rPr>
              <w:t>Total Annual Burden Hours</w:t>
            </w:r>
          </w:p>
        </w:tc>
        <w:tc>
          <w:tcPr>
            <w:tcW w:w="1260" w:type="dxa"/>
          </w:tcPr>
          <w:p w:rsidR="009C37AF" w:rsidRPr="0078057E" w:rsidP="00012A31" w14:paraId="587BF5F1" w14:textId="77777777">
            <w:pPr>
              <w:jc w:val="center"/>
              <w:rPr>
                <w:rFonts w:ascii="Times New Roman" w:hAnsi="Times New Roman"/>
                <w:sz w:val="16"/>
                <w:szCs w:val="16"/>
              </w:rPr>
            </w:pPr>
          </w:p>
          <w:p w:rsidR="009C37AF" w:rsidRPr="0078057E" w:rsidP="00012A31" w14:paraId="269702F5" w14:textId="77777777">
            <w:pPr>
              <w:jc w:val="center"/>
              <w:rPr>
                <w:rFonts w:ascii="Times New Roman" w:hAnsi="Times New Roman"/>
                <w:sz w:val="16"/>
                <w:szCs w:val="16"/>
              </w:rPr>
            </w:pPr>
            <w:r w:rsidRPr="0078057E">
              <w:rPr>
                <w:rFonts w:ascii="Times New Roman" w:hAnsi="Times New Roman"/>
                <w:sz w:val="16"/>
                <w:szCs w:val="16"/>
              </w:rPr>
              <w:t>Estimated Respondent Average Hourly Wage</w:t>
            </w:r>
          </w:p>
          <w:p w:rsidR="009C37AF" w:rsidRPr="0078057E" w:rsidP="00012A31" w14:paraId="0A5933C5" w14:textId="77777777">
            <w:pPr>
              <w:jc w:val="center"/>
              <w:rPr>
                <w:rFonts w:ascii="Times New Roman" w:hAnsi="Times New Roman"/>
                <w:sz w:val="16"/>
                <w:szCs w:val="16"/>
              </w:rPr>
            </w:pPr>
          </w:p>
        </w:tc>
        <w:tc>
          <w:tcPr>
            <w:tcW w:w="1620" w:type="dxa"/>
          </w:tcPr>
          <w:p w:rsidR="009C37AF" w:rsidRPr="0078057E" w:rsidP="00012A31" w14:paraId="1B23B9FA" w14:textId="77777777">
            <w:pPr>
              <w:jc w:val="center"/>
              <w:rPr>
                <w:rFonts w:ascii="Times New Roman" w:hAnsi="Times New Roman"/>
                <w:sz w:val="16"/>
                <w:szCs w:val="16"/>
              </w:rPr>
            </w:pPr>
          </w:p>
          <w:p w:rsidR="009C37AF" w:rsidRPr="0078057E" w:rsidP="00012A31" w14:paraId="44A26225" w14:textId="77777777">
            <w:pPr>
              <w:jc w:val="center"/>
              <w:rPr>
                <w:rFonts w:ascii="Times New Roman" w:hAnsi="Times New Roman"/>
                <w:sz w:val="16"/>
                <w:szCs w:val="16"/>
              </w:rPr>
            </w:pPr>
            <w:r w:rsidRPr="0078057E">
              <w:rPr>
                <w:rFonts w:ascii="Times New Roman" w:hAnsi="Times New Roman"/>
                <w:sz w:val="16"/>
                <w:szCs w:val="16"/>
              </w:rPr>
              <w:t>Total Annual Costs (hourly wage x total burden hours)</w:t>
            </w:r>
          </w:p>
          <w:p w:rsidR="009C37AF" w:rsidRPr="0078057E" w:rsidP="00012A31" w14:paraId="249BF35E" w14:textId="77777777">
            <w:pPr>
              <w:jc w:val="center"/>
              <w:rPr>
                <w:rFonts w:ascii="Times New Roman" w:hAnsi="Times New Roman"/>
                <w:sz w:val="16"/>
                <w:szCs w:val="16"/>
              </w:rPr>
            </w:pPr>
          </w:p>
        </w:tc>
      </w:tr>
      <w:tr w14:paraId="61BD0B71" w14:textId="77777777" w:rsidTr="009869A5">
        <w:tblPrEx>
          <w:tblW w:w="9175" w:type="dxa"/>
          <w:tblLayout w:type="fixed"/>
          <w:tblLook w:val="0020"/>
        </w:tblPrEx>
        <w:tc>
          <w:tcPr>
            <w:tcW w:w="1345" w:type="dxa"/>
          </w:tcPr>
          <w:p w:rsidR="009C37AF" w:rsidRPr="009C37AF" w:rsidP="00012A31" w14:paraId="20C45FCB" w14:textId="77777777">
            <w:pPr>
              <w:rPr>
                <w:rFonts w:asciiTheme="minorHAnsi" w:hAnsiTheme="minorHAnsi" w:cstheme="minorHAnsi"/>
                <w:szCs w:val="24"/>
              </w:rPr>
            </w:pPr>
            <w:bookmarkStart w:id="2" w:name="_Hlk121144805"/>
            <w:r>
              <w:rPr>
                <w:rFonts w:asciiTheme="minorHAnsi" w:hAnsiTheme="minorHAnsi" w:cstheme="minorHAnsi"/>
                <w:szCs w:val="24"/>
              </w:rPr>
              <w:t>Individual</w:t>
            </w:r>
          </w:p>
        </w:tc>
        <w:tc>
          <w:tcPr>
            <w:tcW w:w="1170" w:type="dxa"/>
          </w:tcPr>
          <w:p w:rsidR="009C37AF" w:rsidRPr="00442E07" w:rsidP="00771C7A" w14:paraId="289BA7C5" w14:textId="77777777">
            <w:pPr>
              <w:jc w:val="right"/>
              <w:rPr>
                <w:rFonts w:ascii="Times New Roman" w:hAnsi="Times New Roman"/>
                <w:szCs w:val="24"/>
              </w:rPr>
            </w:pPr>
            <w:r>
              <w:rPr>
                <w:rFonts w:ascii="Times New Roman" w:hAnsi="Times New Roman"/>
                <w:szCs w:val="24"/>
              </w:rPr>
              <w:t>0</w:t>
            </w:r>
          </w:p>
        </w:tc>
        <w:tc>
          <w:tcPr>
            <w:tcW w:w="1620" w:type="dxa"/>
          </w:tcPr>
          <w:p w:rsidR="009C37AF" w:rsidRPr="00442E07" w:rsidP="00771C7A" w14:paraId="767FECCE" w14:textId="77777777">
            <w:pPr>
              <w:jc w:val="right"/>
              <w:rPr>
                <w:rFonts w:ascii="Times New Roman" w:hAnsi="Times New Roman"/>
                <w:szCs w:val="24"/>
              </w:rPr>
            </w:pPr>
            <w:r>
              <w:rPr>
                <w:rFonts w:ascii="Times New Roman" w:hAnsi="Times New Roman"/>
                <w:szCs w:val="24"/>
              </w:rPr>
              <w:t>0</w:t>
            </w:r>
          </w:p>
        </w:tc>
        <w:tc>
          <w:tcPr>
            <w:tcW w:w="990" w:type="dxa"/>
          </w:tcPr>
          <w:p w:rsidR="009C37AF" w:rsidRPr="00442E07" w:rsidP="00771C7A" w14:paraId="24AC9C8A" w14:textId="77777777">
            <w:pPr>
              <w:jc w:val="right"/>
              <w:rPr>
                <w:rFonts w:ascii="Times New Roman" w:hAnsi="Times New Roman"/>
                <w:szCs w:val="24"/>
              </w:rPr>
            </w:pPr>
            <w:r>
              <w:rPr>
                <w:rFonts w:ascii="Times New Roman" w:hAnsi="Times New Roman"/>
                <w:szCs w:val="24"/>
              </w:rPr>
              <w:t>0</w:t>
            </w:r>
          </w:p>
        </w:tc>
        <w:tc>
          <w:tcPr>
            <w:tcW w:w="1170" w:type="dxa"/>
          </w:tcPr>
          <w:p w:rsidR="009C37AF" w:rsidRPr="00442E07" w:rsidP="00771C7A" w14:paraId="0CFE1DCC" w14:textId="77777777">
            <w:pPr>
              <w:jc w:val="right"/>
              <w:rPr>
                <w:rFonts w:ascii="Times New Roman" w:hAnsi="Times New Roman"/>
                <w:szCs w:val="24"/>
              </w:rPr>
            </w:pPr>
            <w:r>
              <w:rPr>
                <w:rFonts w:ascii="Times New Roman" w:hAnsi="Times New Roman"/>
                <w:szCs w:val="24"/>
              </w:rPr>
              <w:t>0</w:t>
            </w:r>
          </w:p>
        </w:tc>
        <w:tc>
          <w:tcPr>
            <w:tcW w:w="1260" w:type="dxa"/>
          </w:tcPr>
          <w:p w:rsidR="009C37AF" w:rsidRPr="00442E07" w:rsidP="00771C7A" w14:paraId="0BC9CF6A" w14:textId="77777777">
            <w:pPr>
              <w:jc w:val="right"/>
              <w:rPr>
                <w:rFonts w:ascii="Times New Roman" w:hAnsi="Times New Roman"/>
                <w:szCs w:val="24"/>
              </w:rPr>
            </w:pPr>
            <w:r>
              <w:rPr>
                <w:rFonts w:ascii="Times New Roman" w:hAnsi="Times New Roman"/>
                <w:szCs w:val="24"/>
              </w:rPr>
              <w:t>0</w:t>
            </w:r>
          </w:p>
        </w:tc>
        <w:tc>
          <w:tcPr>
            <w:tcW w:w="1620" w:type="dxa"/>
          </w:tcPr>
          <w:p w:rsidR="009C37AF" w:rsidRPr="00442E07" w:rsidP="00771C7A" w14:paraId="5826C0BE" w14:textId="77777777">
            <w:pPr>
              <w:jc w:val="right"/>
              <w:rPr>
                <w:rFonts w:ascii="Times New Roman" w:hAnsi="Times New Roman"/>
                <w:szCs w:val="24"/>
              </w:rPr>
            </w:pPr>
            <w:r>
              <w:rPr>
                <w:rFonts w:ascii="Times New Roman" w:hAnsi="Times New Roman"/>
                <w:szCs w:val="24"/>
              </w:rPr>
              <w:t>0</w:t>
            </w:r>
          </w:p>
        </w:tc>
      </w:tr>
      <w:tr w14:paraId="420CA552" w14:textId="77777777" w:rsidTr="009869A5">
        <w:tblPrEx>
          <w:tblW w:w="9175" w:type="dxa"/>
          <w:tblLayout w:type="fixed"/>
          <w:tblLook w:val="0020"/>
        </w:tblPrEx>
        <w:tc>
          <w:tcPr>
            <w:tcW w:w="1345" w:type="dxa"/>
          </w:tcPr>
          <w:p w:rsidR="008B742A" w:rsidRPr="009C37AF" w:rsidP="008B742A" w14:paraId="2C6CE6C3" w14:textId="77777777">
            <w:pPr>
              <w:rPr>
                <w:rFonts w:asciiTheme="minorHAnsi" w:hAnsiTheme="minorHAnsi" w:cstheme="minorHAnsi"/>
                <w:szCs w:val="24"/>
              </w:rPr>
            </w:pPr>
            <w:r>
              <w:rPr>
                <w:rFonts w:asciiTheme="minorHAnsi" w:hAnsiTheme="minorHAnsi" w:cstheme="minorHAnsi"/>
                <w:szCs w:val="24"/>
              </w:rPr>
              <w:t>For-Profit Institutions</w:t>
            </w:r>
          </w:p>
        </w:tc>
        <w:tc>
          <w:tcPr>
            <w:tcW w:w="1170" w:type="dxa"/>
            <w:tcBorders>
              <w:top w:val="nil"/>
              <w:left w:val="nil"/>
              <w:bottom w:val="single" w:sz="8" w:space="0" w:color="BFBFBF"/>
              <w:right w:val="single" w:sz="8" w:space="0" w:color="BFBFBF"/>
            </w:tcBorders>
          </w:tcPr>
          <w:p w:rsidR="008B742A" w:rsidRPr="00442E07" w:rsidP="008B742A" w14:paraId="68DD9237" w14:textId="77777777">
            <w:pPr>
              <w:jc w:val="right"/>
              <w:rPr>
                <w:rFonts w:ascii="Times New Roman" w:hAnsi="Times New Roman"/>
                <w:szCs w:val="24"/>
              </w:rPr>
            </w:pPr>
            <w:r>
              <w:rPr>
                <w:rFonts w:ascii="Times New Roman" w:hAnsi="Times New Roman"/>
                <w:szCs w:val="24"/>
              </w:rPr>
              <w:t>4</w:t>
            </w:r>
          </w:p>
        </w:tc>
        <w:tc>
          <w:tcPr>
            <w:tcW w:w="1620" w:type="dxa"/>
            <w:tcBorders>
              <w:top w:val="nil"/>
              <w:left w:val="nil"/>
              <w:bottom w:val="single" w:sz="8" w:space="0" w:color="BFBFBF"/>
              <w:right w:val="single" w:sz="8" w:space="0" w:color="BFBFBF"/>
            </w:tcBorders>
          </w:tcPr>
          <w:p w:rsidR="008B742A" w:rsidRPr="00442E07" w:rsidP="008B742A" w14:paraId="173F3DD8" w14:textId="77777777">
            <w:pPr>
              <w:jc w:val="right"/>
              <w:rPr>
                <w:rFonts w:ascii="Times New Roman" w:hAnsi="Times New Roman"/>
                <w:szCs w:val="24"/>
              </w:rPr>
            </w:pPr>
            <w:r>
              <w:rPr>
                <w:rFonts w:ascii="Times New Roman" w:hAnsi="Times New Roman"/>
                <w:szCs w:val="24"/>
              </w:rPr>
              <w:t>4</w:t>
            </w:r>
            <w:r w:rsidR="00CB34B4">
              <w:rPr>
                <w:rFonts w:ascii="Times New Roman" w:hAnsi="Times New Roman"/>
                <w:szCs w:val="24"/>
              </w:rPr>
              <w:t>x39=156</w:t>
            </w:r>
          </w:p>
        </w:tc>
        <w:tc>
          <w:tcPr>
            <w:tcW w:w="990" w:type="dxa"/>
          </w:tcPr>
          <w:p w:rsidR="008B742A" w:rsidRPr="00442E07" w:rsidP="008B742A" w14:paraId="70345697" w14:textId="77777777">
            <w:pPr>
              <w:jc w:val="right"/>
              <w:rPr>
                <w:rFonts w:ascii="Times New Roman" w:hAnsi="Times New Roman"/>
                <w:szCs w:val="24"/>
              </w:rPr>
            </w:pPr>
            <w:r>
              <w:rPr>
                <w:rFonts w:ascii="Times New Roman" w:hAnsi="Times New Roman"/>
                <w:szCs w:val="24"/>
              </w:rPr>
              <w:t>.</w:t>
            </w:r>
            <w:r w:rsidR="00055726">
              <w:rPr>
                <w:rFonts w:ascii="Times New Roman" w:hAnsi="Times New Roman"/>
                <w:szCs w:val="24"/>
              </w:rPr>
              <w:t>50</w:t>
            </w:r>
          </w:p>
        </w:tc>
        <w:tc>
          <w:tcPr>
            <w:tcW w:w="1170" w:type="dxa"/>
          </w:tcPr>
          <w:p w:rsidR="008B742A" w:rsidRPr="00442E07" w:rsidP="008B742A" w14:paraId="22EAD7DE" w14:textId="77777777">
            <w:pPr>
              <w:pStyle w:val="EndnoteText"/>
              <w:tabs>
                <w:tab w:val="clear" w:pos="-720"/>
              </w:tabs>
              <w:suppressAutoHyphens w:val="0"/>
              <w:jc w:val="right"/>
              <w:rPr>
                <w:rFonts w:ascii="Times New Roman" w:hAnsi="Times New Roman"/>
                <w:szCs w:val="24"/>
              </w:rPr>
            </w:pPr>
            <w:r>
              <w:rPr>
                <w:rFonts w:ascii="Times New Roman" w:hAnsi="Times New Roman"/>
                <w:szCs w:val="24"/>
              </w:rPr>
              <w:t>78</w:t>
            </w:r>
          </w:p>
        </w:tc>
        <w:tc>
          <w:tcPr>
            <w:tcW w:w="1260" w:type="dxa"/>
          </w:tcPr>
          <w:p w:rsidR="008B742A" w:rsidRPr="00442E07" w:rsidP="008B742A" w14:paraId="2668209D" w14:textId="77777777">
            <w:pPr>
              <w:jc w:val="right"/>
              <w:rPr>
                <w:rFonts w:ascii="Times New Roman" w:hAnsi="Times New Roman"/>
                <w:szCs w:val="24"/>
              </w:rPr>
            </w:pPr>
            <w:r>
              <w:rPr>
                <w:rFonts w:ascii="Times New Roman" w:hAnsi="Times New Roman"/>
                <w:szCs w:val="24"/>
              </w:rPr>
              <w:t>$49.98</w:t>
            </w:r>
          </w:p>
        </w:tc>
        <w:tc>
          <w:tcPr>
            <w:tcW w:w="1620" w:type="dxa"/>
          </w:tcPr>
          <w:p w:rsidR="008B742A" w:rsidRPr="00442E07" w:rsidP="008B742A" w14:paraId="03B7ED06" w14:textId="77777777">
            <w:pPr>
              <w:jc w:val="right"/>
              <w:rPr>
                <w:rFonts w:ascii="Times New Roman" w:hAnsi="Times New Roman"/>
                <w:szCs w:val="24"/>
              </w:rPr>
            </w:pPr>
            <w:r>
              <w:rPr>
                <w:rFonts w:ascii="Times New Roman" w:hAnsi="Times New Roman"/>
                <w:szCs w:val="24"/>
              </w:rPr>
              <w:t>$</w:t>
            </w:r>
            <w:r w:rsidR="00C525D4">
              <w:rPr>
                <w:rFonts w:ascii="Times New Roman" w:hAnsi="Times New Roman"/>
                <w:szCs w:val="24"/>
              </w:rPr>
              <w:t>3</w:t>
            </w:r>
            <w:r w:rsidR="00812D1A">
              <w:rPr>
                <w:rFonts w:ascii="Times New Roman" w:hAnsi="Times New Roman"/>
                <w:szCs w:val="24"/>
              </w:rPr>
              <w:t>8</w:t>
            </w:r>
            <w:r w:rsidR="00C525D4">
              <w:rPr>
                <w:rFonts w:ascii="Times New Roman" w:hAnsi="Times New Roman"/>
                <w:szCs w:val="24"/>
              </w:rPr>
              <w:t>98.44</w:t>
            </w:r>
          </w:p>
        </w:tc>
      </w:tr>
      <w:tr w14:paraId="5E290646" w14:textId="77777777" w:rsidTr="009869A5">
        <w:tblPrEx>
          <w:tblW w:w="9175" w:type="dxa"/>
          <w:tblLayout w:type="fixed"/>
          <w:tblLook w:val="0020"/>
        </w:tblPrEx>
        <w:tc>
          <w:tcPr>
            <w:tcW w:w="1345" w:type="dxa"/>
          </w:tcPr>
          <w:p w:rsidR="008B742A" w:rsidRPr="009C37AF" w:rsidP="008B742A" w14:paraId="7A2EFFB8" w14:textId="77777777">
            <w:pPr>
              <w:rPr>
                <w:rFonts w:asciiTheme="minorHAnsi" w:hAnsiTheme="minorHAnsi" w:cstheme="minorHAnsi"/>
                <w:szCs w:val="24"/>
              </w:rPr>
            </w:pPr>
            <w:r>
              <w:rPr>
                <w:rFonts w:asciiTheme="minorHAnsi" w:hAnsiTheme="minorHAnsi" w:cstheme="minorHAnsi"/>
                <w:szCs w:val="24"/>
              </w:rPr>
              <w:t>Private Institutions</w:t>
            </w:r>
          </w:p>
        </w:tc>
        <w:tc>
          <w:tcPr>
            <w:tcW w:w="1170" w:type="dxa"/>
            <w:tcBorders>
              <w:top w:val="nil"/>
              <w:left w:val="nil"/>
              <w:bottom w:val="single" w:sz="8" w:space="0" w:color="BFBFBF"/>
              <w:right w:val="single" w:sz="8" w:space="0" w:color="BFBFBF"/>
            </w:tcBorders>
          </w:tcPr>
          <w:p w:rsidR="008B742A" w:rsidRPr="00442E07" w:rsidP="008B742A" w14:paraId="78153A3D" w14:textId="77777777">
            <w:pPr>
              <w:jc w:val="right"/>
              <w:rPr>
                <w:rFonts w:ascii="Times New Roman" w:hAnsi="Times New Roman"/>
                <w:szCs w:val="24"/>
              </w:rPr>
            </w:pPr>
            <w:r>
              <w:rPr>
                <w:rFonts w:ascii="Times New Roman" w:hAnsi="Times New Roman"/>
                <w:szCs w:val="24"/>
              </w:rPr>
              <w:t>108</w:t>
            </w:r>
          </w:p>
        </w:tc>
        <w:tc>
          <w:tcPr>
            <w:tcW w:w="1620" w:type="dxa"/>
            <w:tcBorders>
              <w:top w:val="nil"/>
              <w:left w:val="nil"/>
              <w:bottom w:val="single" w:sz="8" w:space="0" w:color="BFBFBF"/>
              <w:right w:val="single" w:sz="8" w:space="0" w:color="BFBFBF"/>
            </w:tcBorders>
          </w:tcPr>
          <w:p w:rsidR="008B742A" w:rsidRPr="00442E07" w:rsidP="008B742A" w14:paraId="616834DD" w14:textId="77777777">
            <w:pPr>
              <w:jc w:val="right"/>
              <w:rPr>
                <w:rFonts w:ascii="Times New Roman" w:hAnsi="Times New Roman"/>
                <w:szCs w:val="24"/>
              </w:rPr>
            </w:pPr>
            <w:r>
              <w:rPr>
                <w:rFonts w:ascii="Times New Roman" w:hAnsi="Times New Roman"/>
                <w:szCs w:val="24"/>
              </w:rPr>
              <w:t>108x39</w:t>
            </w:r>
            <w:r w:rsidR="008C71D0">
              <w:rPr>
                <w:rFonts w:ascii="Times New Roman" w:hAnsi="Times New Roman"/>
                <w:szCs w:val="24"/>
              </w:rPr>
              <w:t>=4212</w:t>
            </w:r>
          </w:p>
        </w:tc>
        <w:tc>
          <w:tcPr>
            <w:tcW w:w="990" w:type="dxa"/>
          </w:tcPr>
          <w:p w:rsidR="008B742A" w:rsidRPr="00442E07" w:rsidP="008B742A" w14:paraId="75C0E21E" w14:textId="77777777">
            <w:pPr>
              <w:jc w:val="right"/>
              <w:rPr>
                <w:rFonts w:ascii="Times New Roman" w:hAnsi="Times New Roman"/>
                <w:szCs w:val="24"/>
              </w:rPr>
            </w:pPr>
            <w:r>
              <w:rPr>
                <w:rFonts w:ascii="Times New Roman" w:hAnsi="Times New Roman"/>
                <w:szCs w:val="24"/>
              </w:rPr>
              <w:t>.</w:t>
            </w:r>
            <w:r w:rsidR="00055726">
              <w:rPr>
                <w:rFonts w:ascii="Times New Roman" w:hAnsi="Times New Roman"/>
                <w:szCs w:val="24"/>
              </w:rPr>
              <w:t>50</w:t>
            </w:r>
          </w:p>
        </w:tc>
        <w:tc>
          <w:tcPr>
            <w:tcW w:w="1170" w:type="dxa"/>
          </w:tcPr>
          <w:p w:rsidR="008B742A" w:rsidRPr="00442E07" w:rsidP="008B742A" w14:paraId="03AF7EF4" w14:textId="77777777">
            <w:pPr>
              <w:pStyle w:val="EndnoteText"/>
              <w:tabs>
                <w:tab w:val="clear" w:pos="-720"/>
              </w:tabs>
              <w:suppressAutoHyphens w:val="0"/>
              <w:jc w:val="right"/>
              <w:rPr>
                <w:rFonts w:ascii="Times New Roman" w:hAnsi="Times New Roman"/>
                <w:szCs w:val="24"/>
              </w:rPr>
            </w:pPr>
            <w:r>
              <w:rPr>
                <w:rFonts w:ascii="Times New Roman" w:hAnsi="Times New Roman"/>
                <w:szCs w:val="24"/>
              </w:rPr>
              <w:t>2106</w:t>
            </w:r>
          </w:p>
        </w:tc>
        <w:tc>
          <w:tcPr>
            <w:tcW w:w="1260" w:type="dxa"/>
          </w:tcPr>
          <w:p w:rsidR="008B742A" w:rsidRPr="00442E07" w:rsidP="008B742A" w14:paraId="7EA61966" w14:textId="77777777">
            <w:pPr>
              <w:jc w:val="right"/>
              <w:rPr>
                <w:rFonts w:ascii="Times New Roman" w:hAnsi="Times New Roman"/>
                <w:szCs w:val="24"/>
              </w:rPr>
            </w:pPr>
            <w:r>
              <w:rPr>
                <w:rFonts w:ascii="Times New Roman" w:hAnsi="Times New Roman"/>
                <w:szCs w:val="24"/>
              </w:rPr>
              <w:t>$49.98</w:t>
            </w:r>
          </w:p>
        </w:tc>
        <w:tc>
          <w:tcPr>
            <w:tcW w:w="1620" w:type="dxa"/>
          </w:tcPr>
          <w:p w:rsidR="008B742A" w:rsidRPr="00442E07" w:rsidP="008B742A" w14:paraId="45295830" w14:textId="77777777">
            <w:pPr>
              <w:jc w:val="right"/>
              <w:rPr>
                <w:rFonts w:ascii="Times New Roman" w:hAnsi="Times New Roman"/>
                <w:szCs w:val="24"/>
              </w:rPr>
            </w:pPr>
            <w:r>
              <w:rPr>
                <w:rFonts w:ascii="Times New Roman" w:hAnsi="Times New Roman"/>
                <w:szCs w:val="24"/>
              </w:rPr>
              <w:t>$</w:t>
            </w:r>
            <w:r w:rsidR="00007203">
              <w:rPr>
                <w:rFonts w:ascii="Times New Roman" w:hAnsi="Times New Roman"/>
                <w:szCs w:val="24"/>
              </w:rPr>
              <w:t>105,257.88</w:t>
            </w:r>
          </w:p>
        </w:tc>
      </w:tr>
      <w:tr w14:paraId="4BCCA3FD" w14:textId="77777777" w:rsidTr="009869A5">
        <w:tblPrEx>
          <w:tblW w:w="9175" w:type="dxa"/>
          <w:tblLayout w:type="fixed"/>
          <w:tblLook w:val="0020"/>
        </w:tblPrEx>
        <w:tc>
          <w:tcPr>
            <w:tcW w:w="1345" w:type="dxa"/>
          </w:tcPr>
          <w:p w:rsidR="008B742A" w:rsidRPr="009C37AF" w:rsidP="008B742A" w14:paraId="66E2874A" w14:textId="77777777">
            <w:pPr>
              <w:rPr>
                <w:rFonts w:asciiTheme="minorHAnsi" w:hAnsiTheme="minorHAnsi" w:cstheme="minorHAnsi"/>
                <w:szCs w:val="24"/>
              </w:rPr>
            </w:pPr>
            <w:r>
              <w:rPr>
                <w:rFonts w:asciiTheme="minorHAnsi" w:hAnsiTheme="minorHAnsi" w:cstheme="minorHAnsi"/>
                <w:szCs w:val="24"/>
              </w:rPr>
              <w:t>Public Institutions</w:t>
            </w:r>
          </w:p>
        </w:tc>
        <w:tc>
          <w:tcPr>
            <w:tcW w:w="1170" w:type="dxa"/>
            <w:tcBorders>
              <w:top w:val="nil"/>
              <w:left w:val="nil"/>
              <w:bottom w:val="single" w:sz="8" w:space="0" w:color="BFBFBF"/>
              <w:right w:val="single" w:sz="8" w:space="0" w:color="BFBFBF"/>
            </w:tcBorders>
          </w:tcPr>
          <w:p w:rsidR="008B742A" w:rsidRPr="00442E07" w:rsidP="008B742A" w14:paraId="1B6D1640" w14:textId="77777777">
            <w:pPr>
              <w:jc w:val="right"/>
              <w:rPr>
                <w:rFonts w:ascii="Times New Roman" w:hAnsi="Times New Roman"/>
                <w:szCs w:val="24"/>
              </w:rPr>
            </w:pPr>
            <w:r>
              <w:rPr>
                <w:rFonts w:ascii="Times New Roman" w:hAnsi="Times New Roman"/>
                <w:szCs w:val="24"/>
              </w:rPr>
              <w:t>155</w:t>
            </w:r>
          </w:p>
        </w:tc>
        <w:tc>
          <w:tcPr>
            <w:tcW w:w="1620" w:type="dxa"/>
            <w:tcBorders>
              <w:top w:val="nil"/>
              <w:left w:val="nil"/>
              <w:bottom w:val="single" w:sz="8" w:space="0" w:color="BFBFBF"/>
              <w:right w:val="single" w:sz="8" w:space="0" w:color="BFBFBF"/>
            </w:tcBorders>
          </w:tcPr>
          <w:p w:rsidR="008B742A" w:rsidRPr="00442E07" w:rsidP="008B742A" w14:paraId="42FB4C19" w14:textId="77777777">
            <w:pPr>
              <w:jc w:val="right"/>
              <w:rPr>
                <w:rFonts w:ascii="Times New Roman" w:hAnsi="Times New Roman"/>
                <w:szCs w:val="24"/>
              </w:rPr>
            </w:pPr>
            <w:r>
              <w:rPr>
                <w:rFonts w:ascii="Times New Roman" w:hAnsi="Times New Roman"/>
                <w:szCs w:val="24"/>
              </w:rPr>
              <w:t>155x39=</w:t>
            </w:r>
            <w:r w:rsidR="0024368A">
              <w:rPr>
                <w:rFonts w:ascii="Times New Roman" w:hAnsi="Times New Roman"/>
                <w:szCs w:val="24"/>
              </w:rPr>
              <w:t>6045</w:t>
            </w:r>
          </w:p>
        </w:tc>
        <w:tc>
          <w:tcPr>
            <w:tcW w:w="990" w:type="dxa"/>
          </w:tcPr>
          <w:p w:rsidR="008B742A" w:rsidRPr="00442E07" w:rsidP="008B742A" w14:paraId="3DA3336C" w14:textId="77777777">
            <w:pPr>
              <w:jc w:val="right"/>
              <w:rPr>
                <w:rFonts w:ascii="Times New Roman" w:hAnsi="Times New Roman"/>
                <w:szCs w:val="24"/>
              </w:rPr>
            </w:pPr>
            <w:r>
              <w:rPr>
                <w:rFonts w:ascii="Times New Roman" w:hAnsi="Times New Roman"/>
                <w:szCs w:val="24"/>
              </w:rPr>
              <w:t>.</w:t>
            </w:r>
            <w:r w:rsidR="00055726">
              <w:rPr>
                <w:rFonts w:ascii="Times New Roman" w:hAnsi="Times New Roman"/>
                <w:szCs w:val="24"/>
              </w:rPr>
              <w:t>50</w:t>
            </w:r>
          </w:p>
        </w:tc>
        <w:tc>
          <w:tcPr>
            <w:tcW w:w="1170" w:type="dxa"/>
          </w:tcPr>
          <w:p w:rsidR="008B742A" w:rsidRPr="00442E07" w:rsidP="008B742A" w14:paraId="38F895FE" w14:textId="77777777">
            <w:pPr>
              <w:jc w:val="right"/>
              <w:rPr>
                <w:rFonts w:ascii="Times New Roman" w:hAnsi="Times New Roman"/>
                <w:szCs w:val="24"/>
              </w:rPr>
            </w:pPr>
            <w:r>
              <w:rPr>
                <w:rFonts w:ascii="Times New Roman" w:hAnsi="Times New Roman"/>
                <w:szCs w:val="24"/>
              </w:rPr>
              <w:t>3022.50</w:t>
            </w:r>
          </w:p>
        </w:tc>
        <w:tc>
          <w:tcPr>
            <w:tcW w:w="1260" w:type="dxa"/>
          </w:tcPr>
          <w:p w:rsidR="008B742A" w:rsidRPr="00442E07" w:rsidP="008B742A" w14:paraId="339F105C" w14:textId="77777777">
            <w:pPr>
              <w:jc w:val="right"/>
              <w:rPr>
                <w:rFonts w:ascii="Times New Roman" w:hAnsi="Times New Roman"/>
                <w:szCs w:val="24"/>
              </w:rPr>
            </w:pPr>
            <w:r>
              <w:rPr>
                <w:rFonts w:ascii="Times New Roman" w:hAnsi="Times New Roman"/>
                <w:szCs w:val="24"/>
              </w:rPr>
              <w:t>$49.98</w:t>
            </w:r>
          </w:p>
        </w:tc>
        <w:tc>
          <w:tcPr>
            <w:tcW w:w="1620" w:type="dxa"/>
          </w:tcPr>
          <w:p w:rsidR="008B742A" w:rsidRPr="00442E07" w:rsidP="008B742A" w14:paraId="78436027" w14:textId="77777777">
            <w:pPr>
              <w:jc w:val="right"/>
              <w:rPr>
                <w:rFonts w:ascii="Times New Roman" w:hAnsi="Times New Roman"/>
                <w:szCs w:val="24"/>
              </w:rPr>
            </w:pPr>
            <w:r>
              <w:rPr>
                <w:rFonts w:ascii="Times New Roman" w:hAnsi="Times New Roman"/>
                <w:szCs w:val="24"/>
              </w:rPr>
              <w:t>$</w:t>
            </w:r>
            <w:r w:rsidR="00007203">
              <w:rPr>
                <w:rFonts w:ascii="Times New Roman" w:hAnsi="Times New Roman"/>
                <w:szCs w:val="24"/>
              </w:rPr>
              <w:t>151,064.55</w:t>
            </w:r>
          </w:p>
        </w:tc>
      </w:tr>
      <w:tr w14:paraId="4606ADD8" w14:textId="77777777" w:rsidTr="009869A5">
        <w:tblPrEx>
          <w:tblW w:w="9175" w:type="dxa"/>
          <w:tblLayout w:type="fixed"/>
          <w:tblLook w:val="0020"/>
        </w:tblPrEx>
        <w:tc>
          <w:tcPr>
            <w:tcW w:w="1345" w:type="dxa"/>
          </w:tcPr>
          <w:p w:rsidR="008B742A" w:rsidRPr="00442E07" w:rsidP="008B742A" w14:paraId="04BC0970" w14:textId="77777777">
            <w:pPr>
              <w:rPr>
                <w:rFonts w:ascii="Times New Roman" w:hAnsi="Times New Roman"/>
                <w:szCs w:val="24"/>
              </w:rPr>
            </w:pPr>
            <w:r>
              <w:rPr>
                <w:rFonts w:ascii="Times New Roman" w:hAnsi="Times New Roman"/>
                <w:szCs w:val="24"/>
              </w:rPr>
              <w:t>Annualized Totals</w:t>
            </w:r>
          </w:p>
        </w:tc>
        <w:tc>
          <w:tcPr>
            <w:tcW w:w="1170" w:type="dxa"/>
            <w:tcBorders>
              <w:top w:val="nil"/>
              <w:left w:val="nil"/>
              <w:bottom w:val="single" w:sz="8" w:space="0" w:color="BFBFBF"/>
              <w:right w:val="single" w:sz="8" w:space="0" w:color="BFBFBF"/>
            </w:tcBorders>
          </w:tcPr>
          <w:p w:rsidR="008B742A" w:rsidRPr="00442E07" w:rsidP="008B742A" w14:paraId="3CC2D013" w14:textId="77777777">
            <w:pPr>
              <w:jc w:val="right"/>
              <w:rPr>
                <w:rFonts w:ascii="Times New Roman" w:hAnsi="Times New Roman"/>
                <w:szCs w:val="24"/>
              </w:rPr>
            </w:pPr>
            <w:r>
              <w:rPr>
                <w:rFonts w:ascii="Times New Roman" w:hAnsi="Times New Roman"/>
                <w:szCs w:val="24"/>
              </w:rPr>
              <w:t>267</w:t>
            </w:r>
          </w:p>
        </w:tc>
        <w:tc>
          <w:tcPr>
            <w:tcW w:w="1620" w:type="dxa"/>
            <w:tcBorders>
              <w:top w:val="nil"/>
              <w:left w:val="nil"/>
              <w:bottom w:val="single" w:sz="8" w:space="0" w:color="BFBFBF"/>
              <w:right w:val="single" w:sz="8" w:space="0" w:color="BFBFBF"/>
            </w:tcBorders>
          </w:tcPr>
          <w:p w:rsidR="008B742A" w:rsidRPr="00442E07" w:rsidP="008B742A" w14:paraId="18B54032" w14:textId="77777777">
            <w:pPr>
              <w:jc w:val="right"/>
              <w:rPr>
                <w:rFonts w:ascii="Times New Roman" w:hAnsi="Times New Roman"/>
                <w:szCs w:val="24"/>
              </w:rPr>
            </w:pPr>
            <w:r>
              <w:rPr>
                <w:rFonts w:ascii="Times New Roman" w:hAnsi="Times New Roman"/>
                <w:szCs w:val="24"/>
              </w:rPr>
              <w:t>10,413</w:t>
            </w:r>
          </w:p>
        </w:tc>
        <w:tc>
          <w:tcPr>
            <w:tcW w:w="990" w:type="dxa"/>
          </w:tcPr>
          <w:p w:rsidR="008B742A" w:rsidRPr="00442E07" w:rsidP="008B742A" w14:paraId="7C6C8917" w14:textId="77777777">
            <w:pPr>
              <w:jc w:val="right"/>
              <w:rPr>
                <w:rFonts w:ascii="Times New Roman" w:hAnsi="Times New Roman"/>
                <w:szCs w:val="24"/>
              </w:rPr>
            </w:pPr>
            <w:r>
              <w:rPr>
                <w:rFonts w:ascii="Times New Roman" w:hAnsi="Times New Roman"/>
                <w:szCs w:val="24"/>
              </w:rPr>
              <w:t>.</w:t>
            </w:r>
            <w:r w:rsidR="00055726">
              <w:rPr>
                <w:rFonts w:ascii="Times New Roman" w:hAnsi="Times New Roman"/>
                <w:szCs w:val="24"/>
              </w:rPr>
              <w:t>50</w:t>
            </w:r>
          </w:p>
        </w:tc>
        <w:tc>
          <w:tcPr>
            <w:tcW w:w="1170" w:type="dxa"/>
          </w:tcPr>
          <w:p w:rsidR="008B742A" w:rsidRPr="00442E07" w:rsidP="008B742A" w14:paraId="6AD429C5" w14:textId="77777777">
            <w:pPr>
              <w:jc w:val="right"/>
              <w:rPr>
                <w:rFonts w:ascii="Times New Roman" w:hAnsi="Times New Roman"/>
                <w:szCs w:val="24"/>
              </w:rPr>
            </w:pPr>
            <w:r>
              <w:rPr>
                <w:rFonts w:ascii="Times New Roman" w:hAnsi="Times New Roman"/>
                <w:szCs w:val="24"/>
              </w:rPr>
              <w:t>5206</w:t>
            </w:r>
            <w:r w:rsidR="00C525D4">
              <w:rPr>
                <w:rFonts w:ascii="Times New Roman" w:hAnsi="Times New Roman"/>
                <w:szCs w:val="24"/>
              </w:rPr>
              <w:t>.50</w:t>
            </w:r>
          </w:p>
        </w:tc>
        <w:tc>
          <w:tcPr>
            <w:tcW w:w="1260" w:type="dxa"/>
          </w:tcPr>
          <w:p w:rsidR="008B742A" w:rsidRPr="00442E07" w:rsidP="008B742A" w14:paraId="6853527D" w14:textId="77777777">
            <w:pPr>
              <w:jc w:val="right"/>
              <w:rPr>
                <w:rFonts w:ascii="Times New Roman" w:hAnsi="Times New Roman"/>
                <w:szCs w:val="24"/>
              </w:rPr>
            </w:pPr>
            <w:r>
              <w:rPr>
                <w:rFonts w:ascii="Times New Roman" w:hAnsi="Times New Roman"/>
                <w:szCs w:val="24"/>
              </w:rPr>
              <w:t>$49.98</w:t>
            </w:r>
          </w:p>
        </w:tc>
        <w:tc>
          <w:tcPr>
            <w:tcW w:w="1620" w:type="dxa"/>
          </w:tcPr>
          <w:p w:rsidR="008B742A" w:rsidRPr="00442E07" w:rsidP="008B742A" w14:paraId="5F908337" w14:textId="77777777">
            <w:pPr>
              <w:jc w:val="right"/>
              <w:rPr>
                <w:rFonts w:ascii="Times New Roman" w:hAnsi="Times New Roman"/>
                <w:szCs w:val="24"/>
              </w:rPr>
            </w:pPr>
            <w:bookmarkStart w:id="3" w:name="_Hlk121164293"/>
            <w:r>
              <w:rPr>
                <w:rFonts w:ascii="Times New Roman" w:hAnsi="Times New Roman"/>
                <w:szCs w:val="24"/>
              </w:rPr>
              <w:t>$</w:t>
            </w:r>
            <w:bookmarkEnd w:id="3"/>
            <w:r w:rsidR="00007203">
              <w:rPr>
                <w:rFonts w:ascii="Times New Roman" w:hAnsi="Times New Roman"/>
                <w:szCs w:val="24"/>
              </w:rPr>
              <w:t>260,220.</w:t>
            </w:r>
            <w:r w:rsidR="00BB73D2">
              <w:rPr>
                <w:rFonts w:ascii="Times New Roman" w:hAnsi="Times New Roman"/>
                <w:szCs w:val="24"/>
              </w:rPr>
              <w:t>87</w:t>
            </w:r>
          </w:p>
        </w:tc>
      </w:tr>
      <w:bookmarkEnd w:id="1"/>
      <w:bookmarkEnd w:id="2"/>
    </w:tbl>
    <w:p w:rsidR="009C37AF" w:rsidP="009C37AF" w14:paraId="094821A5" w14:textId="77777777"/>
    <w:p w:rsidR="00892054" w:rsidRPr="00FA48B5" w:rsidP="00892054" w14:paraId="2F3F792E" w14:textId="77777777">
      <w:pPr>
        <w:ind w:left="720"/>
        <w:rPr>
          <w:rFonts w:asciiTheme="minorHAnsi" w:hAnsiTheme="minorHAnsi" w:cstheme="minorHAnsi"/>
          <w:color w:val="000000"/>
          <w:szCs w:val="24"/>
        </w:rPr>
      </w:pPr>
      <w:bookmarkStart w:id="4" w:name="_Hlk109719052"/>
      <w:r w:rsidRPr="00FA48B5">
        <w:rPr>
          <w:rFonts w:asciiTheme="minorHAnsi" w:hAnsiTheme="minorHAnsi" w:cstheme="minorHAnsi"/>
          <w:color w:val="000000" w:themeColor="text1"/>
          <w:szCs w:val="24"/>
        </w:rPr>
        <w:t>The monetized net cost of the increased burden for institutions was calculated using wage data developed using Bureau of Labor Statistics (BLS) data.  For institutions we have used the median hourly wage for Education Administrators, Postsecondary, $</w:t>
      </w:r>
      <w:r w:rsidR="00802A8D">
        <w:rPr>
          <w:rFonts w:asciiTheme="minorHAnsi" w:hAnsiTheme="minorHAnsi" w:cstheme="minorHAnsi"/>
          <w:color w:val="000000" w:themeColor="text1"/>
          <w:szCs w:val="24"/>
        </w:rPr>
        <w:t>49.98</w:t>
      </w:r>
      <w:r w:rsidRPr="00FA48B5">
        <w:rPr>
          <w:rFonts w:asciiTheme="minorHAnsi" w:hAnsiTheme="minorHAnsi" w:cstheme="minorHAnsi"/>
          <w:color w:val="000000" w:themeColor="text1"/>
          <w:szCs w:val="24"/>
        </w:rPr>
        <w:t xml:space="preserve"> per hour</w:t>
      </w:r>
      <w:r w:rsidR="0073743D">
        <w:rPr>
          <w:rFonts w:asciiTheme="minorHAnsi" w:hAnsiTheme="minorHAnsi" w:cstheme="minorHAnsi"/>
          <w:color w:val="000000" w:themeColor="text1"/>
          <w:szCs w:val="24"/>
        </w:rPr>
        <w:t>,</w:t>
      </w:r>
      <w:r w:rsidRPr="00FA48B5">
        <w:rPr>
          <w:rFonts w:asciiTheme="minorHAnsi" w:hAnsiTheme="minorHAnsi" w:cstheme="minorHAnsi"/>
          <w:color w:val="000000" w:themeColor="text1"/>
          <w:szCs w:val="24"/>
        </w:rPr>
        <w:t xml:space="preserve"> according to BLS as of May </w:t>
      </w:r>
      <w:r w:rsidR="00802A8D">
        <w:rPr>
          <w:rFonts w:asciiTheme="minorHAnsi" w:hAnsiTheme="minorHAnsi" w:cstheme="minorHAnsi"/>
          <w:color w:val="000000" w:themeColor="text1"/>
          <w:szCs w:val="24"/>
        </w:rPr>
        <w:t>2024</w:t>
      </w:r>
      <w:r w:rsidRPr="00FA48B5">
        <w:rPr>
          <w:rFonts w:asciiTheme="minorHAnsi" w:hAnsiTheme="minorHAnsi" w:cstheme="minorHAnsi"/>
          <w:color w:val="000000" w:themeColor="text1"/>
          <w:szCs w:val="24"/>
        </w:rPr>
        <w:t xml:space="preserve">. </w:t>
      </w:r>
      <w:hyperlink r:id="rId13" w:history="1">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bookmarkEnd w:id="4"/>
    <w:p w:rsidR="00892054" w:rsidRPr="009C37AF" w:rsidP="009C37AF" w14:paraId="3118A311" w14:textId="77777777"/>
    <w:p w:rsidR="00F31BEC" w:rsidRPr="00AF5D1A" w:rsidP="000446F5" w14:paraId="19349659"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11789FA3" w14:textId="77777777">
      <w:pPr>
        <w:pStyle w:val="ListParagraph"/>
        <w:tabs>
          <w:tab w:val="left" w:pos="-720"/>
        </w:tabs>
        <w:suppressAutoHyphens/>
        <w:rPr>
          <w:rStyle w:val="a"/>
          <w:rFonts w:ascii="Times New Roman" w:hAnsi="Times New Roman"/>
          <w:szCs w:val="24"/>
        </w:rPr>
      </w:pPr>
    </w:p>
    <w:p w:rsidR="00043C32" w:rsidRPr="00ED7195" w:rsidP="00AD381B" w14:paraId="5B90F8B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3A38AA1" w14:textId="77777777">
      <w:pPr>
        <w:tabs>
          <w:tab w:val="left" w:pos="-720"/>
        </w:tabs>
        <w:suppressAutoHyphens/>
        <w:rPr>
          <w:rFonts w:ascii="Times New Roman" w:hAnsi="Times New Roman"/>
          <w:b/>
          <w:szCs w:val="24"/>
        </w:rPr>
      </w:pPr>
    </w:p>
    <w:p w:rsidR="00043C32" w:rsidRPr="00ED7195" w:rsidP="007C700A" w14:paraId="140A3B20"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ED7195">
        <w:rPr>
          <w:rFonts w:ascii="Times New Roman" w:hAnsi="Times New Roman"/>
          <w:b/>
          <w:szCs w:val="24"/>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78AFF0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5A66CFE3"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35422C94" w14:textId="77777777">
      <w:pPr>
        <w:tabs>
          <w:tab w:val="left" w:pos="-720"/>
        </w:tabs>
        <w:suppressAutoHyphens/>
        <w:rPr>
          <w:rFonts w:ascii="Times New Roman" w:hAnsi="Times New Roman"/>
          <w:b/>
          <w:szCs w:val="24"/>
        </w:rPr>
      </w:pPr>
    </w:p>
    <w:p w:rsidR="00043C32" w:rsidRPr="00ED7195" w:rsidP="00AD381B" w14:paraId="46B4FFE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28CB495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19C88BE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8F18D9" w:rsidP="00AD381B" w14:paraId="3DAD0BB1" w14:textId="77777777">
      <w:pPr>
        <w:tabs>
          <w:tab w:val="left" w:pos="-720"/>
        </w:tabs>
        <w:suppressAutoHyphens/>
        <w:rPr>
          <w:rFonts w:ascii="Times New Roman" w:hAnsi="Times New Roman"/>
          <w:b/>
          <w:szCs w:val="24"/>
        </w:rPr>
      </w:pPr>
    </w:p>
    <w:p w:rsidR="008F18D9" w:rsidP="008F18D9" w14:paraId="32A66429" w14:textId="77777777">
      <w:pPr>
        <w:tabs>
          <w:tab w:val="left" w:pos="-720"/>
        </w:tabs>
        <w:suppressAutoHyphens/>
        <w:ind w:left="720"/>
        <w:rPr>
          <w:rFonts w:asciiTheme="minorHAnsi" w:hAnsiTheme="minorHAnsi" w:cstheme="minorHAnsi"/>
          <w:szCs w:val="24"/>
        </w:rPr>
      </w:pPr>
      <w:r w:rsidRPr="00DE4A87">
        <w:rPr>
          <w:rFonts w:asciiTheme="minorHAnsi" w:hAnsiTheme="minorHAnsi" w:cstheme="minorHAnsi"/>
          <w:szCs w:val="24"/>
        </w:rPr>
        <w:t xml:space="preserve">There is no cost burden to respondents or record-keepers resulting from the information collection other than shown in items 12 and 14.  </w:t>
      </w:r>
    </w:p>
    <w:p w:rsidR="008F18D9" w:rsidP="008F18D9" w14:paraId="345D5116" w14:textId="77777777">
      <w:pPr>
        <w:tabs>
          <w:tab w:val="left" w:pos="-720"/>
        </w:tabs>
        <w:suppressAutoHyphens/>
        <w:ind w:left="720"/>
        <w:rPr>
          <w:rFonts w:ascii="Times New Roman" w:hAnsi="Times New Roman"/>
          <w:b/>
          <w:szCs w:val="24"/>
        </w:rPr>
      </w:pPr>
    </w:p>
    <w:p w:rsidR="00043C32" w:rsidRPr="00534B4A" w:rsidP="00A82F8F" w14:paraId="7AFC8AD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456634E3" w14:textId="77777777">
      <w:pPr>
        <w:tabs>
          <w:tab w:val="left" w:pos="-720"/>
        </w:tabs>
        <w:suppressAutoHyphens/>
        <w:ind w:left="720"/>
        <w:rPr>
          <w:rFonts w:ascii="Times New Roman" w:hAnsi="Times New Roman"/>
          <w:szCs w:val="24"/>
        </w:rPr>
      </w:pPr>
    </w:p>
    <w:p w:rsidR="00803B54" w:rsidP="005F4E11" w14:paraId="7D07D4E2" w14:textId="77777777">
      <w:pPr>
        <w:tabs>
          <w:tab w:val="left" w:pos="-720"/>
        </w:tabs>
        <w:suppressAutoHyphens/>
        <w:ind w:left="720"/>
        <w:rPr>
          <w:rFonts w:asciiTheme="minorHAnsi" w:hAnsiTheme="minorHAnsi" w:cstheme="minorHAnsi"/>
          <w:szCs w:val="24"/>
        </w:rPr>
      </w:pPr>
      <w:r w:rsidRPr="00DE4A87">
        <w:rPr>
          <w:rFonts w:asciiTheme="minorHAnsi" w:hAnsiTheme="minorHAnsi" w:cstheme="minorHAnsi"/>
          <w:szCs w:val="24"/>
        </w:rPr>
        <w:t>The total government expense for capital and start-up costs for this Information Collection is $0</w:t>
      </w:r>
      <w:r>
        <w:rPr>
          <w:rFonts w:asciiTheme="minorHAnsi" w:hAnsiTheme="minorHAnsi" w:cstheme="minorHAnsi"/>
          <w:szCs w:val="24"/>
        </w:rPr>
        <w:t xml:space="preserve">.  The </w:t>
      </w:r>
      <w:r w:rsidR="00C92A4C">
        <w:rPr>
          <w:rFonts w:asciiTheme="minorHAnsi" w:hAnsiTheme="minorHAnsi" w:cstheme="minorHAnsi"/>
          <w:szCs w:val="24"/>
        </w:rPr>
        <w:t xml:space="preserve">reporting </w:t>
      </w:r>
      <w:r>
        <w:rPr>
          <w:rFonts w:asciiTheme="minorHAnsi" w:hAnsiTheme="minorHAnsi" w:cstheme="minorHAnsi"/>
          <w:szCs w:val="24"/>
        </w:rPr>
        <w:t>portal and public-facing website have already been created and are in use.</w:t>
      </w:r>
    </w:p>
    <w:p w:rsidR="00803B54" w:rsidP="005F4E11" w14:paraId="307EDBF0" w14:textId="77777777">
      <w:pPr>
        <w:tabs>
          <w:tab w:val="left" w:pos="-720"/>
        </w:tabs>
        <w:suppressAutoHyphens/>
        <w:ind w:left="720"/>
        <w:rPr>
          <w:rFonts w:ascii="Times New Roman" w:hAnsi="Times New Roman"/>
          <w:szCs w:val="24"/>
        </w:rPr>
      </w:pPr>
    </w:p>
    <w:p w:rsidR="00771C7A" w:rsidRPr="00DE4A87" w:rsidP="00237D01" w14:paraId="0DC84727"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Bidi"/>
        </w:rPr>
      </w:pPr>
      <w:r w:rsidRPr="00DE4A87">
        <w:rPr>
          <w:rFonts w:asciiTheme="minorHAnsi" w:hAnsiTheme="minorHAnsi" w:cstheme="minorBidi"/>
        </w:rPr>
        <w:t>REVIEWERS COSTS:  Identifies the amount of time for a reviewer to examine the information submitted through the disclosure.  This information is then reported out to the appropriate officials.</w:t>
      </w:r>
    </w:p>
    <w:p w:rsidR="00771C7A" w:rsidRPr="00DE4A87" w:rsidP="00771C7A" w14:paraId="575E692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tbl>
      <w:tblPr>
        <w:tblW w:w="765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440"/>
        <w:gridCol w:w="1440"/>
        <w:gridCol w:w="1620"/>
      </w:tblGrid>
      <w:tr w14:paraId="03BF9C27" w14:textId="77777777" w:rsidTr="00012A31">
        <w:tblPrEx>
          <w:tblW w:w="765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1620" w:type="dxa"/>
          </w:tcPr>
          <w:p w:rsidR="00771C7A" w:rsidRPr="00DE4A87" w:rsidP="00012A31" w14:paraId="5BF4C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Number of Disclosures Submitted Annually</w:t>
            </w:r>
          </w:p>
        </w:tc>
        <w:tc>
          <w:tcPr>
            <w:tcW w:w="1530" w:type="dxa"/>
          </w:tcPr>
          <w:p w:rsidR="00771C7A" w:rsidRPr="00DE4A87" w:rsidP="00012A31" w14:paraId="58E990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Hours Required for ED Review</w:t>
            </w:r>
          </w:p>
        </w:tc>
        <w:tc>
          <w:tcPr>
            <w:tcW w:w="1440" w:type="dxa"/>
          </w:tcPr>
          <w:p w:rsidR="00771C7A" w:rsidRPr="00DE4A87" w:rsidP="00012A31" w14:paraId="135636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Total Hours</w:t>
            </w:r>
          </w:p>
        </w:tc>
        <w:tc>
          <w:tcPr>
            <w:tcW w:w="1440" w:type="dxa"/>
          </w:tcPr>
          <w:p w:rsidR="00771C7A" w:rsidRPr="00DE4A87" w:rsidP="00012A31" w14:paraId="6D853A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Average</w:t>
            </w:r>
          </w:p>
          <w:p w:rsidR="00771C7A" w:rsidRPr="00DE4A87" w:rsidP="00012A31" w14:paraId="2B23E5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Hourly</w:t>
            </w:r>
          </w:p>
          <w:p w:rsidR="00771C7A" w:rsidRPr="00DE4A87" w:rsidP="00012A31" w14:paraId="1B2DF4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Wage</w:t>
            </w:r>
          </w:p>
        </w:tc>
        <w:tc>
          <w:tcPr>
            <w:tcW w:w="1620" w:type="dxa"/>
          </w:tcPr>
          <w:p w:rsidR="00771C7A" w:rsidRPr="00DE4A87" w:rsidP="00012A31" w14:paraId="4D0CE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 xml:space="preserve">Estimated </w:t>
            </w:r>
            <w:r w:rsidR="008F18D9">
              <w:rPr>
                <w:rFonts w:asciiTheme="minorHAnsi" w:hAnsiTheme="minorHAnsi" w:cstheme="minorHAnsi"/>
              </w:rPr>
              <w:t xml:space="preserve">total </w:t>
            </w:r>
            <w:r w:rsidRPr="00DE4A87">
              <w:rPr>
                <w:rFonts w:asciiTheme="minorHAnsi" w:hAnsiTheme="minorHAnsi" w:cstheme="minorHAnsi"/>
              </w:rPr>
              <w:t>cost</w:t>
            </w:r>
            <w:r w:rsidR="008F6FBC">
              <w:rPr>
                <w:rFonts w:asciiTheme="minorHAnsi" w:hAnsiTheme="minorHAnsi" w:cstheme="minorHAnsi"/>
              </w:rPr>
              <w:t xml:space="preserve"> to the Federal government</w:t>
            </w:r>
          </w:p>
        </w:tc>
      </w:tr>
      <w:tr w14:paraId="7CE8F938" w14:textId="77777777" w:rsidTr="00012A31">
        <w:tblPrEx>
          <w:tblW w:w="7650" w:type="dxa"/>
          <w:tblInd w:w="810" w:type="dxa"/>
          <w:tblLayout w:type="fixed"/>
          <w:tblLook w:val="0000"/>
        </w:tblPrEx>
        <w:tc>
          <w:tcPr>
            <w:tcW w:w="1620" w:type="dxa"/>
          </w:tcPr>
          <w:p w:rsidR="00771C7A" w:rsidRPr="00DE4A87" w:rsidP="00012A31" w14:paraId="68D63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Pr>
                <w:rStyle w:val="a"/>
                <w:rFonts w:asciiTheme="minorHAnsi" w:hAnsiTheme="minorHAnsi" w:cstheme="minorHAnsi"/>
              </w:rPr>
              <w:t>5,206</w:t>
            </w:r>
          </w:p>
        </w:tc>
        <w:tc>
          <w:tcPr>
            <w:tcW w:w="1530" w:type="dxa"/>
          </w:tcPr>
          <w:p w:rsidR="00771C7A" w:rsidRPr="00DE4A87" w:rsidP="00012A31" w14:paraId="7CB72B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2</w:t>
            </w:r>
          </w:p>
        </w:tc>
        <w:tc>
          <w:tcPr>
            <w:tcW w:w="1440" w:type="dxa"/>
          </w:tcPr>
          <w:p w:rsidR="00771C7A" w:rsidRPr="00DE4A87" w:rsidP="00012A31" w14:paraId="1A08C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Pr>
                <w:rFonts w:asciiTheme="minorHAnsi" w:hAnsiTheme="minorHAnsi" w:cstheme="minorHAnsi"/>
              </w:rPr>
              <w:t>10,412</w:t>
            </w:r>
          </w:p>
        </w:tc>
        <w:tc>
          <w:tcPr>
            <w:tcW w:w="1440" w:type="dxa"/>
          </w:tcPr>
          <w:p w:rsidR="00771C7A" w:rsidRPr="00DE4A87" w:rsidP="00012A31" w14:paraId="5CCCA2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w:t>
            </w:r>
            <w:r w:rsidR="00CD3EFB">
              <w:rPr>
                <w:rFonts w:asciiTheme="minorHAnsi" w:hAnsiTheme="minorHAnsi" w:cstheme="minorHAnsi"/>
              </w:rPr>
              <w:t>66</w:t>
            </w:r>
          </w:p>
        </w:tc>
        <w:tc>
          <w:tcPr>
            <w:tcW w:w="1620" w:type="dxa"/>
          </w:tcPr>
          <w:p w:rsidR="00771C7A" w:rsidRPr="00DE4A87" w:rsidP="00012A31" w14:paraId="317BFE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DE4A87">
              <w:rPr>
                <w:rFonts w:asciiTheme="minorHAnsi" w:hAnsiTheme="minorHAnsi" w:cstheme="minorHAnsi"/>
              </w:rPr>
              <w:t>$</w:t>
            </w:r>
            <w:r w:rsidR="00627E96">
              <w:rPr>
                <w:rFonts w:asciiTheme="minorHAnsi" w:hAnsiTheme="minorHAnsi" w:cstheme="minorHAnsi"/>
              </w:rPr>
              <w:t>687,192</w:t>
            </w:r>
          </w:p>
        </w:tc>
      </w:tr>
    </w:tbl>
    <w:p w:rsidR="00534B4A" w:rsidP="005F4E11" w14:paraId="10ADC1A6" w14:textId="77777777">
      <w:pPr>
        <w:pStyle w:val="ListParagraph"/>
        <w:tabs>
          <w:tab w:val="left" w:pos="-720"/>
        </w:tabs>
        <w:suppressAutoHyphens/>
        <w:contextualSpacing w:val="0"/>
        <w:rPr>
          <w:rFonts w:ascii="Times New Roman" w:hAnsi="Times New Roman"/>
          <w:szCs w:val="24"/>
        </w:rPr>
      </w:pPr>
    </w:p>
    <w:p w:rsidR="00927E5E" w:rsidP="005F4E11" w14:paraId="74EAAAC9" w14:textId="77777777">
      <w:pPr>
        <w:pStyle w:val="ListParagraph"/>
        <w:tabs>
          <w:tab w:val="left" w:pos="-720"/>
        </w:tabs>
        <w:suppressAutoHyphens/>
        <w:contextualSpacing w:val="0"/>
        <w:rPr>
          <w:rFonts w:asciiTheme="minorHAnsi" w:hAnsiTheme="minorHAnsi" w:cstheme="minorHAnsi"/>
          <w:szCs w:val="24"/>
        </w:rPr>
      </w:pPr>
      <w:r>
        <w:rPr>
          <w:rFonts w:asciiTheme="minorHAnsi" w:hAnsiTheme="minorHAnsi" w:cstheme="minorHAnsi"/>
          <w:szCs w:val="24"/>
        </w:rPr>
        <w:t>The “Average Hourly Wage” is based on a GS13, Step 5 employee</w:t>
      </w:r>
      <w:r w:rsidR="00FB2D4B">
        <w:rPr>
          <w:rFonts w:asciiTheme="minorHAnsi" w:hAnsiTheme="minorHAnsi" w:cstheme="minorHAnsi"/>
          <w:szCs w:val="24"/>
        </w:rPr>
        <w:t xml:space="preserve"> in the Washington, D.C. locality</w:t>
      </w:r>
      <w:r>
        <w:rPr>
          <w:rFonts w:asciiTheme="minorHAnsi" w:hAnsiTheme="minorHAnsi" w:cstheme="minorHAnsi"/>
          <w:szCs w:val="24"/>
        </w:rPr>
        <w:t>.</w:t>
      </w:r>
    </w:p>
    <w:p w:rsidR="00CC2354" w:rsidRPr="00A71EB4" w:rsidP="005F4E11" w14:paraId="69A6C4AC" w14:textId="77777777">
      <w:pPr>
        <w:pStyle w:val="ListParagraph"/>
        <w:tabs>
          <w:tab w:val="left" w:pos="-720"/>
        </w:tabs>
        <w:suppressAutoHyphens/>
        <w:contextualSpacing w:val="0"/>
        <w:rPr>
          <w:rFonts w:asciiTheme="minorHAnsi" w:hAnsiTheme="minorHAnsi" w:cstheme="minorHAnsi"/>
          <w:szCs w:val="24"/>
        </w:rPr>
      </w:pPr>
    </w:p>
    <w:p w:rsidR="00800D30" w:rsidP="00800D30" w14:paraId="3DD3EAC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05E39F08" w14:textId="77777777">
      <w:pPr>
        <w:pStyle w:val="ListParagraph"/>
        <w:tabs>
          <w:tab w:val="left" w:pos="-720"/>
        </w:tabs>
        <w:suppressAutoHyphens/>
        <w:contextualSpacing w:val="0"/>
        <w:rPr>
          <w:rFonts w:ascii="Times New Roman" w:hAnsi="Times New Roman"/>
          <w:b/>
          <w:szCs w:val="24"/>
        </w:rPr>
      </w:pPr>
    </w:p>
    <w:p w:rsidR="00800D30" w:rsidRPr="00756FD3" w:rsidP="00800D30" w14:paraId="0858A03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4B08360D"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6219FF8" w14:textId="77777777" w:rsidTr="0052073E">
        <w:tblPrEx>
          <w:tblW w:w="9445" w:type="dxa"/>
          <w:tblLook w:val="04A0"/>
        </w:tblPrEx>
        <w:tc>
          <w:tcPr>
            <w:tcW w:w="2048" w:type="dxa"/>
            <w:shd w:val="clear" w:color="auto" w:fill="D9D9D9" w:themeFill="background1" w:themeFillShade="D9"/>
          </w:tcPr>
          <w:p w:rsidR="0052073E" w:rsidP="00534B4A" w14:paraId="150E6E29" w14:textId="77777777">
            <w:pPr>
              <w:tabs>
                <w:tab w:val="left" w:pos="-720"/>
              </w:tabs>
              <w:suppressAutoHyphens/>
              <w:rPr>
                <w:rFonts w:ascii="Times New Roman" w:hAnsi="Times New Roman"/>
                <w:b/>
                <w:szCs w:val="24"/>
              </w:rPr>
            </w:pPr>
          </w:p>
        </w:tc>
        <w:tc>
          <w:tcPr>
            <w:tcW w:w="2048" w:type="dxa"/>
          </w:tcPr>
          <w:p w:rsidR="0052073E" w:rsidP="00534B4A" w14:paraId="65A4E1C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17662B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35B4DA2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BB3B3C4" w14:textId="77777777" w:rsidTr="0052073E">
        <w:tblPrEx>
          <w:tblW w:w="9445" w:type="dxa"/>
          <w:tblLook w:val="04A0"/>
        </w:tblPrEx>
        <w:tc>
          <w:tcPr>
            <w:tcW w:w="2048" w:type="dxa"/>
          </w:tcPr>
          <w:p w:rsidR="0052073E" w:rsidP="00534B4A" w14:paraId="0302F34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33C4403" w14:textId="77777777">
            <w:pPr>
              <w:tabs>
                <w:tab w:val="left" w:pos="-720"/>
              </w:tabs>
              <w:suppressAutoHyphens/>
              <w:rPr>
                <w:rFonts w:ascii="Times New Roman" w:hAnsi="Times New Roman"/>
                <w:b/>
                <w:szCs w:val="24"/>
              </w:rPr>
            </w:pPr>
          </w:p>
        </w:tc>
        <w:tc>
          <w:tcPr>
            <w:tcW w:w="2829" w:type="dxa"/>
          </w:tcPr>
          <w:p w:rsidR="0052073E" w:rsidRPr="007A5F49" w:rsidP="007A5F49" w14:paraId="5A09F0AC" w14:textId="77777777">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5,206</w:t>
            </w:r>
          </w:p>
        </w:tc>
        <w:tc>
          <w:tcPr>
            <w:tcW w:w="2520" w:type="dxa"/>
          </w:tcPr>
          <w:p w:rsidR="0052073E" w:rsidP="00534B4A" w14:paraId="4A62CF33" w14:textId="77777777">
            <w:pPr>
              <w:tabs>
                <w:tab w:val="left" w:pos="-720"/>
              </w:tabs>
              <w:suppressAutoHyphens/>
              <w:rPr>
                <w:rFonts w:ascii="Times New Roman" w:hAnsi="Times New Roman"/>
                <w:b/>
                <w:szCs w:val="24"/>
              </w:rPr>
            </w:pPr>
          </w:p>
        </w:tc>
      </w:tr>
      <w:tr w14:paraId="61A48E08" w14:textId="77777777" w:rsidTr="0052073E">
        <w:tblPrEx>
          <w:tblW w:w="9445" w:type="dxa"/>
          <w:tblLook w:val="04A0"/>
        </w:tblPrEx>
        <w:tc>
          <w:tcPr>
            <w:tcW w:w="2048" w:type="dxa"/>
          </w:tcPr>
          <w:p w:rsidR="0052073E" w:rsidP="00534B4A" w14:paraId="480430A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3CC722E" w14:textId="77777777">
            <w:pPr>
              <w:tabs>
                <w:tab w:val="left" w:pos="-720"/>
              </w:tabs>
              <w:suppressAutoHyphens/>
              <w:rPr>
                <w:rFonts w:ascii="Times New Roman" w:hAnsi="Times New Roman"/>
                <w:b/>
                <w:szCs w:val="24"/>
              </w:rPr>
            </w:pPr>
          </w:p>
        </w:tc>
        <w:tc>
          <w:tcPr>
            <w:tcW w:w="2829" w:type="dxa"/>
          </w:tcPr>
          <w:p w:rsidR="0052073E" w:rsidRPr="007A5F49" w:rsidP="007A5F49" w14:paraId="354528ED" w14:textId="77777777">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10,41</w:t>
            </w:r>
            <w:r w:rsidR="00311A76">
              <w:rPr>
                <w:rFonts w:asciiTheme="minorHAnsi" w:hAnsiTheme="minorHAnsi" w:cstheme="minorHAnsi"/>
                <w:bCs/>
                <w:szCs w:val="24"/>
              </w:rPr>
              <w:t>3</w:t>
            </w:r>
          </w:p>
        </w:tc>
        <w:tc>
          <w:tcPr>
            <w:tcW w:w="2520" w:type="dxa"/>
          </w:tcPr>
          <w:p w:rsidR="0052073E" w:rsidP="00534B4A" w14:paraId="393FDA40" w14:textId="77777777">
            <w:pPr>
              <w:tabs>
                <w:tab w:val="left" w:pos="-720"/>
              </w:tabs>
              <w:suppressAutoHyphens/>
              <w:rPr>
                <w:rFonts w:ascii="Times New Roman" w:hAnsi="Times New Roman"/>
                <w:b/>
                <w:szCs w:val="24"/>
              </w:rPr>
            </w:pPr>
          </w:p>
        </w:tc>
      </w:tr>
      <w:tr w14:paraId="64A7A0B2" w14:textId="77777777" w:rsidTr="0052073E">
        <w:tblPrEx>
          <w:tblW w:w="9445" w:type="dxa"/>
          <w:tblLook w:val="04A0"/>
        </w:tblPrEx>
        <w:tc>
          <w:tcPr>
            <w:tcW w:w="2048" w:type="dxa"/>
          </w:tcPr>
          <w:p w:rsidR="0052073E" w:rsidP="00534B4A" w14:paraId="00E9BF5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225F59A9" w14:textId="77777777">
            <w:pPr>
              <w:tabs>
                <w:tab w:val="left" w:pos="-720"/>
              </w:tabs>
              <w:suppressAutoHyphens/>
              <w:rPr>
                <w:rFonts w:ascii="Times New Roman" w:hAnsi="Times New Roman"/>
                <w:b/>
                <w:szCs w:val="24"/>
              </w:rPr>
            </w:pPr>
          </w:p>
        </w:tc>
        <w:tc>
          <w:tcPr>
            <w:tcW w:w="2829" w:type="dxa"/>
          </w:tcPr>
          <w:p w:rsidR="0052073E" w:rsidRPr="007A5F49" w:rsidP="007A5F49" w14:paraId="3EFF5A13"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652F5A49" w14:textId="77777777">
            <w:pPr>
              <w:tabs>
                <w:tab w:val="left" w:pos="-720"/>
              </w:tabs>
              <w:suppressAutoHyphens/>
              <w:rPr>
                <w:rFonts w:ascii="Times New Roman" w:hAnsi="Times New Roman"/>
                <w:b/>
                <w:szCs w:val="24"/>
              </w:rPr>
            </w:pPr>
          </w:p>
        </w:tc>
      </w:tr>
    </w:tbl>
    <w:p w:rsidR="00F27AAF" w:rsidRPr="005F4E11" w:rsidP="005F4E11" w14:paraId="0DCCC860" w14:textId="77777777">
      <w:pPr>
        <w:tabs>
          <w:tab w:val="left" w:pos="-720"/>
        </w:tabs>
        <w:suppressAutoHyphens/>
        <w:ind w:left="720"/>
        <w:rPr>
          <w:rFonts w:ascii="Times New Roman" w:hAnsi="Times New Roman"/>
          <w:bCs/>
          <w:szCs w:val="24"/>
        </w:rPr>
      </w:pPr>
    </w:p>
    <w:p w:rsidR="00892054" w:rsidRPr="00DE4A87" w:rsidP="00892054" w14:paraId="042FBA15" w14:textId="77777777">
      <w:pPr>
        <w:pStyle w:val="ListParagraph"/>
        <w:spacing w:before="100" w:beforeAutospacing="1" w:after="100" w:afterAutospacing="1"/>
        <w:contextualSpacing w:val="0"/>
        <w:rPr>
          <w:rFonts w:asciiTheme="minorHAnsi" w:hAnsiTheme="minorHAnsi" w:cstheme="minorHAnsi"/>
          <w:szCs w:val="24"/>
        </w:rPr>
      </w:pPr>
      <w:r w:rsidRPr="00DE4A87">
        <w:rPr>
          <w:rFonts w:asciiTheme="minorHAnsi" w:hAnsiTheme="minorHAnsi" w:cstheme="minorHAnsi"/>
          <w:szCs w:val="24"/>
        </w:rPr>
        <w:t>This is a</w:t>
      </w:r>
      <w:r w:rsidR="00FA2855">
        <w:rPr>
          <w:rFonts w:asciiTheme="minorHAnsi" w:hAnsiTheme="minorHAnsi" w:cstheme="minorHAnsi"/>
          <w:szCs w:val="24"/>
        </w:rPr>
        <w:t>n existing collection</w:t>
      </w:r>
      <w:r w:rsidR="00E875EF">
        <w:rPr>
          <w:rFonts w:asciiTheme="minorHAnsi" w:hAnsiTheme="minorHAnsi" w:cstheme="minorHAnsi"/>
          <w:szCs w:val="24"/>
        </w:rPr>
        <w:t xml:space="preserve"> </w:t>
      </w:r>
      <w:r w:rsidR="00A82F8F">
        <w:rPr>
          <w:rFonts w:asciiTheme="minorHAnsi" w:hAnsiTheme="minorHAnsi" w:cstheme="minorHAnsi"/>
          <w:szCs w:val="24"/>
        </w:rPr>
        <w:t xml:space="preserve">process </w:t>
      </w:r>
      <w:r w:rsidR="00BA1797">
        <w:rPr>
          <w:rFonts w:asciiTheme="minorHAnsi" w:hAnsiTheme="minorHAnsi" w:cstheme="minorHAnsi"/>
          <w:szCs w:val="24"/>
        </w:rPr>
        <w:t>designed to</w:t>
      </w:r>
      <w:r w:rsidRPr="00DE4A87">
        <w:rPr>
          <w:rFonts w:asciiTheme="minorHAnsi" w:hAnsiTheme="minorHAnsi" w:cstheme="minorHAnsi"/>
          <w:szCs w:val="24"/>
        </w:rPr>
        <w:t xml:space="preserve"> facilitate compliance with </w:t>
      </w:r>
      <w:r w:rsidR="00B012F5">
        <w:rPr>
          <w:rFonts w:asciiTheme="minorHAnsi" w:hAnsiTheme="minorHAnsi" w:cstheme="minorHAnsi"/>
          <w:szCs w:val="24"/>
        </w:rPr>
        <w:t>S</w:t>
      </w:r>
      <w:r w:rsidRPr="00DE4A87">
        <w:rPr>
          <w:rFonts w:asciiTheme="minorHAnsi" w:hAnsiTheme="minorHAnsi" w:cstheme="minorHAnsi"/>
          <w:szCs w:val="24"/>
        </w:rPr>
        <w:t xml:space="preserve">ection 117 of the HEA.  </w:t>
      </w:r>
      <w:r w:rsidR="00227DDD">
        <w:rPr>
          <w:rFonts w:asciiTheme="minorHAnsi" w:hAnsiTheme="minorHAnsi" w:cstheme="minorHAnsi"/>
          <w:szCs w:val="24"/>
        </w:rPr>
        <w:t>T</w:t>
      </w:r>
      <w:r w:rsidR="00892376">
        <w:rPr>
          <w:rFonts w:asciiTheme="minorHAnsi" w:hAnsiTheme="minorHAnsi" w:cstheme="minorHAnsi"/>
          <w:szCs w:val="24"/>
        </w:rPr>
        <w:t xml:space="preserve">his </w:t>
      </w:r>
      <w:r w:rsidR="00E875EF">
        <w:rPr>
          <w:rFonts w:asciiTheme="minorHAnsi" w:hAnsiTheme="minorHAnsi" w:cstheme="minorHAnsi"/>
          <w:szCs w:val="24"/>
        </w:rPr>
        <w:t>information collection</w:t>
      </w:r>
      <w:r w:rsidR="006C6DA7">
        <w:rPr>
          <w:rFonts w:asciiTheme="minorHAnsi" w:hAnsiTheme="minorHAnsi" w:cstheme="minorHAnsi"/>
          <w:szCs w:val="24"/>
        </w:rPr>
        <w:t xml:space="preserve"> was previously with OGC from 2020 to 2023</w:t>
      </w:r>
      <w:r w:rsidR="00E875EF">
        <w:rPr>
          <w:rFonts w:asciiTheme="minorHAnsi" w:hAnsiTheme="minorHAnsi" w:cstheme="minorHAnsi"/>
          <w:szCs w:val="24"/>
        </w:rPr>
        <w:t>.</w:t>
      </w:r>
      <w:r w:rsidR="00473F7A">
        <w:rPr>
          <w:rFonts w:asciiTheme="minorHAnsi" w:hAnsiTheme="minorHAnsi" w:cstheme="minorHAnsi"/>
          <w:szCs w:val="24"/>
        </w:rPr>
        <w:t xml:space="preserve">  The burden estimate is significantly lower than prior information collection filings because</w:t>
      </w:r>
      <w:r w:rsidR="00FD22B3">
        <w:rPr>
          <w:rFonts w:asciiTheme="minorHAnsi" w:hAnsiTheme="minorHAnsi" w:cstheme="minorHAnsi"/>
          <w:szCs w:val="24"/>
        </w:rPr>
        <w:t xml:space="preserve"> of the improvements made</w:t>
      </w:r>
      <w:r w:rsidR="001234B9">
        <w:rPr>
          <w:rFonts w:asciiTheme="minorHAnsi" w:hAnsiTheme="minorHAnsi" w:cstheme="minorHAnsi"/>
          <w:szCs w:val="24"/>
        </w:rPr>
        <w:t xml:space="preserve"> over recent years</w:t>
      </w:r>
      <w:r w:rsidR="00FD22B3">
        <w:rPr>
          <w:rFonts w:asciiTheme="minorHAnsi" w:hAnsiTheme="minorHAnsi" w:cstheme="minorHAnsi"/>
          <w:szCs w:val="24"/>
        </w:rPr>
        <w:t xml:space="preserve"> in the functionality of the collection portal which will significantly reduce the burden</w:t>
      </w:r>
      <w:r w:rsidR="008604CB">
        <w:rPr>
          <w:rFonts w:asciiTheme="minorHAnsi" w:hAnsiTheme="minorHAnsi" w:cstheme="minorHAnsi"/>
          <w:szCs w:val="24"/>
        </w:rPr>
        <w:t xml:space="preserve"> on instititions.  </w:t>
      </w:r>
      <w:r w:rsidRPr="00DE4A87">
        <w:rPr>
          <w:rFonts w:asciiTheme="minorHAnsi" w:hAnsiTheme="minorHAnsi" w:cstheme="minorHAnsi"/>
          <w:szCs w:val="24"/>
        </w:rPr>
        <w:t xml:space="preserve">There is an estimated annual burden of </w:t>
      </w:r>
      <w:r w:rsidR="00FD6190">
        <w:rPr>
          <w:rFonts w:asciiTheme="minorHAnsi" w:hAnsiTheme="minorHAnsi" w:cstheme="minorHAnsi"/>
          <w:szCs w:val="24"/>
        </w:rPr>
        <w:t>5,206</w:t>
      </w:r>
      <w:r w:rsidR="00D51B8B">
        <w:rPr>
          <w:rFonts w:asciiTheme="minorHAnsi" w:hAnsiTheme="minorHAnsi" w:cstheme="minorHAnsi"/>
          <w:szCs w:val="24"/>
        </w:rPr>
        <w:t xml:space="preserve"> </w:t>
      </w:r>
      <w:r w:rsidRPr="00DE4A87">
        <w:rPr>
          <w:rFonts w:asciiTheme="minorHAnsi" w:hAnsiTheme="minorHAnsi" w:cstheme="minorHAnsi"/>
          <w:szCs w:val="24"/>
        </w:rPr>
        <w:t xml:space="preserve">hours for </w:t>
      </w:r>
      <w:r w:rsidR="00CB5DC3">
        <w:rPr>
          <w:rFonts w:asciiTheme="minorHAnsi" w:hAnsiTheme="minorHAnsi" w:cstheme="minorHAnsi"/>
          <w:szCs w:val="24"/>
        </w:rPr>
        <w:t>267</w:t>
      </w:r>
      <w:r w:rsidRPr="00DE4A87" w:rsidR="00CB5DC3">
        <w:rPr>
          <w:rFonts w:asciiTheme="minorHAnsi" w:hAnsiTheme="minorHAnsi" w:cstheme="minorHAnsi"/>
          <w:szCs w:val="24"/>
        </w:rPr>
        <w:t xml:space="preserve"> </w:t>
      </w:r>
      <w:r w:rsidRPr="00DE4A87">
        <w:rPr>
          <w:rFonts w:asciiTheme="minorHAnsi" w:hAnsiTheme="minorHAnsi" w:cstheme="minorHAnsi"/>
          <w:szCs w:val="24"/>
        </w:rPr>
        <w:t xml:space="preserve">institutions based on </w:t>
      </w:r>
      <w:r w:rsidR="00DB69D1">
        <w:rPr>
          <w:rFonts w:asciiTheme="minorHAnsi" w:hAnsiTheme="minorHAnsi" w:cstheme="minorHAnsi"/>
          <w:szCs w:val="24"/>
        </w:rPr>
        <w:t>10,413</w:t>
      </w:r>
      <w:r w:rsidRPr="00DE4A87">
        <w:rPr>
          <w:rFonts w:asciiTheme="minorHAnsi" w:hAnsiTheme="minorHAnsi" w:cstheme="minorHAnsi"/>
          <w:szCs w:val="24"/>
        </w:rPr>
        <w:t xml:space="preserve"> responses at </w:t>
      </w:r>
      <w:r w:rsidR="00DB69D1">
        <w:rPr>
          <w:rFonts w:asciiTheme="minorHAnsi" w:hAnsiTheme="minorHAnsi" w:cstheme="minorHAnsi"/>
          <w:szCs w:val="24"/>
        </w:rPr>
        <w:t>.</w:t>
      </w:r>
      <w:r w:rsidR="00311A76">
        <w:rPr>
          <w:rFonts w:asciiTheme="minorHAnsi" w:hAnsiTheme="minorHAnsi" w:cstheme="minorHAnsi"/>
          <w:szCs w:val="24"/>
        </w:rPr>
        <w:t>50</w:t>
      </w:r>
      <w:r w:rsidRPr="00DE4A87" w:rsidR="00DB69D1">
        <w:rPr>
          <w:rFonts w:asciiTheme="minorHAnsi" w:hAnsiTheme="minorHAnsi" w:cstheme="minorHAnsi"/>
          <w:szCs w:val="24"/>
        </w:rPr>
        <w:t xml:space="preserve"> </w:t>
      </w:r>
      <w:r w:rsidRPr="00DE4A87">
        <w:rPr>
          <w:rFonts w:asciiTheme="minorHAnsi" w:hAnsiTheme="minorHAnsi" w:cstheme="minorHAnsi"/>
          <w:szCs w:val="24"/>
        </w:rPr>
        <w:t>hour</w:t>
      </w:r>
      <w:r w:rsidR="00D51B8B">
        <w:rPr>
          <w:rFonts w:asciiTheme="minorHAnsi" w:hAnsiTheme="minorHAnsi" w:cstheme="minorHAnsi"/>
          <w:szCs w:val="24"/>
        </w:rPr>
        <w:t>s</w:t>
      </w:r>
      <w:r w:rsidRPr="00DE4A87">
        <w:rPr>
          <w:rFonts w:asciiTheme="minorHAnsi" w:hAnsiTheme="minorHAnsi" w:cstheme="minorHAnsi"/>
          <w:szCs w:val="24"/>
        </w:rPr>
        <w:t xml:space="preserve"> per response for a total cost </w:t>
      </w:r>
      <w:r w:rsidRPr="002F40FC">
        <w:rPr>
          <w:rFonts w:asciiTheme="minorHAnsi" w:hAnsiTheme="minorHAnsi" w:cstheme="minorHAnsi"/>
          <w:szCs w:val="24"/>
        </w:rPr>
        <w:t>of</w:t>
      </w:r>
      <w:r w:rsidRPr="002F40FC" w:rsidR="002F40FC">
        <w:rPr>
          <w:rFonts w:asciiTheme="minorHAnsi" w:hAnsiTheme="minorHAnsi" w:cstheme="minorHAnsi"/>
          <w:szCs w:val="24"/>
        </w:rPr>
        <w:t xml:space="preserve"> $ </w:t>
      </w:r>
      <w:r w:rsidR="00311A76">
        <w:rPr>
          <w:rFonts w:asciiTheme="minorHAnsi" w:hAnsiTheme="minorHAnsi" w:cstheme="minorHAnsi"/>
          <w:szCs w:val="24"/>
        </w:rPr>
        <w:t>260</w:t>
      </w:r>
      <w:r w:rsidR="007A7010">
        <w:rPr>
          <w:rFonts w:asciiTheme="minorHAnsi" w:hAnsiTheme="minorHAnsi" w:cstheme="minorHAnsi"/>
          <w:szCs w:val="24"/>
        </w:rPr>
        <w:t>,220.87</w:t>
      </w:r>
      <w:r w:rsidRPr="002F40FC">
        <w:rPr>
          <w:rFonts w:asciiTheme="minorHAnsi" w:hAnsiTheme="minorHAnsi" w:cstheme="minorHAnsi"/>
          <w:szCs w:val="24"/>
        </w:rPr>
        <w:t>.</w:t>
      </w:r>
      <w:r w:rsidRPr="00DE4A87">
        <w:rPr>
          <w:rFonts w:asciiTheme="minorHAnsi" w:hAnsiTheme="minorHAnsi" w:cstheme="minorHAnsi"/>
          <w:szCs w:val="24"/>
        </w:rPr>
        <w:t xml:space="preserve"> </w:t>
      </w:r>
    </w:p>
    <w:p w:rsidR="00043C32" w:rsidP="00AD381B" w14:paraId="36027B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534B4A" w:rsidP="00AA5138" w14:paraId="1851DFC6" w14:textId="77777777">
      <w:pPr>
        <w:tabs>
          <w:tab w:val="left" w:pos="-720"/>
        </w:tabs>
        <w:suppressAutoHyphens/>
        <w:ind w:left="720"/>
        <w:rPr>
          <w:rFonts w:ascii="Times New Roman" w:hAnsi="Times New Roman"/>
          <w:szCs w:val="24"/>
        </w:rPr>
      </w:pPr>
    </w:p>
    <w:p w:rsidR="00291F95" w:rsidRPr="00CA59E3" w:rsidP="001F45A0" w14:paraId="180267CE"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 xml:space="preserve">The results of this information collection </w:t>
      </w:r>
      <w:r w:rsidR="00C0784D">
        <w:rPr>
          <w:rFonts w:asciiTheme="minorHAnsi" w:hAnsiTheme="minorHAnsi" w:cstheme="minorHAnsi"/>
        </w:rPr>
        <w:t>will be</w:t>
      </w:r>
      <w:r w:rsidRPr="00CA59E3" w:rsidR="00C0784D">
        <w:rPr>
          <w:rFonts w:asciiTheme="minorHAnsi" w:hAnsiTheme="minorHAnsi" w:cstheme="minorHAnsi"/>
        </w:rPr>
        <w:t xml:space="preserve"> </w:t>
      </w:r>
      <w:r w:rsidRPr="00CA59E3">
        <w:rPr>
          <w:rFonts w:asciiTheme="minorHAnsi" w:hAnsiTheme="minorHAnsi" w:cstheme="minorHAnsi"/>
        </w:rPr>
        <w:t>published</w:t>
      </w:r>
      <w:r w:rsidR="0077054B">
        <w:rPr>
          <w:rFonts w:asciiTheme="minorHAnsi" w:hAnsiTheme="minorHAnsi" w:cstheme="minorHAnsi"/>
        </w:rPr>
        <w:t xml:space="preserve"> in the form it is received</w:t>
      </w:r>
      <w:r w:rsidR="00144F3E">
        <w:rPr>
          <w:rFonts w:asciiTheme="minorHAnsi" w:hAnsiTheme="minorHAnsi" w:cstheme="minorHAnsi"/>
        </w:rPr>
        <w:t xml:space="preserve"> </w:t>
      </w:r>
      <w:r w:rsidR="00AC4F85">
        <w:rPr>
          <w:rFonts w:asciiTheme="minorHAnsi" w:hAnsiTheme="minorHAnsi" w:cstheme="minorHAnsi"/>
        </w:rPr>
        <w:t xml:space="preserve">at </w:t>
      </w:r>
      <w:hyperlink r:id="rId11" w:history="1">
        <w:r w:rsidRPr="004B1353" w:rsidR="001F45A0">
          <w:rPr>
            <w:rStyle w:val="Hyperlink"/>
            <w:rFonts w:asciiTheme="minorHAnsi" w:hAnsiTheme="minorHAnsi" w:cstheme="minorHAnsi"/>
            <w:szCs w:val="24"/>
          </w:rPr>
          <w:t>www.foreignfundinghighered.gov</w:t>
        </w:r>
      </w:hyperlink>
      <w:r w:rsidR="00AC4F85">
        <w:rPr>
          <w:rFonts w:asciiTheme="minorHAnsi" w:hAnsiTheme="minorHAnsi" w:cstheme="minorHAnsi"/>
        </w:rPr>
        <w:t xml:space="preserve"> </w:t>
      </w:r>
    </w:p>
    <w:p w:rsidR="00534B4A" w:rsidRPr="00534B4A" w:rsidP="00AA5138" w14:paraId="2F54F825" w14:textId="77777777">
      <w:pPr>
        <w:tabs>
          <w:tab w:val="left" w:pos="-720"/>
        </w:tabs>
        <w:suppressAutoHyphens/>
        <w:ind w:left="720"/>
        <w:rPr>
          <w:rFonts w:ascii="Times New Roman" w:hAnsi="Times New Roman"/>
          <w:szCs w:val="24"/>
        </w:rPr>
      </w:pPr>
    </w:p>
    <w:p w:rsidR="00043C32" w:rsidRPr="00534B4A" w:rsidP="00AD381B" w14:paraId="69C060A8"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1448F63C" w14:textId="77777777">
      <w:pPr>
        <w:tabs>
          <w:tab w:val="left" w:pos="-720"/>
        </w:tabs>
        <w:suppressAutoHyphens/>
        <w:ind w:left="720"/>
        <w:rPr>
          <w:rFonts w:ascii="Times New Roman" w:hAnsi="Times New Roman"/>
          <w:bCs/>
          <w:szCs w:val="24"/>
        </w:rPr>
      </w:pPr>
    </w:p>
    <w:p w:rsidR="00291F95" w:rsidRPr="00CA59E3" w:rsidP="00291F95" w14:paraId="4E1B102C"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7F48408C" w14:textId="77777777">
      <w:pPr>
        <w:tabs>
          <w:tab w:val="left" w:pos="-720"/>
        </w:tabs>
        <w:suppressAutoHyphens/>
        <w:ind w:left="720"/>
        <w:rPr>
          <w:rFonts w:ascii="Times New Roman" w:hAnsi="Times New Roman"/>
          <w:bCs/>
          <w:szCs w:val="24"/>
        </w:rPr>
      </w:pPr>
    </w:p>
    <w:p w:rsidR="001C73C0" w:rsidP="00AD381B" w14:paraId="11E12F87"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6E8FA7B" w14:textId="77777777">
      <w:pPr>
        <w:tabs>
          <w:tab w:val="left" w:pos="-720"/>
        </w:tabs>
        <w:suppressAutoHyphens/>
        <w:ind w:left="720"/>
        <w:rPr>
          <w:rFonts w:ascii="Times New Roman" w:hAnsi="Times New Roman"/>
          <w:bCs/>
          <w:szCs w:val="24"/>
        </w:rPr>
      </w:pPr>
    </w:p>
    <w:p w:rsidR="00291F95" w:rsidRPr="00CA59E3" w:rsidP="00291F95" w14:paraId="32DDE925"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AA5138" w:rsidP="00291F95" w14:paraId="06460D95" w14:textId="77777777">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2A31" w14:paraId="27037CBD" w14:textId="77777777">
    <w:pPr>
      <w:spacing w:before="140" w:line="100" w:lineRule="exact"/>
      <w:rPr>
        <w:sz w:val="10"/>
      </w:rPr>
    </w:pPr>
  </w:p>
  <w:p w:rsidR="00012A31" w14:paraId="4BD52C5C" w14:textId="77777777">
    <w:pPr>
      <w:tabs>
        <w:tab w:val="left" w:pos="0"/>
      </w:tabs>
      <w:suppressAutoHyphens/>
    </w:pPr>
  </w:p>
  <w:p w:rsidR="00012A31" w14:paraId="4C13AD1F"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12A3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12A31" w:rsidRPr="00534B4A" w14:paraId="4085E1AD"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080F" w:rsidP="00043C32" w14:paraId="62B3FDDC" w14:textId="77777777">
      <w:r>
        <w:separator/>
      </w:r>
    </w:p>
  </w:footnote>
  <w:footnote w:type="continuationSeparator" w:id="1">
    <w:p w:rsidR="0006080F" w:rsidP="00043C32" w14:paraId="6D9069C2" w14:textId="77777777">
      <w:r>
        <w:continuationSeparator/>
      </w:r>
    </w:p>
  </w:footnote>
  <w:footnote w:type="continuationNotice" w:id="2">
    <w:p w:rsidR="0006080F" w14:paraId="2FA1A6F6" w14:textId="77777777"/>
  </w:footnote>
  <w:footnote w:id="3">
    <w:p w:rsidR="00043C32" w:rsidP="00043C32" w14:paraId="48EBF3B9"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2D834C06"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1234B9">
      <w:rPr>
        <w:rFonts w:ascii="Times New Roman" w:hAnsi="Times New Roman"/>
        <w:szCs w:val="24"/>
      </w:rPr>
      <w:t>1845</w:t>
    </w:r>
    <w:r w:rsidR="007C700A">
      <w:rPr>
        <w:rFonts w:ascii="Times New Roman" w:hAnsi="Times New Roman"/>
        <w:szCs w:val="24"/>
      </w:rPr>
      <w:t>-</w:t>
    </w:r>
    <w:r w:rsidR="001234B9">
      <w:rPr>
        <w:rFonts w:ascii="Times New Roman" w:hAnsi="Times New Roman"/>
        <w:szCs w:val="24"/>
      </w:rPr>
      <w:t>0172</w:t>
    </w:r>
    <w:r w:rsidR="00E22FD3">
      <w:rPr>
        <w:rFonts w:ascii="Times New Roman" w:hAnsi="Times New Roman"/>
        <w:szCs w:val="24"/>
      </w:rPr>
      <w:tab/>
    </w:r>
    <w:r w:rsidRPr="00C875E8">
      <w:rPr>
        <w:rFonts w:ascii="Times New Roman" w:hAnsi="Times New Roman"/>
        <w:szCs w:val="24"/>
      </w:rPr>
      <w:t xml:space="preserve">Revised: </w:t>
    </w:r>
  </w:p>
  <w:p w:rsidR="005F4E11" w14:paraId="21083D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9C44E9E"/>
    <w:multiLevelType w:val="hybridMultilevel"/>
    <w:tmpl w:val="AF96B2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0DB347F"/>
    <w:multiLevelType w:val="hybridMultilevel"/>
    <w:tmpl w:val="5AD2C0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58F32253"/>
    <w:multiLevelType w:val="hybridMultilevel"/>
    <w:tmpl w:val="00C4B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7929026">
    <w:abstractNumId w:val="0"/>
  </w:num>
  <w:num w:numId="2" w16cid:durableId="1974024326">
    <w:abstractNumId w:val="4"/>
  </w:num>
  <w:num w:numId="3" w16cid:durableId="1128353570">
    <w:abstractNumId w:val="3"/>
  </w:num>
  <w:num w:numId="4" w16cid:durableId="1359693798">
    <w:abstractNumId w:val="6"/>
  </w:num>
  <w:num w:numId="5" w16cid:durableId="1931355030">
    <w:abstractNumId w:val="7"/>
  </w:num>
  <w:num w:numId="6" w16cid:durableId="1820031963">
    <w:abstractNumId w:val="2"/>
  </w:num>
  <w:num w:numId="7" w16cid:durableId="105972039">
    <w:abstractNumId w:val="1"/>
  </w:num>
  <w:num w:numId="8" w16cid:durableId="1779526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2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BFC"/>
    <w:rsid w:val="00000C20"/>
    <w:rsid w:val="000063A5"/>
    <w:rsid w:val="00007093"/>
    <w:rsid w:val="00007203"/>
    <w:rsid w:val="00010D85"/>
    <w:rsid w:val="000127C4"/>
    <w:rsid w:val="00012A31"/>
    <w:rsid w:val="00012C5E"/>
    <w:rsid w:val="0002290A"/>
    <w:rsid w:val="00034828"/>
    <w:rsid w:val="00035ED3"/>
    <w:rsid w:val="00035ED5"/>
    <w:rsid w:val="000360A9"/>
    <w:rsid w:val="0004098D"/>
    <w:rsid w:val="0004159D"/>
    <w:rsid w:val="00043C32"/>
    <w:rsid w:val="000446F5"/>
    <w:rsid w:val="000469E3"/>
    <w:rsid w:val="00050417"/>
    <w:rsid w:val="00052CB8"/>
    <w:rsid w:val="000543F1"/>
    <w:rsid w:val="00055726"/>
    <w:rsid w:val="000560DD"/>
    <w:rsid w:val="0006080F"/>
    <w:rsid w:val="000759B1"/>
    <w:rsid w:val="00082967"/>
    <w:rsid w:val="00084775"/>
    <w:rsid w:val="0008527A"/>
    <w:rsid w:val="00093017"/>
    <w:rsid w:val="000B6C87"/>
    <w:rsid w:val="000C63CF"/>
    <w:rsid w:val="000C78CC"/>
    <w:rsid w:val="000D2D48"/>
    <w:rsid w:val="000D2DD4"/>
    <w:rsid w:val="000D5843"/>
    <w:rsid w:val="000E2944"/>
    <w:rsid w:val="000E5771"/>
    <w:rsid w:val="000E5E0F"/>
    <w:rsid w:val="000E772E"/>
    <w:rsid w:val="000F0709"/>
    <w:rsid w:val="000F65BA"/>
    <w:rsid w:val="00100E83"/>
    <w:rsid w:val="00102D41"/>
    <w:rsid w:val="001040E2"/>
    <w:rsid w:val="0010518B"/>
    <w:rsid w:val="00107DE4"/>
    <w:rsid w:val="00115762"/>
    <w:rsid w:val="0011644E"/>
    <w:rsid w:val="001176A4"/>
    <w:rsid w:val="001234B9"/>
    <w:rsid w:val="00124F72"/>
    <w:rsid w:val="00127637"/>
    <w:rsid w:val="0013676D"/>
    <w:rsid w:val="00136FFA"/>
    <w:rsid w:val="00142ED4"/>
    <w:rsid w:val="00144F3E"/>
    <w:rsid w:val="00146688"/>
    <w:rsid w:val="00146948"/>
    <w:rsid w:val="00151026"/>
    <w:rsid w:val="001542B4"/>
    <w:rsid w:val="00155EC6"/>
    <w:rsid w:val="00162A2E"/>
    <w:rsid w:val="00162B50"/>
    <w:rsid w:val="0016500B"/>
    <w:rsid w:val="001673E8"/>
    <w:rsid w:val="001717EA"/>
    <w:rsid w:val="001815BB"/>
    <w:rsid w:val="001824F3"/>
    <w:rsid w:val="00183149"/>
    <w:rsid w:val="00187EBF"/>
    <w:rsid w:val="001919CB"/>
    <w:rsid w:val="00194C4E"/>
    <w:rsid w:val="001A0A1E"/>
    <w:rsid w:val="001A438B"/>
    <w:rsid w:val="001A6AE0"/>
    <w:rsid w:val="001B02CB"/>
    <w:rsid w:val="001B6717"/>
    <w:rsid w:val="001B6906"/>
    <w:rsid w:val="001C1165"/>
    <w:rsid w:val="001C3A83"/>
    <w:rsid w:val="001C73C0"/>
    <w:rsid w:val="001D1287"/>
    <w:rsid w:val="001D6792"/>
    <w:rsid w:val="001E1842"/>
    <w:rsid w:val="001E19D0"/>
    <w:rsid w:val="001E79BD"/>
    <w:rsid w:val="001E7FB0"/>
    <w:rsid w:val="001F45A0"/>
    <w:rsid w:val="001F4860"/>
    <w:rsid w:val="001F487E"/>
    <w:rsid w:val="002019A2"/>
    <w:rsid w:val="002047F8"/>
    <w:rsid w:val="00206120"/>
    <w:rsid w:val="0020764A"/>
    <w:rsid w:val="002225CC"/>
    <w:rsid w:val="00224A3B"/>
    <w:rsid w:val="00227DDD"/>
    <w:rsid w:val="00237366"/>
    <w:rsid w:val="00237D01"/>
    <w:rsid w:val="00240A39"/>
    <w:rsid w:val="0024368A"/>
    <w:rsid w:val="002459AF"/>
    <w:rsid w:val="00246FE9"/>
    <w:rsid w:val="00250100"/>
    <w:rsid w:val="00254823"/>
    <w:rsid w:val="00260234"/>
    <w:rsid w:val="00261778"/>
    <w:rsid w:val="00262A69"/>
    <w:rsid w:val="00265D96"/>
    <w:rsid w:val="00270AF7"/>
    <w:rsid w:val="002713B1"/>
    <w:rsid w:val="00272F87"/>
    <w:rsid w:val="002829EB"/>
    <w:rsid w:val="0028696D"/>
    <w:rsid w:val="002871B6"/>
    <w:rsid w:val="00291F95"/>
    <w:rsid w:val="002A040D"/>
    <w:rsid w:val="002A3221"/>
    <w:rsid w:val="002A6B88"/>
    <w:rsid w:val="002B3C83"/>
    <w:rsid w:val="002B4AA0"/>
    <w:rsid w:val="002B6373"/>
    <w:rsid w:val="002B66A0"/>
    <w:rsid w:val="002C344E"/>
    <w:rsid w:val="002C3520"/>
    <w:rsid w:val="002C6129"/>
    <w:rsid w:val="002D6E25"/>
    <w:rsid w:val="002E14E0"/>
    <w:rsid w:val="002E3493"/>
    <w:rsid w:val="002F40FC"/>
    <w:rsid w:val="002F5190"/>
    <w:rsid w:val="002F55E5"/>
    <w:rsid w:val="00302868"/>
    <w:rsid w:val="003073DF"/>
    <w:rsid w:val="003104D9"/>
    <w:rsid w:val="00311A76"/>
    <w:rsid w:val="00311D5A"/>
    <w:rsid w:val="0031305E"/>
    <w:rsid w:val="00315D38"/>
    <w:rsid w:val="00317A96"/>
    <w:rsid w:val="0032078A"/>
    <w:rsid w:val="00320F36"/>
    <w:rsid w:val="0032539E"/>
    <w:rsid w:val="00327249"/>
    <w:rsid w:val="0033077A"/>
    <w:rsid w:val="003329AA"/>
    <w:rsid w:val="00337C75"/>
    <w:rsid w:val="00345C48"/>
    <w:rsid w:val="00345F26"/>
    <w:rsid w:val="00346E0C"/>
    <w:rsid w:val="00353B27"/>
    <w:rsid w:val="00363454"/>
    <w:rsid w:val="00365B2B"/>
    <w:rsid w:val="003730ED"/>
    <w:rsid w:val="00373AEB"/>
    <w:rsid w:val="00375CBE"/>
    <w:rsid w:val="00376786"/>
    <w:rsid w:val="00377018"/>
    <w:rsid w:val="00385BCE"/>
    <w:rsid w:val="003860E4"/>
    <w:rsid w:val="00395DF4"/>
    <w:rsid w:val="003A3A14"/>
    <w:rsid w:val="003A40E2"/>
    <w:rsid w:val="003A57AA"/>
    <w:rsid w:val="003B1545"/>
    <w:rsid w:val="003B24EA"/>
    <w:rsid w:val="003C145B"/>
    <w:rsid w:val="003C20A8"/>
    <w:rsid w:val="003C3C03"/>
    <w:rsid w:val="003D034F"/>
    <w:rsid w:val="003D0B5F"/>
    <w:rsid w:val="003D500E"/>
    <w:rsid w:val="003E0A2D"/>
    <w:rsid w:val="003E1C60"/>
    <w:rsid w:val="003E3F30"/>
    <w:rsid w:val="003E47BD"/>
    <w:rsid w:val="003E5BF7"/>
    <w:rsid w:val="00402020"/>
    <w:rsid w:val="004078B7"/>
    <w:rsid w:val="004128BE"/>
    <w:rsid w:val="00412915"/>
    <w:rsid w:val="004144E9"/>
    <w:rsid w:val="00416675"/>
    <w:rsid w:val="00416C63"/>
    <w:rsid w:val="004246F6"/>
    <w:rsid w:val="00426648"/>
    <w:rsid w:val="00430F71"/>
    <w:rsid w:val="00434427"/>
    <w:rsid w:val="004412CE"/>
    <w:rsid w:val="00442E07"/>
    <w:rsid w:val="00451A7A"/>
    <w:rsid w:val="00456B43"/>
    <w:rsid w:val="00463332"/>
    <w:rsid w:val="00465C1D"/>
    <w:rsid w:val="00473B2A"/>
    <w:rsid w:val="00473F7A"/>
    <w:rsid w:val="00477F29"/>
    <w:rsid w:val="00481AD4"/>
    <w:rsid w:val="00484966"/>
    <w:rsid w:val="00486C09"/>
    <w:rsid w:val="00491DAF"/>
    <w:rsid w:val="004A416C"/>
    <w:rsid w:val="004B1353"/>
    <w:rsid w:val="004B5183"/>
    <w:rsid w:val="004D382F"/>
    <w:rsid w:val="004D4B48"/>
    <w:rsid w:val="004E24FB"/>
    <w:rsid w:val="004E3FEF"/>
    <w:rsid w:val="004E6968"/>
    <w:rsid w:val="004F175C"/>
    <w:rsid w:val="004F43CD"/>
    <w:rsid w:val="004F5E99"/>
    <w:rsid w:val="00502E1A"/>
    <w:rsid w:val="0050530E"/>
    <w:rsid w:val="00510B77"/>
    <w:rsid w:val="00512C76"/>
    <w:rsid w:val="00512CB0"/>
    <w:rsid w:val="00515D6C"/>
    <w:rsid w:val="0052073E"/>
    <w:rsid w:val="005235C2"/>
    <w:rsid w:val="005327EC"/>
    <w:rsid w:val="00532F5D"/>
    <w:rsid w:val="00533880"/>
    <w:rsid w:val="00534B4A"/>
    <w:rsid w:val="00535276"/>
    <w:rsid w:val="00536583"/>
    <w:rsid w:val="005404CD"/>
    <w:rsid w:val="00544032"/>
    <w:rsid w:val="00546644"/>
    <w:rsid w:val="005474CF"/>
    <w:rsid w:val="00550848"/>
    <w:rsid w:val="005538EA"/>
    <w:rsid w:val="00553D76"/>
    <w:rsid w:val="00557EC4"/>
    <w:rsid w:val="00562A59"/>
    <w:rsid w:val="0056450F"/>
    <w:rsid w:val="00567AC9"/>
    <w:rsid w:val="00571BEF"/>
    <w:rsid w:val="00573556"/>
    <w:rsid w:val="00574ACF"/>
    <w:rsid w:val="00574CA0"/>
    <w:rsid w:val="005752FB"/>
    <w:rsid w:val="00575DDA"/>
    <w:rsid w:val="0057633E"/>
    <w:rsid w:val="00577D92"/>
    <w:rsid w:val="00581766"/>
    <w:rsid w:val="00581C11"/>
    <w:rsid w:val="0058666B"/>
    <w:rsid w:val="005975C0"/>
    <w:rsid w:val="005A0E1C"/>
    <w:rsid w:val="005A1C11"/>
    <w:rsid w:val="005B001B"/>
    <w:rsid w:val="005B1A8F"/>
    <w:rsid w:val="005B6711"/>
    <w:rsid w:val="005C746B"/>
    <w:rsid w:val="005D0203"/>
    <w:rsid w:val="005D0B67"/>
    <w:rsid w:val="005D1836"/>
    <w:rsid w:val="005D4B0E"/>
    <w:rsid w:val="005E1E4D"/>
    <w:rsid w:val="005F03B7"/>
    <w:rsid w:val="005F15F5"/>
    <w:rsid w:val="005F3029"/>
    <w:rsid w:val="005F4E11"/>
    <w:rsid w:val="005F4E4F"/>
    <w:rsid w:val="00616E9C"/>
    <w:rsid w:val="00617A12"/>
    <w:rsid w:val="00627E96"/>
    <w:rsid w:val="0063251C"/>
    <w:rsid w:val="00634654"/>
    <w:rsid w:val="00634E3A"/>
    <w:rsid w:val="00642D1F"/>
    <w:rsid w:val="006442E4"/>
    <w:rsid w:val="00646917"/>
    <w:rsid w:val="00646CB5"/>
    <w:rsid w:val="006541AC"/>
    <w:rsid w:val="006700F7"/>
    <w:rsid w:val="00675D1E"/>
    <w:rsid w:val="00681E27"/>
    <w:rsid w:val="006841BF"/>
    <w:rsid w:val="006844D8"/>
    <w:rsid w:val="0068567A"/>
    <w:rsid w:val="00685D92"/>
    <w:rsid w:val="00693AA2"/>
    <w:rsid w:val="006A1666"/>
    <w:rsid w:val="006A16D6"/>
    <w:rsid w:val="006A26F2"/>
    <w:rsid w:val="006A292A"/>
    <w:rsid w:val="006A38F7"/>
    <w:rsid w:val="006A4EBB"/>
    <w:rsid w:val="006B4172"/>
    <w:rsid w:val="006B721D"/>
    <w:rsid w:val="006C18FD"/>
    <w:rsid w:val="006C6DA7"/>
    <w:rsid w:val="006D2B48"/>
    <w:rsid w:val="006D3E36"/>
    <w:rsid w:val="006D45E3"/>
    <w:rsid w:val="006D5AD0"/>
    <w:rsid w:val="006E0A9C"/>
    <w:rsid w:val="006E0EF3"/>
    <w:rsid w:val="006E24F2"/>
    <w:rsid w:val="006E38D8"/>
    <w:rsid w:val="006E510C"/>
    <w:rsid w:val="00701916"/>
    <w:rsid w:val="0070226C"/>
    <w:rsid w:val="007119A1"/>
    <w:rsid w:val="00713023"/>
    <w:rsid w:val="00713B69"/>
    <w:rsid w:val="007203AD"/>
    <w:rsid w:val="0072153C"/>
    <w:rsid w:val="00723EDD"/>
    <w:rsid w:val="00730188"/>
    <w:rsid w:val="007309E7"/>
    <w:rsid w:val="0073173F"/>
    <w:rsid w:val="007321BD"/>
    <w:rsid w:val="00732E18"/>
    <w:rsid w:val="00734AA5"/>
    <w:rsid w:val="0073743D"/>
    <w:rsid w:val="00740171"/>
    <w:rsid w:val="00742B89"/>
    <w:rsid w:val="00744076"/>
    <w:rsid w:val="00745C70"/>
    <w:rsid w:val="00746B81"/>
    <w:rsid w:val="00755D99"/>
    <w:rsid w:val="00756245"/>
    <w:rsid w:val="00756B93"/>
    <w:rsid w:val="00756FD3"/>
    <w:rsid w:val="00757CC3"/>
    <w:rsid w:val="00760952"/>
    <w:rsid w:val="00762AEE"/>
    <w:rsid w:val="00763EF0"/>
    <w:rsid w:val="00765392"/>
    <w:rsid w:val="00766FFE"/>
    <w:rsid w:val="0077054B"/>
    <w:rsid w:val="00771C7A"/>
    <w:rsid w:val="00774317"/>
    <w:rsid w:val="0078057E"/>
    <w:rsid w:val="00787A18"/>
    <w:rsid w:val="00790E3E"/>
    <w:rsid w:val="00793AB2"/>
    <w:rsid w:val="007A5F49"/>
    <w:rsid w:val="007A7010"/>
    <w:rsid w:val="007B424C"/>
    <w:rsid w:val="007C0A4C"/>
    <w:rsid w:val="007C700A"/>
    <w:rsid w:val="007D1021"/>
    <w:rsid w:val="007D7360"/>
    <w:rsid w:val="007D73E6"/>
    <w:rsid w:val="007F13AE"/>
    <w:rsid w:val="007F5A2D"/>
    <w:rsid w:val="007F6104"/>
    <w:rsid w:val="00800D30"/>
    <w:rsid w:val="00801766"/>
    <w:rsid w:val="00801DFE"/>
    <w:rsid w:val="00802A8D"/>
    <w:rsid w:val="00803B54"/>
    <w:rsid w:val="0080480F"/>
    <w:rsid w:val="00807D1A"/>
    <w:rsid w:val="00812D1A"/>
    <w:rsid w:val="00814439"/>
    <w:rsid w:val="008161F4"/>
    <w:rsid w:val="0082340A"/>
    <w:rsid w:val="008303FC"/>
    <w:rsid w:val="00832467"/>
    <w:rsid w:val="00833DF6"/>
    <w:rsid w:val="00834A62"/>
    <w:rsid w:val="00842E53"/>
    <w:rsid w:val="00844855"/>
    <w:rsid w:val="008463BB"/>
    <w:rsid w:val="0084787B"/>
    <w:rsid w:val="00847D23"/>
    <w:rsid w:val="0085444E"/>
    <w:rsid w:val="00854676"/>
    <w:rsid w:val="00856ABF"/>
    <w:rsid w:val="00856BDF"/>
    <w:rsid w:val="00857761"/>
    <w:rsid w:val="008604CB"/>
    <w:rsid w:val="00861EBD"/>
    <w:rsid w:val="00862E3B"/>
    <w:rsid w:val="00863033"/>
    <w:rsid w:val="00873777"/>
    <w:rsid w:val="00874EFE"/>
    <w:rsid w:val="008775D0"/>
    <w:rsid w:val="00882126"/>
    <w:rsid w:val="008837CA"/>
    <w:rsid w:val="008907F5"/>
    <w:rsid w:val="00892054"/>
    <w:rsid w:val="00892376"/>
    <w:rsid w:val="008933F1"/>
    <w:rsid w:val="008949BA"/>
    <w:rsid w:val="00895FE5"/>
    <w:rsid w:val="008A5E21"/>
    <w:rsid w:val="008B2F31"/>
    <w:rsid w:val="008B5EA1"/>
    <w:rsid w:val="008B742A"/>
    <w:rsid w:val="008C71D0"/>
    <w:rsid w:val="008C7D06"/>
    <w:rsid w:val="008D0601"/>
    <w:rsid w:val="008D1F11"/>
    <w:rsid w:val="008E5919"/>
    <w:rsid w:val="008E6A44"/>
    <w:rsid w:val="008F18D9"/>
    <w:rsid w:val="008F4F0F"/>
    <w:rsid w:val="008F6529"/>
    <w:rsid w:val="008F6FBC"/>
    <w:rsid w:val="00903092"/>
    <w:rsid w:val="00905951"/>
    <w:rsid w:val="00907873"/>
    <w:rsid w:val="00911833"/>
    <w:rsid w:val="00912D2C"/>
    <w:rsid w:val="00916EE4"/>
    <w:rsid w:val="00920F63"/>
    <w:rsid w:val="009243F3"/>
    <w:rsid w:val="0092769C"/>
    <w:rsid w:val="00927E5E"/>
    <w:rsid w:val="00931BCA"/>
    <w:rsid w:val="0093366B"/>
    <w:rsid w:val="00934185"/>
    <w:rsid w:val="009427EB"/>
    <w:rsid w:val="00942BAE"/>
    <w:rsid w:val="009437E1"/>
    <w:rsid w:val="00946126"/>
    <w:rsid w:val="00952DF9"/>
    <w:rsid w:val="009540AB"/>
    <w:rsid w:val="0095421D"/>
    <w:rsid w:val="00954892"/>
    <w:rsid w:val="00960C86"/>
    <w:rsid w:val="00963B1D"/>
    <w:rsid w:val="009767AF"/>
    <w:rsid w:val="00981F58"/>
    <w:rsid w:val="00982798"/>
    <w:rsid w:val="009869A5"/>
    <w:rsid w:val="00986D0A"/>
    <w:rsid w:val="009A3805"/>
    <w:rsid w:val="009B5AB1"/>
    <w:rsid w:val="009C19F8"/>
    <w:rsid w:val="009C37AF"/>
    <w:rsid w:val="009C4790"/>
    <w:rsid w:val="009C5FA4"/>
    <w:rsid w:val="009C6448"/>
    <w:rsid w:val="009C6885"/>
    <w:rsid w:val="009D25D6"/>
    <w:rsid w:val="009D53FB"/>
    <w:rsid w:val="009E1115"/>
    <w:rsid w:val="009E3E86"/>
    <w:rsid w:val="009E3EA1"/>
    <w:rsid w:val="009E73BC"/>
    <w:rsid w:val="009F0C0C"/>
    <w:rsid w:val="00A118A2"/>
    <w:rsid w:val="00A14BE6"/>
    <w:rsid w:val="00A21E06"/>
    <w:rsid w:val="00A21ECA"/>
    <w:rsid w:val="00A236B8"/>
    <w:rsid w:val="00A23F26"/>
    <w:rsid w:val="00A4001C"/>
    <w:rsid w:val="00A40AAB"/>
    <w:rsid w:val="00A43491"/>
    <w:rsid w:val="00A44A07"/>
    <w:rsid w:val="00A4501B"/>
    <w:rsid w:val="00A46D01"/>
    <w:rsid w:val="00A47AA2"/>
    <w:rsid w:val="00A50AF4"/>
    <w:rsid w:val="00A53C31"/>
    <w:rsid w:val="00A54E21"/>
    <w:rsid w:val="00A56173"/>
    <w:rsid w:val="00A63BDE"/>
    <w:rsid w:val="00A653BB"/>
    <w:rsid w:val="00A65CA9"/>
    <w:rsid w:val="00A70443"/>
    <w:rsid w:val="00A70816"/>
    <w:rsid w:val="00A71EB4"/>
    <w:rsid w:val="00A73590"/>
    <w:rsid w:val="00A752CE"/>
    <w:rsid w:val="00A7636D"/>
    <w:rsid w:val="00A771CA"/>
    <w:rsid w:val="00A772FF"/>
    <w:rsid w:val="00A82F8F"/>
    <w:rsid w:val="00A86EEB"/>
    <w:rsid w:val="00A8763A"/>
    <w:rsid w:val="00A87790"/>
    <w:rsid w:val="00A9138E"/>
    <w:rsid w:val="00A923E2"/>
    <w:rsid w:val="00A946C4"/>
    <w:rsid w:val="00A96264"/>
    <w:rsid w:val="00AA15D8"/>
    <w:rsid w:val="00AA2FFA"/>
    <w:rsid w:val="00AA5138"/>
    <w:rsid w:val="00AB578C"/>
    <w:rsid w:val="00AB722D"/>
    <w:rsid w:val="00AC0B02"/>
    <w:rsid w:val="00AC1C89"/>
    <w:rsid w:val="00AC46C6"/>
    <w:rsid w:val="00AC4C94"/>
    <w:rsid w:val="00AC4F85"/>
    <w:rsid w:val="00AD381B"/>
    <w:rsid w:val="00AE14DA"/>
    <w:rsid w:val="00AE5E81"/>
    <w:rsid w:val="00AE68A4"/>
    <w:rsid w:val="00AE7441"/>
    <w:rsid w:val="00AF5B5B"/>
    <w:rsid w:val="00AF5D1A"/>
    <w:rsid w:val="00B012F5"/>
    <w:rsid w:val="00B017F9"/>
    <w:rsid w:val="00B02251"/>
    <w:rsid w:val="00B07213"/>
    <w:rsid w:val="00B107BD"/>
    <w:rsid w:val="00B10A05"/>
    <w:rsid w:val="00B13B68"/>
    <w:rsid w:val="00B17373"/>
    <w:rsid w:val="00B25439"/>
    <w:rsid w:val="00B33825"/>
    <w:rsid w:val="00B33910"/>
    <w:rsid w:val="00B34B63"/>
    <w:rsid w:val="00B366F3"/>
    <w:rsid w:val="00B40000"/>
    <w:rsid w:val="00B43B6E"/>
    <w:rsid w:val="00B54167"/>
    <w:rsid w:val="00B62E06"/>
    <w:rsid w:val="00B632BF"/>
    <w:rsid w:val="00B64B1D"/>
    <w:rsid w:val="00B650AE"/>
    <w:rsid w:val="00B6729C"/>
    <w:rsid w:val="00B70706"/>
    <w:rsid w:val="00B745B3"/>
    <w:rsid w:val="00B74B73"/>
    <w:rsid w:val="00B80219"/>
    <w:rsid w:val="00B817A7"/>
    <w:rsid w:val="00B8357A"/>
    <w:rsid w:val="00B87844"/>
    <w:rsid w:val="00B91DF6"/>
    <w:rsid w:val="00B94010"/>
    <w:rsid w:val="00B9671B"/>
    <w:rsid w:val="00B96FC8"/>
    <w:rsid w:val="00BA1797"/>
    <w:rsid w:val="00BA1D31"/>
    <w:rsid w:val="00BB03CE"/>
    <w:rsid w:val="00BB0FE8"/>
    <w:rsid w:val="00BB25FA"/>
    <w:rsid w:val="00BB5218"/>
    <w:rsid w:val="00BB73D2"/>
    <w:rsid w:val="00BC0CFE"/>
    <w:rsid w:val="00BC0D31"/>
    <w:rsid w:val="00BC1A67"/>
    <w:rsid w:val="00BC737A"/>
    <w:rsid w:val="00BC7EE5"/>
    <w:rsid w:val="00BD0280"/>
    <w:rsid w:val="00BD0F48"/>
    <w:rsid w:val="00BD56DD"/>
    <w:rsid w:val="00BD748E"/>
    <w:rsid w:val="00BE37A4"/>
    <w:rsid w:val="00BE3F55"/>
    <w:rsid w:val="00BF5A79"/>
    <w:rsid w:val="00BF6825"/>
    <w:rsid w:val="00BF789F"/>
    <w:rsid w:val="00C0152F"/>
    <w:rsid w:val="00C04993"/>
    <w:rsid w:val="00C0654D"/>
    <w:rsid w:val="00C0784D"/>
    <w:rsid w:val="00C07F3C"/>
    <w:rsid w:val="00C13C7D"/>
    <w:rsid w:val="00C164D3"/>
    <w:rsid w:val="00C20670"/>
    <w:rsid w:val="00C224FD"/>
    <w:rsid w:val="00C2307A"/>
    <w:rsid w:val="00C23173"/>
    <w:rsid w:val="00C257EF"/>
    <w:rsid w:val="00C25D84"/>
    <w:rsid w:val="00C25EEE"/>
    <w:rsid w:val="00C31273"/>
    <w:rsid w:val="00C33336"/>
    <w:rsid w:val="00C359E8"/>
    <w:rsid w:val="00C525D4"/>
    <w:rsid w:val="00C60281"/>
    <w:rsid w:val="00C6179B"/>
    <w:rsid w:val="00C61A17"/>
    <w:rsid w:val="00C75C3B"/>
    <w:rsid w:val="00C80A90"/>
    <w:rsid w:val="00C81042"/>
    <w:rsid w:val="00C85D3F"/>
    <w:rsid w:val="00C86713"/>
    <w:rsid w:val="00C875E8"/>
    <w:rsid w:val="00C91805"/>
    <w:rsid w:val="00C92035"/>
    <w:rsid w:val="00C92A4C"/>
    <w:rsid w:val="00C94762"/>
    <w:rsid w:val="00C97743"/>
    <w:rsid w:val="00CA3D86"/>
    <w:rsid w:val="00CA59E3"/>
    <w:rsid w:val="00CA7264"/>
    <w:rsid w:val="00CB34B4"/>
    <w:rsid w:val="00CB5DC3"/>
    <w:rsid w:val="00CB5E77"/>
    <w:rsid w:val="00CB7206"/>
    <w:rsid w:val="00CC2354"/>
    <w:rsid w:val="00CC2A72"/>
    <w:rsid w:val="00CC35F0"/>
    <w:rsid w:val="00CC3FB5"/>
    <w:rsid w:val="00CD036D"/>
    <w:rsid w:val="00CD2067"/>
    <w:rsid w:val="00CD2B8E"/>
    <w:rsid w:val="00CD31B0"/>
    <w:rsid w:val="00CD3EFB"/>
    <w:rsid w:val="00CD426C"/>
    <w:rsid w:val="00CD47BC"/>
    <w:rsid w:val="00CE7FB0"/>
    <w:rsid w:val="00CF3A8F"/>
    <w:rsid w:val="00CF4C14"/>
    <w:rsid w:val="00CF5063"/>
    <w:rsid w:val="00D02FEE"/>
    <w:rsid w:val="00D040D9"/>
    <w:rsid w:val="00D100EA"/>
    <w:rsid w:val="00D10984"/>
    <w:rsid w:val="00D16674"/>
    <w:rsid w:val="00D21622"/>
    <w:rsid w:val="00D23555"/>
    <w:rsid w:val="00D23630"/>
    <w:rsid w:val="00D300DE"/>
    <w:rsid w:val="00D34984"/>
    <w:rsid w:val="00D36130"/>
    <w:rsid w:val="00D36C35"/>
    <w:rsid w:val="00D3799B"/>
    <w:rsid w:val="00D419FD"/>
    <w:rsid w:val="00D47362"/>
    <w:rsid w:val="00D47655"/>
    <w:rsid w:val="00D51B8B"/>
    <w:rsid w:val="00D55587"/>
    <w:rsid w:val="00D55B9C"/>
    <w:rsid w:val="00D607AD"/>
    <w:rsid w:val="00D71D4C"/>
    <w:rsid w:val="00D74E33"/>
    <w:rsid w:val="00D75313"/>
    <w:rsid w:val="00D84F70"/>
    <w:rsid w:val="00D90D26"/>
    <w:rsid w:val="00D927E4"/>
    <w:rsid w:val="00D930C9"/>
    <w:rsid w:val="00D93E14"/>
    <w:rsid w:val="00DA3587"/>
    <w:rsid w:val="00DA46C3"/>
    <w:rsid w:val="00DB1B9C"/>
    <w:rsid w:val="00DB5CA2"/>
    <w:rsid w:val="00DB69D1"/>
    <w:rsid w:val="00DC40D8"/>
    <w:rsid w:val="00DD1C05"/>
    <w:rsid w:val="00DD3972"/>
    <w:rsid w:val="00DD5580"/>
    <w:rsid w:val="00DE303B"/>
    <w:rsid w:val="00DE3386"/>
    <w:rsid w:val="00DE343C"/>
    <w:rsid w:val="00DE4A87"/>
    <w:rsid w:val="00DE5F5C"/>
    <w:rsid w:val="00DE70F7"/>
    <w:rsid w:val="00DF0308"/>
    <w:rsid w:val="00DF10FA"/>
    <w:rsid w:val="00DF2428"/>
    <w:rsid w:val="00DF7D66"/>
    <w:rsid w:val="00E05301"/>
    <w:rsid w:val="00E06DB4"/>
    <w:rsid w:val="00E07AFE"/>
    <w:rsid w:val="00E10B05"/>
    <w:rsid w:val="00E121B6"/>
    <w:rsid w:val="00E13DA3"/>
    <w:rsid w:val="00E16ACD"/>
    <w:rsid w:val="00E17134"/>
    <w:rsid w:val="00E176FF"/>
    <w:rsid w:val="00E22FD3"/>
    <w:rsid w:val="00E246F5"/>
    <w:rsid w:val="00E25EBC"/>
    <w:rsid w:val="00E27B21"/>
    <w:rsid w:val="00E353FD"/>
    <w:rsid w:val="00E3653A"/>
    <w:rsid w:val="00E40B0D"/>
    <w:rsid w:val="00E52C13"/>
    <w:rsid w:val="00E52E35"/>
    <w:rsid w:val="00E5638C"/>
    <w:rsid w:val="00E631A3"/>
    <w:rsid w:val="00E646E0"/>
    <w:rsid w:val="00E66550"/>
    <w:rsid w:val="00E73D5A"/>
    <w:rsid w:val="00E766FD"/>
    <w:rsid w:val="00E76CD7"/>
    <w:rsid w:val="00E875EF"/>
    <w:rsid w:val="00E877BF"/>
    <w:rsid w:val="00E917DE"/>
    <w:rsid w:val="00E950CD"/>
    <w:rsid w:val="00EA1767"/>
    <w:rsid w:val="00EA4DA5"/>
    <w:rsid w:val="00EA57F7"/>
    <w:rsid w:val="00EB0929"/>
    <w:rsid w:val="00EB0FA5"/>
    <w:rsid w:val="00EB600C"/>
    <w:rsid w:val="00EB7675"/>
    <w:rsid w:val="00EC01DD"/>
    <w:rsid w:val="00EC2060"/>
    <w:rsid w:val="00EC35E3"/>
    <w:rsid w:val="00EC37F5"/>
    <w:rsid w:val="00EC5C8F"/>
    <w:rsid w:val="00ED7042"/>
    <w:rsid w:val="00ED7195"/>
    <w:rsid w:val="00ED784E"/>
    <w:rsid w:val="00EE04B4"/>
    <w:rsid w:val="00EE0731"/>
    <w:rsid w:val="00EF26A2"/>
    <w:rsid w:val="00EF4C67"/>
    <w:rsid w:val="00F0414F"/>
    <w:rsid w:val="00F06FBC"/>
    <w:rsid w:val="00F07094"/>
    <w:rsid w:val="00F070F3"/>
    <w:rsid w:val="00F10D20"/>
    <w:rsid w:val="00F1110C"/>
    <w:rsid w:val="00F11782"/>
    <w:rsid w:val="00F27AAF"/>
    <w:rsid w:val="00F31BEC"/>
    <w:rsid w:val="00F33A8E"/>
    <w:rsid w:val="00F35C35"/>
    <w:rsid w:val="00F41303"/>
    <w:rsid w:val="00F4151E"/>
    <w:rsid w:val="00F44497"/>
    <w:rsid w:val="00F47A66"/>
    <w:rsid w:val="00F517F5"/>
    <w:rsid w:val="00F56B0C"/>
    <w:rsid w:val="00F5782B"/>
    <w:rsid w:val="00F632D2"/>
    <w:rsid w:val="00F64860"/>
    <w:rsid w:val="00F66AAF"/>
    <w:rsid w:val="00F67EF1"/>
    <w:rsid w:val="00F73131"/>
    <w:rsid w:val="00F74288"/>
    <w:rsid w:val="00F80A23"/>
    <w:rsid w:val="00F8580D"/>
    <w:rsid w:val="00F91526"/>
    <w:rsid w:val="00F932BE"/>
    <w:rsid w:val="00F95BDC"/>
    <w:rsid w:val="00FA2855"/>
    <w:rsid w:val="00FA48B5"/>
    <w:rsid w:val="00FA5C03"/>
    <w:rsid w:val="00FB2D4B"/>
    <w:rsid w:val="00FC1862"/>
    <w:rsid w:val="00FC63EB"/>
    <w:rsid w:val="00FC669D"/>
    <w:rsid w:val="00FD0CE5"/>
    <w:rsid w:val="00FD22B3"/>
    <w:rsid w:val="00FD353E"/>
    <w:rsid w:val="00FD45AA"/>
    <w:rsid w:val="00FD4F0B"/>
    <w:rsid w:val="00FD6190"/>
    <w:rsid w:val="00FE02FC"/>
    <w:rsid w:val="00FE1BAE"/>
    <w:rsid w:val="00FE43FB"/>
    <w:rsid w:val="00FE4511"/>
    <w:rsid w:val="00FE4F02"/>
    <w:rsid w:val="00FE7D8D"/>
    <w:rsid w:val="00FF15AF"/>
    <w:rsid w:val="00FF626A"/>
    <w:rsid w:val="02BE9892"/>
    <w:rsid w:val="02C0F7EB"/>
    <w:rsid w:val="039DE787"/>
    <w:rsid w:val="06DA696D"/>
    <w:rsid w:val="06E3E3B2"/>
    <w:rsid w:val="0BF67717"/>
    <w:rsid w:val="0C0318FC"/>
    <w:rsid w:val="0C2B4791"/>
    <w:rsid w:val="0CE7AB77"/>
    <w:rsid w:val="0DA4DD98"/>
    <w:rsid w:val="0FDEB600"/>
    <w:rsid w:val="13C86396"/>
    <w:rsid w:val="15EBC787"/>
    <w:rsid w:val="16D04915"/>
    <w:rsid w:val="1BC70E64"/>
    <w:rsid w:val="1BE9196C"/>
    <w:rsid w:val="1E8AB9C6"/>
    <w:rsid w:val="20E7CE57"/>
    <w:rsid w:val="2181F2E9"/>
    <w:rsid w:val="23E6EFD7"/>
    <w:rsid w:val="2497F36C"/>
    <w:rsid w:val="27216580"/>
    <w:rsid w:val="28B49D66"/>
    <w:rsid w:val="292A91E8"/>
    <w:rsid w:val="29D0E7FA"/>
    <w:rsid w:val="2A5C8562"/>
    <w:rsid w:val="2D96AB60"/>
    <w:rsid w:val="2E1F2C6F"/>
    <w:rsid w:val="2E5B0E60"/>
    <w:rsid w:val="2E777252"/>
    <w:rsid w:val="2E856038"/>
    <w:rsid w:val="2F8DC28E"/>
    <w:rsid w:val="32D1272D"/>
    <w:rsid w:val="33514177"/>
    <w:rsid w:val="33FD2799"/>
    <w:rsid w:val="3508296D"/>
    <w:rsid w:val="366D06CB"/>
    <w:rsid w:val="37EBCD6E"/>
    <w:rsid w:val="3DD438DB"/>
    <w:rsid w:val="40173F21"/>
    <w:rsid w:val="41A63643"/>
    <w:rsid w:val="425B574F"/>
    <w:rsid w:val="42AF5035"/>
    <w:rsid w:val="42B1B0D1"/>
    <w:rsid w:val="43A8BD6E"/>
    <w:rsid w:val="4418C0E8"/>
    <w:rsid w:val="44C42BEF"/>
    <w:rsid w:val="47ABB70D"/>
    <w:rsid w:val="49751A65"/>
    <w:rsid w:val="4FDB6305"/>
    <w:rsid w:val="51FD1EAE"/>
    <w:rsid w:val="5398EF0F"/>
    <w:rsid w:val="543E1EF8"/>
    <w:rsid w:val="55BF02F1"/>
    <w:rsid w:val="56D8AF2D"/>
    <w:rsid w:val="59B22EFE"/>
    <w:rsid w:val="5A797D63"/>
    <w:rsid w:val="5BF6134E"/>
    <w:rsid w:val="5D971148"/>
    <w:rsid w:val="5E95E0C3"/>
    <w:rsid w:val="632E1D28"/>
    <w:rsid w:val="66D6C851"/>
    <w:rsid w:val="672F1CF9"/>
    <w:rsid w:val="67E51EA8"/>
    <w:rsid w:val="6862CFDA"/>
    <w:rsid w:val="689A47C8"/>
    <w:rsid w:val="6CAB8E1F"/>
    <w:rsid w:val="6CC3833E"/>
    <w:rsid w:val="6DD2584B"/>
    <w:rsid w:val="6E4407A9"/>
    <w:rsid w:val="6E4AEF79"/>
    <w:rsid w:val="6F4A24FC"/>
    <w:rsid w:val="6F6E4526"/>
    <w:rsid w:val="71C2744B"/>
    <w:rsid w:val="73FD70FC"/>
    <w:rsid w:val="7A260FF0"/>
    <w:rsid w:val="7BDF098B"/>
    <w:rsid w:val="7D6014D0"/>
    <w:rsid w:val="7E451BCB"/>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3E5849A"/>
  <w15:docId w15:val="{642CA09B-C68C-4CC9-AB3B-F895409A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FollowedHyperlink">
    <w:name w:val="FollowedHyperlink"/>
    <w:basedOn w:val="DefaultParagraphFont"/>
    <w:uiPriority w:val="99"/>
    <w:semiHidden/>
    <w:unhideWhenUsed/>
    <w:rsid w:val="00B33910"/>
    <w:rPr>
      <w:color w:val="800080" w:themeColor="followedHyperlink"/>
      <w:u w:val="single"/>
    </w:rPr>
  </w:style>
  <w:style w:type="character" w:styleId="Mention">
    <w:name w:val="Mention"/>
    <w:basedOn w:val="DefaultParagraphFont"/>
    <w:uiPriority w:val="99"/>
    <w:unhideWhenUsed/>
    <w:rsid w:val="00634E3A"/>
    <w:rPr>
      <w:color w:val="2B579A"/>
      <w:shd w:val="clear" w:color="auto" w:fill="E1DFDD"/>
    </w:rPr>
  </w:style>
  <w:style w:type="paragraph" w:styleId="Revision">
    <w:name w:val="Revision"/>
    <w:hidden/>
    <w:uiPriority w:val="99"/>
    <w:semiHidden/>
    <w:rsid w:val="00481AD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oreignfundinghighered.gov" TargetMode="External" /><Relationship Id="rId11" Type="http://schemas.openxmlformats.org/officeDocument/2006/relationships/hyperlink" Target="http://www.foreignfundinghighered.gov" TargetMode="External" /><Relationship Id="rId12" Type="http://schemas.openxmlformats.org/officeDocument/2006/relationships/hyperlink" Target="https://www.bls.gov/oes/current/oes_nat.html" TargetMode="External" /><Relationship Id="rId13" Type="http://schemas.openxmlformats.org/officeDocument/2006/relationships/hyperlink" Target="https://www.bls.gov/oes/current/oes119033.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USCODE-2017-title20/pdf/USCODE-2017-title20-chap28-subchapI-partB-sec1011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3865</Words>
  <Characters>21722</Characters>
  <Application>Microsoft Office Word</Application>
  <DocSecurity>0</DocSecurity>
  <Lines>517</Lines>
  <Paragraphs>162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Bureau, Lisa</cp:lastModifiedBy>
  <cp:revision>3</cp:revision>
  <cp:lastPrinted>2026-01-06T19:05:00Z</cp:lastPrinted>
  <dcterms:created xsi:type="dcterms:W3CDTF">2026-06-25T20:10:00Z</dcterms:created>
  <dcterms:modified xsi:type="dcterms:W3CDTF">2026-06-25T20:10:00Z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