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13498" w:rsidP="001E3281" w14:paraId="173BB469" w14:textId="77777777">
      <w:pPr>
        <w:pStyle w:val="Heading1"/>
        <w:rPr>
          <w:b/>
          <w:bCs/>
          <w:sz w:val="24"/>
          <w:szCs w:val="24"/>
        </w:rPr>
      </w:pPr>
    </w:p>
    <w:p w:rsidR="00043C32" w:rsidRPr="00F74288" w:rsidP="001E3281" w14:paraId="6D1A6BB3" w14:textId="5EB968D2">
      <w:pPr>
        <w:pStyle w:val="Heading1"/>
        <w:rPr>
          <w:b/>
          <w:bCs/>
          <w:sz w:val="24"/>
          <w:szCs w:val="24"/>
        </w:rPr>
      </w:pPr>
      <w:r>
        <w:rPr>
          <w:b/>
          <w:bCs/>
          <w:sz w:val="24"/>
          <w:szCs w:val="24"/>
        </w:rPr>
        <w:t xml:space="preserve"> </w:t>
      </w:r>
      <w:r w:rsidRPr="00F74288" w:rsidR="00F15B95">
        <w:rPr>
          <w:b/>
          <w:bCs/>
          <w:sz w:val="24"/>
          <w:szCs w:val="24"/>
        </w:rPr>
        <w:t>SUPPORTING STATEMENT</w:t>
      </w:r>
    </w:p>
    <w:p w:rsidR="00043C32" w:rsidRPr="00F74288" w:rsidP="001E3281" w14:paraId="29A2B501" w14:textId="77777777">
      <w:pPr>
        <w:pStyle w:val="Heading1"/>
        <w:rPr>
          <w:b/>
          <w:bCs/>
          <w:sz w:val="24"/>
          <w:szCs w:val="24"/>
        </w:rPr>
      </w:pPr>
      <w:r w:rsidRPr="00F74288">
        <w:rPr>
          <w:b/>
          <w:bCs/>
          <w:sz w:val="24"/>
          <w:szCs w:val="24"/>
        </w:rPr>
        <w:t>FOR PAPERWORK REDUCTION ACT SUBMISSION</w:t>
      </w:r>
    </w:p>
    <w:p w:rsidR="001E3281" w:rsidRPr="001E3281" w:rsidP="001E3281" w14:paraId="6206AE52" w14:textId="0074A63C">
      <w:pPr>
        <w:pStyle w:val="Title"/>
        <w:spacing w:before="0" w:after="0"/>
        <w:rPr>
          <w:rFonts w:asciiTheme="minorHAnsi" w:hAnsiTheme="minorHAnsi" w:cstheme="minorHAnsi"/>
          <w:b w:val="0"/>
          <w:bCs/>
          <w:sz w:val="24"/>
          <w:szCs w:val="24"/>
        </w:rPr>
      </w:pPr>
      <w:r w:rsidRPr="001E3281">
        <w:rPr>
          <w:rFonts w:asciiTheme="minorHAnsi" w:hAnsiTheme="minorHAnsi" w:cstheme="minorHAnsi"/>
          <w:b w:val="0"/>
          <w:bCs/>
          <w:sz w:val="24"/>
          <w:szCs w:val="24"/>
        </w:rPr>
        <w:t>Loan Rehabilitation: Reasonable and Affordable Payments</w:t>
      </w:r>
    </w:p>
    <w:p w:rsidR="00043C32" w:rsidRPr="00AD381B" w:rsidP="001E3281" w14:paraId="355A5A27" w14:textId="77777777">
      <w:pPr>
        <w:tabs>
          <w:tab w:val="left" w:pos="0"/>
        </w:tabs>
        <w:suppressAutoHyphens/>
        <w:rPr>
          <w:rFonts w:ascii="Times New Roman" w:hAnsi="Times New Roman"/>
          <w:szCs w:val="24"/>
        </w:rPr>
      </w:pPr>
    </w:p>
    <w:p w:rsidR="00EA1767" w:rsidP="001E3281" w14:paraId="66416641"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 xml:space="preserve">What is the purpose </w:t>
      </w:r>
      <w:r w:rsidRPr="00246FE9" w:rsidR="007C0A4C">
        <w:rPr>
          <w:rFonts w:ascii="Times New Roman" w:hAnsi="Times New Roman"/>
          <w:b/>
          <w:szCs w:val="24"/>
        </w:rPr>
        <w:t>for</w:t>
      </w:r>
      <w:r w:rsidRPr="00246FE9" w:rsidR="007C0A4C">
        <w:rPr>
          <w:rFonts w:ascii="Times New Roman" w:hAnsi="Times New Roman"/>
          <w:b/>
          <w:szCs w:val="24"/>
        </w:rPr>
        <w:t xml:space="preserve">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1E3281" w14:paraId="75FCAE84" w14:textId="77777777">
      <w:pPr>
        <w:suppressAutoHyphens/>
        <w:spacing w:line="240" w:lineRule="exact"/>
        <w:ind w:left="720"/>
        <w:rPr>
          <w:rFonts w:ascii="Times New Roman" w:hAnsi="Times New Roman"/>
          <w:bCs/>
          <w:szCs w:val="24"/>
        </w:rPr>
      </w:pPr>
    </w:p>
    <w:p w:rsidR="00AD381B" w:rsidP="001E3281" w14:paraId="630FDF58" w14:textId="687FC772">
      <w:pPr>
        <w:pStyle w:val="ListParagraph"/>
        <w:suppressAutoHyphens/>
        <w:contextualSpacing w:val="0"/>
        <w:rPr>
          <w:rFonts w:asciiTheme="minorHAnsi" w:hAnsiTheme="minorHAnsi" w:cstheme="minorHAnsi"/>
          <w:szCs w:val="24"/>
        </w:rPr>
      </w:pPr>
      <w:r w:rsidRPr="002D1D0A">
        <w:rPr>
          <w:rFonts w:asciiTheme="minorHAnsi" w:hAnsiTheme="minorHAnsi" w:cstheme="minorHAnsi"/>
          <w:szCs w:val="24"/>
        </w:rPr>
        <w:t>This is a request for a</w:t>
      </w:r>
      <w:r w:rsidR="006C6300">
        <w:rPr>
          <w:rFonts w:asciiTheme="minorHAnsi" w:hAnsiTheme="minorHAnsi" w:cstheme="minorHAnsi"/>
          <w:szCs w:val="24"/>
        </w:rPr>
        <w:t xml:space="preserve"> reinstatement </w:t>
      </w:r>
      <w:r w:rsidR="00C35592">
        <w:rPr>
          <w:rFonts w:asciiTheme="minorHAnsi" w:hAnsiTheme="minorHAnsi" w:cstheme="minorHAnsi"/>
          <w:szCs w:val="24"/>
        </w:rPr>
        <w:t xml:space="preserve">with change </w:t>
      </w:r>
      <w:r w:rsidRPr="002D1D0A">
        <w:rPr>
          <w:rFonts w:asciiTheme="minorHAnsi" w:hAnsiTheme="minorHAnsi" w:cstheme="minorHAnsi"/>
          <w:szCs w:val="24"/>
        </w:rPr>
        <w:t xml:space="preserve">of </w:t>
      </w:r>
      <w:r w:rsidRPr="002D1D0A">
        <w:rPr>
          <w:rFonts w:asciiTheme="minorHAnsi" w:hAnsiTheme="minorHAnsi" w:cstheme="minorHAnsi"/>
          <w:szCs w:val="24"/>
        </w:rPr>
        <w:t>the information</w:t>
      </w:r>
      <w:r w:rsidRPr="002D1D0A">
        <w:rPr>
          <w:rFonts w:asciiTheme="minorHAnsi" w:hAnsiTheme="minorHAnsi" w:cstheme="minorHAnsi"/>
          <w:szCs w:val="24"/>
        </w:rPr>
        <w:t xml:space="preserve"> collection for the form used to obtain standardized financial information from borrowers with defaulted</w:t>
      </w:r>
      <w:r w:rsidR="002D24C3">
        <w:rPr>
          <w:rFonts w:asciiTheme="minorHAnsi" w:hAnsiTheme="minorHAnsi" w:cstheme="minorHAnsi"/>
          <w:szCs w:val="24"/>
        </w:rPr>
        <w:t xml:space="preserve"> </w:t>
      </w:r>
      <w:r w:rsidR="00C463A7">
        <w:rPr>
          <w:rFonts w:asciiTheme="minorHAnsi" w:hAnsiTheme="minorHAnsi" w:cstheme="minorHAnsi"/>
          <w:szCs w:val="24"/>
        </w:rPr>
        <w:t>Direct Loan</w:t>
      </w:r>
      <w:r w:rsidRPr="002D1D0A" w:rsidR="00C463A7">
        <w:rPr>
          <w:rFonts w:asciiTheme="minorHAnsi" w:hAnsiTheme="minorHAnsi" w:cstheme="minorHAnsi"/>
          <w:szCs w:val="24"/>
        </w:rPr>
        <w:t xml:space="preserve"> </w:t>
      </w:r>
      <w:r w:rsidR="00C463A7">
        <w:rPr>
          <w:rFonts w:asciiTheme="minorHAnsi" w:hAnsiTheme="minorHAnsi" w:cstheme="minorHAnsi"/>
          <w:szCs w:val="24"/>
        </w:rPr>
        <w:t>(</w:t>
      </w:r>
      <w:r w:rsidRPr="002D1D0A" w:rsidR="00C463A7">
        <w:rPr>
          <w:rFonts w:asciiTheme="minorHAnsi" w:hAnsiTheme="minorHAnsi" w:cstheme="minorHAnsi"/>
          <w:szCs w:val="24"/>
        </w:rPr>
        <w:t>DL</w:t>
      </w:r>
      <w:r w:rsidR="00C463A7">
        <w:rPr>
          <w:rFonts w:asciiTheme="minorHAnsi" w:hAnsiTheme="minorHAnsi" w:cstheme="minorHAnsi"/>
          <w:szCs w:val="24"/>
        </w:rPr>
        <w:t>)</w:t>
      </w:r>
      <w:r w:rsidRPr="002D1D0A" w:rsidR="00C463A7">
        <w:rPr>
          <w:rFonts w:asciiTheme="minorHAnsi" w:hAnsiTheme="minorHAnsi" w:cstheme="minorHAnsi"/>
          <w:szCs w:val="24"/>
        </w:rPr>
        <w:t xml:space="preserve"> </w:t>
      </w:r>
      <w:r w:rsidRPr="002D1D0A">
        <w:rPr>
          <w:rFonts w:asciiTheme="minorHAnsi" w:hAnsiTheme="minorHAnsi" w:cstheme="minorHAnsi"/>
          <w:szCs w:val="24"/>
        </w:rPr>
        <w:t>or</w:t>
      </w:r>
      <w:r w:rsidR="002D24C3">
        <w:rPr>
          <w:rFonts w:asciiTheme="minorHAnsi" w:hAnsiTheme="minorHAnsi" w:cstheme="minorHAnsi"/>
          <w:szCs w:val="24"/>
        </w:rPr>
        <w:t xml:space="preserve"> </w:t>
      </w:r>
      <w:r w:rsidR="00C463A7">
        <w:rPr>
          <w:rFonts w:asciiTheme="minorHAnsi" w:hAnsiTheme="minorHAnsi" w:cstheme="minorHAnsi"/>
          <w:szCs w:val="24"/>
        </w:rPr>
        <w:t>Federal Family Education Loan (</w:t>
      </w:r>
      <w:r w:rsidRPr="002D1D0A" w:rsidR="00C463A7">
        <w:rPr>
          <w:rFonts w:asciiTheme="minorHAnsi" w:hAnsiTheme="minorHAnsi" w:cstheme="minorHAnsi"/>
          <w:szCs w:val="24"/>
        </w:rPr>
        <w:t>FFEL</w:t>
      </w:r>
      <w:r w:rsidR="00C463A7">
        <w:rPr>
          <w:rFonts w:asciiTheme="minorHAnsi" w:hAnsiTheme="minorHAnsi" w:cstheme="minorHAnsi"/>
          <w:szCs w:val="24"/>
        </w:rPr>
        <w:t>) P</w:t>
      </w:r>
      <w:r w:rsidRPr="002D1D0A">
        <w:rPr>
          <w:rFonts w:asciiTheme="minorHAnsi" w:hAnsiTheme="minorHAnsi" w:cstheme="minorHAnsi"/>
          <w:szCs w:val="24"/>
        </w:rPr>
        <w:t xml:space="preserve">rogram loans. This information is used by either the </w:t>
      </w:r>
      <w:r w:rsidR="002D24C3">
        <w:rPr>
          <w:rFonts w:asciiTheme="minorHAnsi" w:hAnsiTheme="minorHAnsi" w:cstheme="minorHAnsi"/>
          <w:szCs w:val="24"/>
        </w:rPr>
        <w:t>U.S. Department of Education (the Department)</w:t>
      </w:r>
      <w:r w:rsidRPr="002D1D0A">
        <w:rPr>
          <w:rFonts w:asciiTheme="minorHAnsi" w:hAnsiTheme="minorHAnsi" w:cstheme="minorHAnsi"/>
          <w:szCs w:val="24"/>
        </w:rPr>
        <w:t xml:space="preserve"> or a guaranty agency to </w:t>
      </w:r>
      <w:r w:rsidRPr="002D1D0A">
        <w:rPr>
          <w:rFonts w:asciiTheme="minorHAnsi" w:hAnsiTheme="minorHAnsi" w:cstheme="minorHAnsi"/>
          <w:szCs w:val="24"/>
        </w:rPr>
        <w:t>make a determination</w:t>
      </w:r>
      <w:r w:rsidRPr="002D1D0A">
        <w:rPr>
          <w:rFonts w:asciiTheme="minorHAnsi" w:hAnsiTheme="minorHAnsi" w:cstheme="minorHAnsi"/>
          <w:szCs w:val="24"/>
        </w:rPr>
        <w:t xml:space="preserve"> of a reasonable and affordable monthly loan payment which if made according to the agreed schedule would afford defaulted borrowers an opportunity for loan rehabilitation. Sections 685.211(f)(5) and 682.405(b)(1)(vii) require some borrowers to provide the </w:t>
      </w:r>
      <w:r w:rsidR="002D24C3">
        <w:rPr>
          <w:rFonts w:asciiTheme="minorHAnsi" w:hAnsiTheme="minorHAnsi" w:cstheme="minorHAnsi"/>
          <w:szCs w:val="24"/>
        </w:rPr>
        <w:t>Department</w:t>
      </w:r>
      <w:r w:rsidRPr="002D1D0A">
        <w:rPr>
          <w:rFonts w:asciiTheme="minorHAnsi" w:hAnsiTheme="minorHAnsi" w:cstheme="minorHAnsi"/>
          <w:szCs w:val="24"/>
        </w:rPr>
        <w:t xml:space="preserve"> or the </w:t>
      </w:r>
      <w:r w:rsidRPr="002D1D0A" w:rsidR="002D24C3">
        <w:rPr>
          <w:rFonts w:asciiTheme="minorHAnsi" w:hAnsiTheme="minorHAnsi" w:cstheme="minorHAnsi"/>
          <w:szCs w:val="24"/>
        </w:rPr>
        <w:t xml:space="preserve">guaranty </w:t>
      </w:r>
      <w:r w:rsidRPr="002D1D0A" w:rsidR="002D24C3">
        <w:rPr>
          <w:rFonts w:asciiTheme="minorHAnsi" w:hAnsiTheme="minorHAnsi" w:cstheme="minorHAnsi"/>
          <w:szCs w:val="24"/>
        </w:rPr>
        <w:t>agency</w:t>
      </w:r>
      <w:r w:rsidRPr="002D1D0A" w:rsidR="002D24C3">
        <w:rPr>
          <w:rFonts w:asciiTheme="minorHAnsi" w:hAnsiTheme="minorHAnsi" w:cstheme="minorHAnsi"/>
          <w:szCs w:val="24"/>
        </w:rPr>
        <w:t xml:space="preserve"> </w:t>
      </w:r>
      <w:r w:rsidRPr="002D1D0A">
        <w:rPr>
          <w:rFonts w:asciiTheme="minorHAnsi" w:hAnsiTheme="minorHAnsi" w:cstheme="minorHAnsi"/>
          <w:szCs w:val="24"/>
        </w:rPr>
        <w:t>the information needed to calculate a monthly rehabilitation payment amount by completing this form and supplying supporting documentation as needed.</w:t>
      </w:r>
    </w:p>
    <w:p w:rsidR="00052F52" w:rsidP="001E3281" w14:paraId="488BAAEC" w14:textId="77777777">
      <w:pPr>
        <w:pStyle w:val="ListParagraph"/>
        <w:suppressAutoHyphens/>
        <w:contextualSpacing w:val="0"/>
        <w:rPr>
          <w:rFonts w:asciiTheme="minorHAnsi" w:hAnsiTheme="minorHAnsi" w:cstheme="minorHAnsi"/>
          <w:szCs w:val="24"/>
        </w:rPr>
      </w:pPr>
    </w:p>
    <w:p w:rsidR="00052F52" w:rsidRPr="002D1D0A" w:rsidP="7DCE5C67" w14:paraId="6104FCF2" w14:textId="2C60FA99">
      <w:pPr>
        <w:ind w:left="720"/>
        <w:rPr>
          <w:rFonts w:asciiTheme="minorHAnsi" w:hAnsiTheme="minorHAnsi" w:cstheme="minorBidi"/>
        </w:rPr>
      </w:pPr>
      <w:r w:rsidRPr="7DCE5C67">
        <w:rPr>
          <w:rFonts w:asciiTheme="minorHAnsi" w:hAnsiTheme="minorHAnsi" w:cstheme="minorBidi"/>
        </w:rPr>
        <w:t xml:space="preserve">The One Big Beautiful Bill Act (OBBBA) signed into law on July 4, 2025, made statutory changes that require updates to the 1845-0120 Loan Rehabilitation: Reasonable and Affordable Payments collection. This supporting statement and accompanying information collection package reflect the statutory changes made by the OBBBA for the 2026-27 award year. </w:t>
      </w:r>
    </w:p>
    <w:p w:rsidR="00052F52" w:rsidRPr="002D1D0A" w:rsidP="7DCE5C67" w14:paraId="14DCE438" w14:textId="3333A196">
      <w:pPr>
        <w:ind w:left="720"/>
        <w:rPr>
          <w:rFonts w:asciiTheme="minorHAnsi" w:hAnsiTheme="minorHAnsi" w:cstheme="minorBidi"/>
        </w:rPr>
      </w:pPr>
    </w:p>
    <w:p w:rsidR="00052F52" w:rsidRPr="002D1D0A" w:rsidP="32A91649" w14:paraId="163ECF0C" w14:textId="4123DC27">
      <w:pPr>
        <w:ind w:left="720"/>
        <w:rPr>
          <w:rFonts w:asciiTheme="minorHAnsi" w:hAnsiTheme="minorHAnsi" w:cstheme="minorBidi"/>
        </w:rPr>
      </w:pPr>
      <w:r>
        <w:rPr>
          <w:rFonts w:asciiTheme="minorHAnsi" w:hAnsiTheme="minorHAnsi" w:cstheme="minorBidi"/>
        </w:rPr>
        <w:t xml:space="preserve">Currently, </w:t>
      </w:r>
      <w:r w:rsidR="00C867E6">
        <w:rPr>
          <w:rFonts w:asciiTheme="minorHAnsi" w:hAnsiTheme="minorHAnsi" w:cstheme="minorBidi"/>
        </w:rPr>
        <w:t xml:space="preserve">borrowers who do not </w:t>
      </w:r>
      <w:r w:rsidR="00BE4052">
        <w:rPr>
          <w:rFonts w:asciiTheme="minorHAnsi" w:hAnsiTheme="minorHAnsi" w:cstheme="minorBidi"/>
        </w:rPr>
        <w:t>select a repayment plan</w:t>
      </w:r>
      <w:r w:rsidR="009A4FE0">
        <w:rPr>
          <w:rFonts w:asciiTheme="minorHAnsi" w:hAnsiTheme="minorHAnsi" w:cstheme="minorBidi"/>
        </w:rPr>
        <w:t xml:space="preserve"> after loan rehabilitation</w:t>
      </w:r>
      <w:r w:rsidR="00BE4052">
        <w:rPr>
          <w:rFonts w:asciiTheme="minorHAnsi" w:hAnsiTheme="minorHAnsi" w:cstheme="minorBidi"/>
        </w:rPr>
        <w:t xml:space="preserve"> are placed on the Standard Repayment Plan. </w:t>
      </w:r>
      <w:r w:rsidR="00552480">
        <w:rPr>
          <w:rFonts w:asciiTheme="minorHAnsi" w:hAnsiTheme="minorHAnsi" w:cstheme="minorBidi"/>
        </w:rPr>
        <w:t xml:space="preserve">However, </w:t>
      </w:r>
      <w:r w:rsidRPr="32A91649" w:rsidR="7FB5573F">
        <w:rPr>
          <w:rFonts w:asciiTheme="minorHAnsi" w:hAnsiTheme="minorHAnsi" w:cstheme="minorBidi"/>
        </w:rPr>
        <w:t xml:space="preserve">OBBBA </w:t>
      </w:r>
      <w:r w:rsidRPr="32A91649" w:rsidR="24C9D70A">
        <w:rPr>
          <w:rFonts w:asciiTheme="minorHAnsi" w:hAnsiTheme="minorHAnsi" w:cstheme="minorBidi"/>
        </w:rPr>
        <w:t xml:space="preserve">limits </w:t>
      </w:r>
      <w:r w:rsidRPr="32A91649" w:rsidR="7FB5573F">
        <w:rPr>
          <w:rFonts w:asciiTheme="minorHAnsi" w:hAnsiTheme="minorHAnsi" w:cstheme="minorBidi"/>
        </w:rPr>
        <w:t>borrowers with a first lo</w:t>
      </w:r>
      <w:r w:rsidRPr="32A91649" w:rsidR="6CFECEE8">
        <w:rPr>
          <w:rFonts w:asciiTheme="minorHAnsi" w:hAnsiTheme="minorHAnsi" w:cstheme="minorBidi"/>
        </w:rPr>
        <w:t xml:space="preserve">an disbursement on or after July 1, </w:t>
      </w:r>
      <w:r w:rsidRPr="32A91649" w:rsidR="6CFECEE8">
        <w:rPr>
          <w:rFonts w:asciiTheme="minorHAnsi" w:hAnsiTheme="minorHAnsi" w:cstheme="minorBidi"/>
        </w:rPr>
        <w:t>2026</w:t>
      </w:r>
      <w:r w:rsidRPr="32A91649" w:rsidR="19F25128">
        <w:rPr>
          <w:rFonts w:asciiTheme="minorHAnsi" w:hAnsiTheme="minorHAnsi" w:cstheme="minorBidi"/>
        </w:rPr>
        <w:t xml:space="preserve"> </w:t>
      </w:r>
      <w:r w:rsidRPr="32A91649" w:rsidR="349942DE">
        <w:rPr>
          <w:rFonts w:asciiTheme="minorHAnsi" w:hAnsiTheme="minorHAnsi" w:cstheme="minorBidi"/>
        </w:rPr>
        <w:t xml:space="preserve">to two loan repayment plans </w:t>
      </w:r>
      <w:r w:rsidRPr="32A91649" w:rsidR="19F25128">
        <w:rPr>
          <w:rFonts w:asciiTheme="minorHAnsi" w:hAnsiTheme="minorHAnsi" w:cstheme="minorBidi"/>
        </w:rPr>
        <w:t>– the Tiered Standard Plan and the Repayment Assistance Plan</w:t>
      </w:r>
      <w:r w:rsidRPr="32A91649" w:rsidR="6CFECEE8">
        <w:rPr>
          <w:rFonts w:asciiTheme="minorHAnsi" w:hAnsiTheme="minorHAnsi" w:cstheme="minorBidi"/>
        </w:rPr>
        <w:t>. Borrowers with no initial disbursements as of July 1, 2026, will remain eligible for the legacy repayment plans</w:t>
      </w:r>
      <w:r w:rsidR="00AC2B56">
        <w:rPr>
          <w:rFonts w:asciiTheme="minorHAnsi" w:hAnsiTheme="minorHAnsi" w:cstheme="minorBidi"/>
        </w:rPr>
        <w:t xml:space="preserve"> including the Standard Repayment Plan</w:t>
      </w:r>
      <w:r w:rsidRPr="32A91649" w:rsidR="6CFECEE8">
        <w:rPr>
          <w:rFonts w:asciiTheme="minorHAnsi" w:hAnsiTheme="minorHAnsi" w:cstheme="minorBidi"/>
        </w:rPr>
        <w:t xml:space="preserve">. </w:t>
      </w:r>
      <w:r w:rsidRPr="32A91649" w:rsidR="3770FEB3">
        <w:rPr>
          <w:rFonts w:asciiTheme="minorHAnsi" w:hAnsiTheme="minorHAnsi" w:cstheme="minorBidi"/>
        </w:rPr>
        <w:t xml:space="preserve">The Loan Rehabilitation: Reasonable and Affordable Payments </w:t>
      </w:r>
      <w:r w:rsidRPr="32A91649" w:rsidR="4F9F2613">
        <w:rPr>
          <w:rFonts w:asciiTheme="minorHAnsi" w:hAnsiTheme="minorHAnsi" w:cstheme="minorBidi"/>
        </w:rPr>
        <w:t xml:space="preserve">form explains </w:t>
      </w:r>
      <w:r w:rsidRPr="32A91649" w:rsidR="59185B46">
        <w:rPr>
          <w:rFonts w:asciiTheme="minorHAnsi" w:hAnsiTheme="minorHAnsi" w:cstheme="minorBidi"/>
        </w:rPr>
        <w:t xml:space="preserve">that </w:t>
      </w:r>
      <w:r w:rsidRPr="32A91649" w:rsidR="4F9F2613">
        <w:rPr>
          <w:rFonts w:asciiTheme="minorHAnsi" w:hAnsiTheme="minorHAnsi" w:cstheme="minorBidi"/>
        </w:rPr>
        <w:t>a borrower</w:t>
      </w:r>
      <w:r w:rsidR="00D76A2D">
        <w:rPr>
          <w:rFonts w:asciiTheme="minorHAnsi" w:hAnsiTheme="minorHAnsi" w:cstheme="minorBidi"/>
        </w:rPr>
        <w:t xml:space="preserve"> </w:t>
      </w:r>
      <w:r w:rsidR="00BB07DD">
        <w:rPr>
          <w:rFonts w:asciiTheme="minorHAnsi" w:hAnsiTheme="minorHAnsi" w:cstheme="minorBidi"/>
        </w:rPr>
        <w:t xml:space="preserve">with no new loans after July 1, </w:t>
      </w:r>
      <w:r w:rsidR="00BB07DD">
        <w:rPr>
          <w:rFonts w:asciiTheme="minorHAnsi" w:hAnsiTheme="minorHAnsi" w:cstheme="minorBidi"/>
        </w:rPr>
        <w:t>2026</w:t>
      </w:r>
      <w:r w:rsidR="00BB07DD">
        <w:rPr>
          <w:rFonts w:asciiTheme="minorHAnsi" w:hAnsiTheme="minorHAnsi" w:cstheme="minorBidi"/>
        </w:rPr>
        <w:t xml:space="preserve"> will still </w:t>
      </w:r>
      <w:r w:rsidRPr="32A91649" w:rsidR="4F9F2613">
        <w:rPr>
          <w:rFonts w:asciiTheme="minorHAnsi" w:hAnsiTheme="minorHAnsi" w:cstheme="minorBidi"/>
        </w:rPr>
        <w:t xml:space="preserve">be placed </w:t>
      </w:r>
      <w:r w:rsidRPr="32A91649" w:rsidR="7C1549C4">
        <w:rPr>
          <w:rFonts w:asciiTheme="minorHAnsi" w:hAnsiTheme="minorHAnsi" w:cstheme="minorBidi"/>
        </w:rPr>
        <w:t xml:space="preserve">on the Standard Repayment plan </w:t>
      </w:r>
      <w:r w:rsidRPr="32A91649" w:rsidR="4F9F2613">
        <w:rPr>
          <w:rFonts w:asciiTheme="minorHAnsi" w:hAnsiTheme="minorHAnsi" w:cstheme="minorBidi"/>
        </w:rPr>
        <w:t xml:space="preserve">if the borrower </w:t>
      </w:r>
      <w:r w:rsidRPr="32A91649" w:rsidR="3B39309A">
        <w:rPr>
          <w:rFonts w:asciiTheme="minorHAnsi" w:hAnsiTheme="minorHAnsi" w:cstheme="minorBidi"/>
        </w:rPr>
        <w:t xml:space="preserve">does not select a repayment option once the loan is rehabilitated. </w:t>
      </w:r>
      <w:r w:rsidR="00E02154">
        <w:rPr>
          <w:rFonts w:asciiTheme="minorHAnsi" w:hAnsiTheme="minorHAnsi" w:cstheme="minorBidi"/>
        </w:rPr>
        <w:t xml:space="preserve">Borrowers with </w:t>
      </w:r>
      <w:r w:rsidRPr="5A5AEA3E" w:rsidR="2CCFDA30">
        <w:rPr>
          <w:rFonts w:asciiTheme="minorHAnsi" w:hAnsiTheme="minorHAnsi" w:cstheme="minorBidi"/>
        </w:rPr>
        <w:t xml:space="preserve">a first </w:t>
      </w:r>
      <w:r w:rsidRPr="5A5AEA3E" w:rsidR="00E02154">
        <w:rPr>
          <w:rFonts w:asciiTheme="minorHAnsi" w:hAnsiTheme="minorHAnsi" w:cstheme="minorBidi"/>
        </w:rPr>
        <w:t>loan disburse</w:t>
      </w:r>
      <w:r w:rsidRPr="5A5AEA3E" w:rsidR="208B8529">
        <w:rPr>
          <w:rFonts w:asciiTheme="minorHAnsi" w:hAnsiTheme="minorHAnsi" w:cstheme="minorBidi"/>
        </w:rPr>
        <w:t>ment</w:t>
      </w:r>
      <w:r w:rsidR="00E02154">
        <w:rPr>
          <w:rFonts w:asciiTheme="minorHAnsi" w:hAnsiTheme="minorHAnsi" w:cstheme="minorBidi"/>
        </w:rPr>
        <w:t xml:space="preserve"> after July 1, 2026</w:t>
      </w:r>
      <w:r w:rsidRPr="5A5AEA3E" w:rsidR="2018EBD3">
        <w:rPr>
          <w:rFonts w:asciiTheme="minorHAnsi" w:hAnsiTheme="minorHAnsi" w:cstheme="minorBidi"/>
        </w:rPr>
        <w:t xml:space="preserve">, and the borrower does not select a repayment option once the loan is rehabilitated, </w:t>
      </w:r>
      <w:r w:rsidR="00E02154">
        <w:rPr>
          <w:rFonts w:asciiTheme="minorHAnsi" w:hAnsiTheme="minorHAnsi" w:cstheme="minorBidi"/>
        </w:rPr>
        <w:t>will be aut</w:t>
      </w:r>
      <w:r w:rsidR="00C206CC">
        <w:rPr>
          <w:rFonts w:asciiTheme="minorHAnsi" w:hAnsiTheme="minorHAnsi" w:cstheme="minorBidi"/>
        </w:rPr>
        <w:t xml:space="preserve">omatically placed on the </w:t>
      </w:r>
      <w:r w:rsidR="00955AF1">
        <w:rPr>
          <w:rFonts w:asciiTheme="minorHAnsi" w:hAnsiTheme="minorHAnsi" w:cstheme="minorBidi"/>
        </w:rPr>
        <w:t>Tiered Standard Plan.</w:t>
      </w:r>
    </w:p>
    <w:p w:rsidR="00052F52" w:rsidRPr="002D1D0A" w:rsidP="32A91649" w14:paraId="737B882A" w14:textId="4A1947D4">
      <w:pPr>
        <w:ind w:left="720"/>
        <w:rPr>
          <w:rFonts w:asciiTheme="minorHAnsi" w:hAnsiTheme="minorHAnsi" w:cstheme="minorBidi"/>
        </w:rPr>
      </w:pPr>
    </w:p>
    <w:p w:rsidR="00052F52" w:rsidRPr="002D1D0A" w:rsidP="00100CD3" w14:paraId="372A6433" w14:textId="7728AC79">
      <w:pPr>
        <w:spacing w:line="259" w:lineRule="auto"/>
        <w:ind w:left="720"/>
        <w:rPr>
          <w:rFonts w:asciiTheme="minorHAnsi" w:hAnsiTheme="minorHAnsi" w:cstheme="minorBidi"/>
        </w:rPr>
      </w:pPr>
      <w:r w:rsidRPr="32A91649">
        <w:rPr>
          <w:rFonts w:asciiTheme="minorHAnsi" w:hAnsiTheme="minorHAnsi" w:cstheme="minorBidi"/>
        </w:rPr>
        <w:t xml:space="preserve">There were </w:t>
      </w:r>
      <w:r w:rsidRPr="32A91649" w:rsidR="77FAAEF2">
        <w:rPr>
          <w:rFonts w:asciiTheme="minorHAnsi" w:hAnsiTheme="minorHAnsi" w:cstheme="minorBidi"/>
        </w:rPr>
        <w:t xml:space="preserve">minor </w:t>
      </w:r>
      <w:r w:rsidRPr="32A91649">
        <w:rPr>
          <w:rFonts w:asciiTheme="minorHAnsi" w:hAnsiTheme="minorHAnsi" w:cstheme="minorBidi"/>
        </w:rPr>
        <w:t>edits to reflect the information necessary to</w:t>
      </w:r>
      <w:r w:rsidRPr="32A91649" w:rsidR="5059C267">
        <w:rPr>
          <w:rFonts w:asciiTheme="minorHAnsi" w:hAnsiTheme="minorHAnsi" w:cstheme="minorBidi"/>
        </w:rPr>
        <w:t xml:space="preserve"> enroll in the income-driven repayment plan a borrower is eligible for after the rehabilitation as well because </w:t>
      </w:r>
      <w:r w:rsidRPr="32A91649" w:rsidR="3D15C8DE">
        <w:rPr>
          <w:rFonts w:asciiTheme="minorHAnsi" w:hAnsiTheme="minorHAnsi" w:cstheme="minorBidi"/>
        </w:rPr>
        <w:t>the Repayment Assistance Plan calculation includes number of dependents which is different than family size which is used for the legacy income-driven plans</w:t>
      </w:r>
      <w:r w:rsidRPr="32A91649" w:rsidR="5059C267">
        <w:rPr>
          <w:rFonts w:asciiTheme="minorHAnsi" w:hAnsiTheme="minorHAnsi" w:cstheme="minorBidi"/>
        </w:rPr>
        <w:t xml:space="preserve">. </w:t>
      </w:r>
    </w:p>
    <w:p w:rsidR="32A91649" w:rsidP="32A91649" w14:paraId="592F0AB0" w14:textId="53008E6C">
      <w:pPr>
        <w:spacing w:line="259" w:lineRule="auto"/>
        <w:ind w:left="720"/>
        <w:rPr>
          <w:rFonts w:asciiTheme="minorHAnsi" w:hAnsiTheme="minorHAnsi" w:cstheme="minorBidi"/>
        </w:rPr>
      </w:pPr>
    </w:p>
    <w:p w:rsidR="00052F52" w:rsidRPr="002D1D0A" w:rsidP="7DCE5C67" w14:paraId="53FF14B7" w14:textId="280BD835">
      <w:pPr>
        <w:ind w:left="720"/>
        <w:rPr>
          <w:rFonts w:asciiTheme="minorHAnsi" w:hAnsiTheme="minorHAnsi" w:cstheme="minorBidi"/>
        </w:rPr>
      </w:pPr>
      <w:r w:rsidRPr="7DCE5C67">
        <w:rPr>
          <w:rFonts w:asciiTheme="minorHAnsi" w:hAnsiTheme="minorHAnsi" w:cstheme="minorBidi"/>
        </w:rPr>
        <w:t xml:space="preserve">The Department plans to submit another revision to this form </w:t>
      </w:r>
      <w:r w:rsidRPr="7DCE5C67" w:rsidR="009D5BF3">
        <w:rPr>
          <w:rFonts w:asciiTheme="minorHAnsi" w:hAnsiTheme="minorHAnsi" w:cstheme="minorBidi"/>
        </w:rPr>
        <w:t xml:space="preserve">for public comment </w:t>
      </w:r>
      <w:r w:rsidRPr="7DCE5C67">
        <w:rPr>
          <w:rFonts w:asciiTheme="minorHAnsi" w:hAnsiTheme="minorHAnsi" w:cstheme="minorBidi"/>
        </w:rPr>
        <w:t>next year to amend</w:t>
      </w:r>
      <w:r w:rsidRPr="7DCE5C67" w:rsidR="009D5BF3">
        <w:rPr>
          <w:rFonts w:asciiTheme="minorHAnsi" w:hAnsiTheme="minorHAnsi" w:cstheme="minorBidi"/>
        </w:rPr>
        <w:t xml:space="preserve"> the form</w:t>
      </w:r>
      <w:r w:rsidRPr="7DCE5C67">
        <w:rPr>
          <w:rFonts w:asciiTheme="minorHAnsi" w:hAnsiTheme="minorHAnsi" w:cstheme="minorBidi"/>
        </w:rPr>
        <w:t xml:space="preserve"> for changes that begin in the 2027-28 award year.</w:t>
      </w:r>
    </w:p>
    <w:p w:rsidR="00052F52" w:rsidP="001E3281" w14:paraId="11BA73B7" w14:textId="77777777">
      <w:pPr>
        <w:pStyle w:val="ListParagraph"/>
        <w:suppressAutoHyphens/>
        <w:contextualSpacing w:val="0"/>
        <w:rPr>
          <w:rFonts w:ascii="Times New Roman" w:hAnsi="Times New Roman"/>
          <w:szCs w:val="24"/>
        </w:rPr>
      </w:pPr>
    </w:p>
    <w:p w:rsidR="007C700A" w:rsidRPr="00AD381B" w:rsidP="001E3281" w14:paraId="72F823CF" w14:textId="77777777">
      <w:pPr>
        <w:pStyle w:val="ListParagraph"/>
        <w:suppressAutoHyphens/>
        <w:spacing w:line="240" w:lineRule="exact"/>
        <w:contextualSpacing w:val="0"/>
        <w:rPr>
          <w:rFonts w:ascii="Times New Roman" w:hAnsi="Times New Roman"/>
          <w:szCs w:val="24"/>
        </w:rPr>
      </w:pPr>
    </w:p>
    <w:p w:rsidR="00AD381B" w:rsidP="001E3281" w14:paraId="3482AB2B"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1E3281" w14:paraId="13ED6AEA" w14:textId="77777777">
      <w:pPr>
        <w:suppressAutoHyphens/>
        <w:spacing w:line="240" w:lineRule="exact"/>
        <w:ind w:left="720"/>
        <w:rPr>
          <w:rFonts w:ascii="Times New Roman" w:hAnsi="Times New Roman"/>
          <w:szCs w:val="24"/>
        </w:rPr>
      </w:pPr>
    </w:p>
    <w:p w:rsidR="001E3281" w:rsidRPr="002D1D0A" w:rsidP="001E3281" w14:paraId="162B41C4" w14:textId="77777777">
      <w:pPr>
        <w:ind w:left="720"/>
        <w:rPr>
          <w:rFonts w:asciiTheme="minorHAnsi" w:hAnsiTheme="minorHAnsi" w:cstheme="minorHAnsi"/>
          <w:szCs w:val="24"/>
        </w:rPr>
      </w:pPr>
      <w:r w:rsidRPr="002D1D0A">
        <w:rPr>
          <w:rFonts w:asciiTheme="minorHAnsi" w:hAnsiTheme="minorHAnsi" w:cstheme="minorHAnsi"/>
          <w:szCs w:val="24"/>
        </w:rPr>
        <w:t xml:space="preserve">The information on the Loan Rehabilitation: </w:t>
      </w:r>
      <w:r w:rsidR="005D0672">
        <w:rPr>
          <w:rFonts w:asciiTheme="minorHAnsi" w:hAnsiTheme="minorHAnsi" w:cstheme="minorHAnsi"/>
          <w:szCs w:val="24"/>
        </w:rPr>
        <w:t>Income</w:t>
      </w:r>
      <w:r w:rsidRPr="002D1D0A">
        <w:rPr>
          <w:rFonts w:asciiTheme="minorHAnsi" w:hAnsiTheme="minorHAnsi" w:cstheme="minorHAnsi"/>
          <w:szCs w:val="24"/>
        </w:rPr>
        <w:t xml:space="preserve"> and </w:t>
      </w:r>
      <w:r w:rsidR="005D0672">
        <w:rPr>
          <w:rFonts w:asciiTheme="minorHAnsi" w:hAnsiTheme="minorHAnsi" w:cstheme="minorHAnsi"/>
          <w:szCs w:val="24"/>
        </w:rPr>
        <w:t>Expense</w:t>
      </w:r>
      <w:r w:rsidRPr="002D1D0A">
        <w:rPr>
          <w:rFonts w:asciiTheme="minorHAnsi" w:hAnsiTheme="minorHAnsi" w:cstheme="minorHAnsi"/>
          <w:szCs w:val="24"/>
        </w:rPr>
        <w:t xml:space="preserve"> </w:t>
      </w:r>
      <w:r w:rsidR="005D0672">
        <w:rPr>
          <w:rFonts w:asciiTheme="minorHAnsi" w:hAnsiTheme="minorHAnsi" w:cstheme="minorHAnsi"/>
          <w:szCs w:val="24"/>
        </w:rPr>
        <w:t>Informa</w:t>
      </w:r>
      <w:r w:rsidRPr="002D1D0A">
        <w:rPr>
          <w:rFonts w:asciiTheme="minorHAnsi" w:hAnsiTheme="minorHAnsi" w:cstheme="minorHAnsi"/>
          <w:szCs w:val="24"/>
        </w:rPr>
        <w:t xml:space="preserve">tion form </w:t>
      </w:r>
      <w:r w:rsidR="00C463A7">
        <w:rPr>
          <w:rFonts w:asciiTheme="minorHAnsi" w:hAnsiTheme="minorHAnsi" w:cstheme="minorHAnsi"/>
          <w:szCs w:val="24"/>
        </w:rPr>
        <w:t xml:space="preserve">(1845-0120) </w:t>
      </w:r>
      <w:r w:rsidRPr="002D1D0A">
        <w:rPr>
          <w:rFonts w:asciiTheme="minorHAnsi" w:hAnsiTheme="minorHAnsi" w:cstheme="minorHAnsi"/>
          <w:szCs w:val="24"/>
        </w:rPr>
        <w:t xml:space="preserve">is provided by the borrower </w:t>
      </w:r>
      <w:r w:rsidR="005D0672">
        <w:rPr>
          <w:rFonts w:asciiTheme="minorHAnsi" w:hAnsiTheme="minorHAnsi" w:cstheme="minorHAnsi"/>
          <w:szCs w:val="24"/>
        </w:rPr>
        <w:t xml:space="preserve">and used by </w:t>
      </w:r>
      <w:r w:rsidRPr="002D1D0A">
        <w:rPr>
          <w:rFonts w:asciiTheme="minorHAnsi" w:hAnsiTheme="minorHAnsi" w:cstheme="minorHAnsi"/>
          <w:szCs w:val="24"/>
        </w:rPr>
        <w:t xml:space="preserve">the Direct Loan or FFEL loan holder (either the </w:t>
      </w:r>
      <w:r w:rsidRPr="002D1D0A" w:rsidR="00C463A7">
        <w:rPr>
          <w:rFonts w:asciiTheme="minorHAnsi" w:hAnsiTheme="minorHAnsi" w:cstheme="minorHAnsi"/>
          <w:szCs w:val="24"/>
        </w:rPr>
        <w:t xml:space="preserve">Department </w:t>
      </w:r>
      <w:r w:rsidRPr="002D1D0A">
        <w:rPr>
          <w:rFonts w:asciiTheme="minorHAnsi" w:hAnsiTheme="minorHAnsi" w:cstheme="minorHAnsi"/>
          <w:szCs w:val="24"/>
        </w:rPr>
        <w:t>or the</w:t>
      </w:r>
      <w:r w:rsidRPr="00C463A7" w:rsidR="00C463A7">
        <w:rPr>
          <w:rFonts w:asciiTheme="minorHAnsi" w:hAnsiTheme="minorHAnsi" w:cstheme="minorHAnsi"/>
          <w:szCs w:val="24"/>
        </w:rPr>
        <w:t xml:space="preserve"> </w:t>
      </w:r>
      <w:r w:rsidRPr="002D1D0A" w:rsidR="00C463A7">
        <w:rPr>
          <w:rFonts w:asciiTheme="minorHAnsi" w:hAnsiTheme="minorHAnsi" w:cstheme="minorHAnsi"/>
          <w:szCs w:val="24"/>
        </w:rPr>
        <w:t>guaranty agency</w:t>
      </w:r>
      <w:r w:rsidRPr="002D1D0A">
        <w:rPr>
          <w:rFonts w:asciiTheme="minorHAnsi" w:hAnsiTheme="minorHAnsi" w:cstheme="minorHAnsi"/>
          <w:szCs w:val="24"/>
        </w:rPr>
        <w:t>) for the purpose of determining the loan rehabilitation monthly repayment amount.</w:t>
      </w:r>
    </w:p>
    <w:p w:rsidR="00043C32" w:rsidRPr="00AD381B" w:rsidP="001E3281" w14:paraId="1486BCDF" w14:textId="77777777">
      <w:pPr>
        <w:suppressAutoHyphens/>
        <w:spacing w:line="240" w:lineRule="exact"/>
        <w:ind w:left="720"/>
        <w:rPr>
          <w:rFonts w:ascii="Times New Roman" w:hAnsi="Times New Roman"/>
          <w:szCs w:val="24"/>
        </w:rPr>
      </w:pPr>
    </w:p>
    <w:p w:rsidR="00043C32" w:rsidRPr="00AD381B" w:rsidP="001E3281" w14:paraId="10086120"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AD381B">
        <w:rPr>
          <w:rFonts w:ascii="Times New Roman" w:hAnsi="Times New Roman"/>
          <w:b/>
          <w:szCs w:val="24"/>
        </w:rPr>
        <w:t>of adopting</w:t>
      </w:r>
      <w:r w:rsidRPr="00AD381B">
        <w:rPr>
          <w:rFonts w:ascii="Times New Roman" w:hAnsi="Times New Roman"/>
          <w:b/>
          <w:szCs w:val="24"/>
        </w:rPr>
        <w:t xml:space="preserve">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1E3281" w14:paraId="2C82BF40" w14:textId="77777777">
      <w:pPr>
        <w:pStyle w:val="ListParagraph"/>
        <w:tabs>
          <w:tab w:val="left" w:pos="-720"/>
        </w:tabs>
        <w:suppressAutoHyphens/>
        <w:contextualSpacing w:val="0"/>
        <w:rPr>
          <w:rFonts w:ascii="Times New Roman" w:hAnsi="Times New Roman"/>
          <w:szCs w:val="24"/>
        </w:rPr>
      </w:pPr>
    </w:p>
    <w:p w:rsidR="001E3281" w:rsidP="32A91649" w14:paraId="2EEFBDB0" w14:textId="0F99C276">
      <w:pPr>
        <w:tabs>
          <w:tab w:val="left" w:pos="0"/>
        </w:tabs>
        <w:suppressAutoHyphens/>
        <w:ind w:left="720"/>
        <w:rPr>
          <w:rFonts w:asciiTheme="minorHAnsi" w:hAnsiTheme="minorHAnsi" w:cstheme="minorBidi"/>
        </w:rPr>
      </w:pPr>
      <w:r w:rsidRPr="32A91649">
        <w:rPr>
          <w:rFonts w:asciiTheme="minorHAnsi" w:hAnsiTheme="minorHAnsi" w:cstheme="minorBidi"/>
        </w:rPr>
        <w:t xml:space="preserve">While the final form is downloadable from the Department’s </w:t>
      </w:r>
      <w:r w:rsidRPr="32A91649" w:rsidR="00C463A7">
        <w:rPr>
          <w:rFonts w:asciiTheme="minorHAnsi" w:hAnsiTheme="minorHAnsi" w:cstheme="minorBidi"/>
        </w:rPr>
        <w:t>w</w:t>
      </w:r>
      <w:r w:rsidRPr="32A91649">
        <w:rPr>
          <w:rFonts w:asciiTheme="minorHAnsi" w:hAnsiTheme="minorHAnsi" w:cstheme="minorBidi"/>
        </w:rPr>
        <w:t xml:space="preserve">eb site, once printed it </w:t>
      </w:r>
      <w:r w:rsidRPr="32A91649" w:rsidR="00C463A7">
        <w:rPr>
          <w:rFonts w:asciiTheme="minorHAnsi" w:hAnsiTheme="minorHAnsi" w:cstheme="minorBidi"/>
        </w:rPr>
        <w:t>can</w:t>
      </w:r>
      <w:r w:rsidRPr="32A91649">
        <w:rPr>
          <w:rFonts w:asciiTheme="minorHAnsi" w:hAnsiTheme="minorHAnsi" w:cstheme="minorBidi"/>
        </w:rPr>
        <w:t xml:space="preserve"> be completed by the borrower and spouse (if applicable</w:t>
      </w:r>
      <w:r w:rsidRPr="32A91649" w:rsidR="009359A5">
        <w:rPr>
          <w:rFonts w:asciiTheme="minorHAnsi" w:hAnsiTheme="minorHAnsi" w:cstheme="minorBidi"/>
        </w:rPr>
        <w:t>) and</w:t>
      </w:r>
      <w:r w:rsidRPr="32A91649">
        <w:rPr>
          <w:rFonts w:asciiTheme="minorHAnsi" w:hAnsiTheme="minorHAnsi" w:cstheme="minorBidi"/>
        </w:rPr>
        <w:t xml:space="preserve"> submitted with copies of supporting documentation to the loan holder. Although this form cannot be submitted electronically, it can be downloaded and completed electronically using common or free software.</w:t>
      </w:r>
    </w:p>
    <w:p w:rsidR="001E3281" w:rsidRPr="002D1D0A" w:rsidP="001E3281" w14:paraId="3E4CCEB2" w14:textId="77777777">
      <w:pPr>
        <w:tabs>
          <w:tab w:val="left" w:pos="0"/>
        </w:tabs>
        <w:suppressAutoHyphens/>
        <w:ind w:left="720"/>
        <w:rPr>
          <w:rFonts w:asciiTheme="minorHAnsi" w:hAnsiTheme="minorHAnsi" w:cstheme="minorHAnsi"/>
          <w:szCs w:val="24"/>
        </w:rPr>
      </w:pPr>
    </w:p>
    <w:p w:rsidR="00AD381B" w:rsidRPr="001E3281" w:rsidP="001E3281" w14:paraId="23A260A0" w14:textId="77777777">
      <w:pPr>
        <w:pStyle w:val="ListParagraph"/>
        <w:numPr>
          <w:ilvl w:val="0"/>
          <w:numId w:val="4"/>
        </w:numPr>
        <w:tabs>
          <w:tab w:val="left" w:pos="-720"/>
        </w:tabs>
        <w:suppressAutoHyphens/>
        <w:contextualSpacing w:val="0"/>
        <w:rPr>
          <w:rFonts w:ascii="Times New Roman" w:hAnsi="Times New Roman"/>
          <w:b/>
          <w:szCs w:val="24"/>
        </w:rPr>
      </w:pPr>
      <w:r w:rsidRPr="001E32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E3281" w:rsidR="00A23F26">
        <w:rPr>
          <w:rFonts w:ascii="Times New Roman" w:hAnsi="Times New Roman"/>
          <w:b/>
          <w:szCs w:val="24"/>
        </w:rPr>
        <w:t xml:space="preserve"> </w:t>
      </w:r>
    </w:p>
    <w:p w:rsidR="00246FE9" w:rsidP="001E3281" w14:paraId="2761AB6D" w14:textId="77777777">
      <w:pPr>
        <w:pStyle w:val="ListParagraph"/>
        <w:tabs>
          <w:tab w:val="left" w:pos="-720"/>
        </w:tabs>
        <w:suppressAutoHyphens/>
        <w:contextualSpacing w:val="0"/>
        <w:rPr>
          <w:rFonts w:ascii="Times New Roman" w:hAnsi="Times New Roman"/>
          <w:b/>
          <w:szCs w:val="24"/>
        </w:rPr>
      </w:pPr>
    </w:p>
    <w:p w:rsidR="001E3281" w:rsidP="001E3281" w14:paraId="68FA2B25" w14:textId="77777777">
      <w:pPr>
        <w:pStyle w:val="ListParagraph"/>
        <w:tabs>
          <w:tab w:val="left" w:pos="0"/>
        </w:tabs>
        <w:suppressAutoHyphens/>
        <w:rPr>
          <w:rFonts w:asciiTheme="minorHAnsi" w:hAnsiTheme="minorHAnsi" w:cstheme="minorHAnsi"/>
          <w:szCs w:val="24"/>
        </w:rPr>
      </w:pPr>
      <w:r w:rsidRPr="001E3281">
        <w:rPr>
          <w:rFonts w:asciiTheme="minorHAnsi" w:hAnsiTheme="minorHAnsi" w:cstheme="minorHAnsi"/>
          <w:szCs w:val="24"/>
        </w:rPr>
        <w:t>There is no similar information already available from other sources that can be used for the purposes described in Item 2.</w:t>
      </w:r>
    </w:p>
    <w:p w:rsidR="001E3281" w:rsidRPr="001E3281" w:rsidP="001E3281" w14:paraId="60560D45" w14:textId="77777777">
      <w:pPr>
        <w:pStyle w:val="ListParagraph"/>
        <w:tabs>
          <w:tab w:val="left" w:pos="0"/>
        </w:tabs>
        <w:suppressAutoHyphens/>
        <w:rPr>
          <w:rFonts w:asciiTheme="minorHAnsi" w:hAnsiTheme="minorHAnsi" w:cstheme="minorHAnsi"/>
          <w:szCs w:val="24"/>
        </w:rPr>
      </w:pPr>
    </w:p>
    <w:p w:rsidR="00043C32" w:rsidRPr="005F4E11" w:rsidP="001E3281" w14:paraId="6048004F" w14:textId="77777777">
      <w:pPr>
        <w:pStyle w:val="ListParagraph"/>
        <w:numPr>
          <w:ilvl w:val="0"/>
          <w:numId w:val="4"/>
        </w:numPr>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1E3281" w14:paraId="4540B449" w14:textId="77777777">
      <w:pPr>
        <w:pStyle w:val="ListParagraph"/>
        <w:contextualSpacing w:val="0"/>
        <w:rPr>
          <w:rFonts w:ascii="Times New Roman" w:hAnsi="Times New Roman"/>
          <w:szCs w:val="24"/>
        </w:rPr>
      </w:pPr>
    </w:p>
    <w:p w:rsidR="001E3281" w:rsidRPr="002D1D0A" w:rsidP="001E3281" w14:paraId="5E512956" w14:textId="77777777">
      <w:pPr>
        <w:tabs>
          <w:tab w:val="left" w:pos="0"/>
        </w:tabs>
        <w:suppressAutoHyphens/>
        <w:ind w:left="720"/>
        <w:rPr>
          <w:rFonts w:asciiTheme="minorHAnsi" w:hAnsiTheme="minorHAnsi" w:cstheme="minorHAnsi"/>
          <w:szCs w:val="24"/>
        </w:rPr>
      </w:pPr>
      <w:r w:rsidRPr="002D1D0A">
        <w:rPr>
          <w:rFonts w:asciiTheme="minorHAnsi" w:hAnsiTheme="minorHAnsi" w:cstheme="minorHAnsi"/>
          <w:szCs w:val="24"/>
        </w:rPr>
        <w:t xml:space="preserve">No small businesses are affected by this information collection. </w:t>
      </w:r>
    </w:p>
    <w:p w:rsidR="00EF4C67" w:rsidRPr="005F4E11" w:rsidP="001E3281" w14:paraId="6AABB9C2" w14:textId="77777777">
      <w:pPr>
        <w:pStyle w:val="ListParagraph"/>
        <w:contextualSpacing w:val="0"/>
        <w:rPr>
          <w:rFonts w:asciiTheme="minorHAnsi" w:hAnsiTheme="minorHAnsi" w:cstheme="minorHAnsi"/>
          <w:szCs w:val="24"/>
        </w:rPr>
      </w:pPr>
    </w:p>
    <w:p w:rsidR="00043C32" w:rsidP="001E3281" w14:paraId="5902286F"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the consequences </w:t>
      </w:r>
      <w:r w:rsidRPr="00AD381B">
        <w:rPr>
          <w:rFonts w:ascii="Times New Roman" w:hAnsi="Times New Roman"/>
          <w:b/>
          <w:szCs w:val="24"/>
        </w:rPr>
        <w:t>to</w:t>
      </w:r>
      <w:r w:rsidRPr="00AD381B">
        <w:rPr>
          <w:rFonts w:ascii="Times New Roman" w:hAnsi="Times New Roman"/>
          <w:b/>
          <w:szCs w:val="24"/>
        </w:rPr>
        <w:t xml:space="preserve"> Federal program or policy activities if the collection is not conducted or is conducted less frequently, as well as any technical or legal obstacles to reducing burden.</w:t>
      </w:r>
    </w:p>
    <w:p w:rsidR="005F4E11" w:rsidRPr="005F4E11" w:rsidP="001E3281" w14:paraId="42D605D0" w14:textId="77777777">
      <w:pPr>
        <w:tabs>
          <w:tab w:val="left" w:pos="-720"/>
        </w:tabs>
        <w:suppressAutoHyphens/>
        <w:ind w:left="720"/>
        <w:rPr>
          <w:rFonts w:ascii="Times New Roman" w:hAnsi="Times New Roman"/>
          <w:bCs/>
          <w:szCs w:val="24"/>
        </w:rPr>
      </w:pPr>
    </w:p>
    <w:p w:rsidR="001E3281" w:rsidRPr="002D1D0A" w:rsidP="001E3281" w14:paraId="27A9CE16" w14:textId="77777777">
      <w:pPr>
        <w:pStyle w:val="BodyTextIndent"/>
        <w:rPr>
          <w:rFonts w:asciiTheme="minorHAnsi" w:hAnsiTheme="minorHAnsi" w:cstheme="minorHAnsi"/>
        </w:rPr>
      </w:pPr>
      <w:r w:rsidRPr="002D1D0A">
        <w:rPr>
          <w:rFonts w:asciiTheme="minorHAnsi" w:hAnsiTheme="minorHAnsi" w:cstheme="minorHAnsi"/>
        </w:rPr>
        <w:t>Absent this data collection form, the loan holder would not have sufficient or accurate information required to calculate the loan rehabilitation monthly repayment amount.</w:t>
      </w:r>
    </w:p>
    <w:p w:rsidR="005F4E11" w:rsidRPr="005F4E11" w:rsidP="001E3281" w14:paraId="3853ED72" w14:textId="77777777">
      <w:pPr>
        <w:tabs>
          <w:tab w:val="left" w:pos="-720"/>
        </w:tabs>
        <w:suppressAutoHyphens/>
        <w:ind w:left="720"/>
        <w:rPr>
          <w:rFonts w:ascii="Times New Roman" w:hAnsi="Times New Roman"/>
          <w:bCs/>
          <w:szCs w:val="24"/>
        </w:rPr>
      </w:pPr>
    </w:p>
    <w:p w:rsidR="00043C32" w:rsidRPr="00AD381B" w:rsidP="001E3281" w14:paraId="06C904E3"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1E3281" w14:paraId="68CD1D1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1E3281" w14:paraId="1FE267D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1E3281" w14:paraId="4BB613B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1E3281" w14:paraId="2320572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1E3281" w14:paraId="2ABC926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1E3281" w14:paraId="1F48DFA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1E3281" w14:paraId="49B8843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1E3281" w14:paraId="46B46867"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1E3281" w14:paraId="12160306" w14:textId="77777777">
      <w:pPr>
        <w:pStyle w:val="ListParagraph"/>
        <w:rPr>
          <w:rFonts w:ascii="Times New Roman" w:hAnsi="Times New Roman"/>
          <w:bCs/>
          <w:szCs w:val="24"/>
        </w:rPr>
      </w:pPr>
    </w:p>
    <w:p w:rsidR="00EF4C67" w:rsidRPr="001E3281" w:rsidP="001E3281" w14:paraId="717EBB38" w14:textId="77777777">
      <w:pPr>
        <w:tabs>
          <w:tab w:val="left" w:pos="0"/>
        </w:tabs>
        <w:suppressAutoHyphens/>
        <w:ind w:left="720"/>
        <w:rPr>
          <w:rFonts w:asciiTheme="minorHAnsi" w:hAnsiTheme="minorHAnsi" w:cstheme="minorHAnsi"/>
          <w:szCs w:val="24"/>
        </w:rPr>
      </w:pPr>
      <w:r w:rsidRPr="002D1D0A">
        <w:rPr>
          <w:rFonts w:asciiTheme="minorHAnsi" w:hAnsiTheme="minorHAnsi" w:cstheme="minorHAnsi"/>
          <w:szCs w:val="24"/>
        </w:rPr>
        <w:t>This information collection does not involve any of the above conditions.</w:t>
      </w:r>
    </w:p>
    <w:p w:rsidR="005F4E11" w:rsidRPr="00AD381B" w:rsidP="001E3281" w14:paraId="25E13C78" w14:textId="77777777">
      <w:pPr>
        <w:tabs>
          <w:tab w:val="left" w:pos="-720"/>
        </w:tabs>
        <w:suppressAutoHyphens/>
        <w:ind w:left="720"/>
        <w:rPr>
          <w:rFonts w:ascii="Times New Roman" w:hAnsi="Times New Roman"/>
          <w:szCs w:val="24"/>
        </w:rPr>
      </w:pPr>
    </w:p>
    <w:p w:rsidR="00D75313" w:rsidP="001E3281" w14:paraId="4CD99B70"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w:t>
      </w:r>
      <w:r w:rsidRPr="00AD381B">
        <w:rPr>
          <w:rFonts w:ascii="Times New Roman" w:hAnsi="Times New Roman"/>
          <w:b/>
          <w:szCs w:val="24"/>
        </w:rPr>
        <w:t>, state that</w:t>
      </w:r>
      <w:r w:rsidRPr="00AD381B">
        <w:rPr>
          <w:rFonts w:ascii="Times New Roman" w:hAnsi="Times New Roman"/>
          <w:b/>
          <w:szCs w:val="24"/>
        </w:rPr>
        <w:t xml:space="preserve"> the Department has published the 60 and 30 Federal Register notices as required by 5 CFR 1320.8(d), soliciting comments on the information collection prior to submission to OMB.</w:t>
      </w:r>
    </w:p>
    <w:p w:rsidR="00D75313" w:rsidP="001E3281" w14:paraId="532CFB57" w14:textId="77777777">
      <w:pPr>
        <w:pStyle w:val="ListParagraph"/>
        <w:tabs>
          <w:tab w:val="left" w:pos="-720"/>
          <w:tab w:val="left" w:pos="375"/>
        </w:tabs>
        <w:suppressAutoHyphens/>
        <w:contextualSpacing w:val="0"/>
        <w:rPr>
          <w:rFonts w:ascii="Times New Roman" w:hAnsi="Times New Roman"/>
          <w:b/>
          <w:szCs w:val="24"/>
        </w:rPr>
      </w:pPr>
    </w:p>
    <w:p w:rsidR="00043C32" w:rsidP="001E3281" w14:paraId="7FB328C5"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w:t>
      </w:r>
      <w:r w:rsidRPr="00D75313" w:rsidR="007C0A4C">
        <w:rPr>
          <w:rFonts w:ascii="Times New Roman" w:hAnsi="Times New Roman"/>
          <w:b/>
          <w:szCs w:val="24"/>
        </w:rPr>
        <w:t xml:space="preserve">that it did not relate or </w:t>
      </w:r>
      <w:r w:rsidRPr="00D75313" w:rsidR="007C0A4C">
        <w:rPr>
          <w:rFonts w:ascii="Times New Roman" w:hAnsi="Times New Roman"/>
          <w:b/>
          <w:szCs w:val="24"/>
        </w:rPr>
        <w:t>warrant</w:t>
      </w:r>
      <w:r w:rsidRPr="00D75313" w:rsidR="007C0A4C">
        <w:rPr>
          <w:rFonts w:ascii="Times New Roman" w:hAnsi="Times New Roman"/>
          <w:b/>
          <w:szCs w:val="24"/>
        </w:rPr>
        <w:t xml:space="preserve">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1E3281" w14:paraId="17300A8D"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1E3281" w14:paraId="291175C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1E3281" w14:paraId="1DE10441"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w:t>
      </w:r>
      <w:r w:rsidRPr="00AD381B">
        <w:rPr>
          <w:rStyle w:val="a"/>
          <w:rFonts w:ascii="Times New Roman" w:hAnsi="Times New Roman"/>
          <w:b/>
          <w:szCs w:val="24"/>
        </w:rPr>
        <w:t>persons</w:t>
      </w:r>
      <w:r w:rsidRPr="00AD381B">
        <w:rPr>
          <w:rStyle w:val="a"/>
          <w:rFonts w:ascii="Times New Roman" w:hAnsi="Times New Roman"/>
          <w:b/>
          <w:szCs w:val="24"/>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1E3281" w14:paraId="5C6CEFBA" w14:textId="77777777">
      <w:pPr>
        <w:tabs>
          <w:tab w:val="left" w:pos="-720"/>
        </w:tabs>
        <w:suppressAutoHyphens/>
        <w:rPr>
          <w:rStyle w:val="a"/>
          <w:rFonts w:ascii="Times New Roman" w:hAnsi="Times New Roman"/>
          <w:b/>
          <w:szCs w:val="24"/>
        </w:rPr>
      </w:pPr>
    </w:p>
    <w:p w:rsidR="00043C32" w:rsidP="001E3281" w14:paraId="5A35A2A9"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1E3281" w14:paraId="56AE2368" w14:textId="77777777">
      <w:pPr>
        <w:tabs>
          <w:tab w:val="left" w:pos="-720"/>
        </w:tabs>
        <w:suppressAutoHyphens/>
        <w:ind w:left="720"/>
        <w:rPr>
          <w:rFonts w:ascii="Times New Roman" w:hAnsi="Times New Roman"/>
          <w:bCs/>
          <w:szCs w:val="24"/>
        </w:rPr>
      </w:pPr>
    </w:p>
    <w:p w:rsidR="00725334" w:rsidP="001E3281" w14:paraId="68B4746E" w14:textId="592A241E">
      <w:pPr>
        <w:tabs>
          <w:tab w:val="left" w:pos="-720"/>
        </w:tabs>
        <w:suppressAutoHyphens/>
        <w:ind w:left="720"/>
        <w:rPr>
          <w:rFonts w:asciiTheme="minorHAnsi" w:hAnsiTheme="minorHAnsi" w:cstheme="minorHAnsi"/>
          <w:szCs w:val="24"/>
        </w:rPr>
      </w:pPr>
      <w:r>
        <w:rPr>
          <w:rFonts w:asciiTheme="minorHAnsi" w:hAnsiTheme="minorHAnsi" w:cstheme="minorHAnsi"/>
          <w:szCs w:val="24"/>
        </w:rPr>
        <w:t>On May 5, 2026</w:t>
      </w:r>
      <w:r w:rsidR="00D30374">
        <w:rPr>
          <w:rFonts w:asciiTheme="minorHAnsi" w:hAnsiTheme="minorHAnsi" w:cstheme="minorHAnsi"/>
          <w:szCs w:val="24"/>
        </w:rPr>
        <w:t xml:space="preserve">, </w:t>
      </w:r>
      <w:r w:rsidR="00214C18">
        <w:rPr>
          <w:rFonts w:asciiTheme="minorHAnsi" w:hAnsiTheme="minorHAnsi" w:cstheme="minorHAnsi"/>
          <w:szCs w:val="24"/>
        </w:rPr>
        <w:t>the Department published a Federal Register Notice (</w:t>
      </w:r>
      <w:r w:rsidRPr="00AE4CEB" w:rsidR="00AE4CEB">
        <w:rPr>
          <w:rFonts w:asciiTheme="minorHAnsi" w:hAnsiTheme="minorHAnsi" w:cstheme="minorHAnsi"/>
          <w:szCs w:val="24"/>
        </w:rPr>
        <w:t>91 FR 24213</w:t>
      </w:r>
      <w:r w:rsidR="00AE4CEB">
        <w:rPr>
          <w:rFonts w:asciiTheme="minorHAnsi" w:hAnsiTheme="minorHAnsi" w:cstheme="minorHAnsi"/>
          <w:szCs w:val="24"/>
        </w:rPr>
        <w:t xml:space="preserve">) opening a 60-day public comment period for this collection. </w:t>
      </w:r>
    </w:p>
    <w:p w:rsidR="00AE4CEB" w:rsidP="001E3281" w14:paraId="7E7DFCD6" w14:textId="77777777">
      <w:pPr>
        <w:tabs>
          <w:tab w:val="left" w:pos="-720"/>
        </w:tabs>
        <w:suppressAutoHyphens/>
        <w:ind w:left="720"/>
        <w:rPr>
          <w:rFonts w:asciiTheme="minorHAnsi" w:hAnsiTheme="minorHAnsi" w:cstheme="minorHAnsi"/>
          <w:szCs w:val="24"/>
        </w:rPr>
      </w:pPr>
    </w:p>
    <w:p w:rsidR="00AE4CEB" w:rsidP="70DD39A2" w14:paraId="038E78C5" w14:textId="73D00368">
      <w:pPr>
        <w:suppressAutoHyphens/>
        <w:ind w:left="720"/>
        <w:rPr>
          <w:rFonts w:asciiTheme="minorHAnsi" w:hAnsiTheme="minorHAnsi" w:cstheme="minorBidi"/>
        </w:rPr>
      </w:pPr>
      <w:r w:rsidRPr="70DD39A2">
        <w:rPr>
          <w:rFonts w:asciiTheme="minorHAnsi" w:hAnsiTheme="minorHAnsi" w:cstheme="minorBidi"/>
        </w:rPr>
        <w:t xml:space="preserve">Only one substantive comment was received requesting </w:t>
      </w:r>
      <w:r w:rsidRPr="70DD39A2" w:rsidR="009E0FF9">
        <w:rPr>
          <w:rFonts w:asciiTheme="minorHAnsi" w:hAnsiTheme="minorHAnsi" w:cstheme="minorBidi"/>
        </w:rPr>
        <w:t>the words “net monthly income” be added to the instructions on page 6 under “employment income.”</w:t>
      </w:r>
      <w:r w:rsidRPr="70DD39A2" w:rsidR="46A90E55">
        <w:rPr>
          <w:rFonts w:asciiTheme="minorHAnsi" w:hAnsiTheme="minorHAnsi" w:cstheme="minorBidi"/>
        </w:rPr>
        <w:t xml:space="preserve"> The Department agreed that the change was helpful to borrowers and made the update.</w:t>
      </w:r>
    </w:p>
    <w:p w:rsidR="009B0F5E" w:rsidP="001E3281" w14:paraId="179AAA5B" w14:textId="77777777">
      <w:pPr>
        <w:tabs>
          <w:tab w:val="left" w:pos="-720"/>
        </w:tabs>
        <w:suppressAutoHyphens/>
        <w:ind w:left="720"/>
        <w:rPr>
          <w:rFonts w:asciiTheme="minorHAnsi" w:hAnsiTheme="minorHAnsi" w:cstheme="minorHAnsi"/>
          <w:szCs w:val="24"/>
        </w:rPr>
      </w:pPr>
    </w:p>
    <w:p w:rsidR="009B0F5E" w:rsidP="001E3281" w14:paraId="6A511279" w14:textId="527AE8A5">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This is now the request for the 30-day public comment period </w:t>
      </w:r>
      <w:r w:rsidR="004F5B26">
        <w:rPr>
          <w:rFonts w:asciiTheme="minorHAnsi" w:hAnsiTheme="minorHAnsi" w:cstheme="minorHAnsi"/>
          <w:szCs w:val="24"/>
        </w:rPr>
        <w:t xml:space="preserve">notice </w:t>
      </w:r>
      <w:r>
        <w:rPr>
          <w:rFonts w:asciiTheme="minorHAnsi" w:hAnsiTheme="minorHAnsi" w:cstheme="minorHAnsi"/>
          <w:szCs w:val="24"/>
        </w:rPr>
        <w:t>be</w:t>
      </w:r>
      <w:r>
        <w:rPr>
          <w:rFonts w:asciiTheme="minorHAnsi" w:hAnsiTheme="minorHAnsi" w:cstheme="minorHAnsi"/>
          <w:szCs w:val="24"/>
        </w:rPr>
        <w:t xml:space="preserve"> published in the Federal Register.</w:t>
      </w:r>
    </w:p>
    <w:p w:rsidR="00A75E66" w:rsidP="001E3281" w14:paraId="1AA780E4" w14:textId="77777777">
      <w:pPr>
        <w:tabs>
          <w:tab w:val="left" w:pos="-720"/>
        </w:tabs>
        <w:suppressAutoHyphens/>
        <w:ind w:left="720"/>
        <w:rPr>
          <w:rFonts w:asciiTheme="minorHAnsi" w:hAnsiTheme="minorHAnsi" w:cstheme="minorHAnsi"/>
          <w:szCs w:val="24"/>
        </w:rPr>
      </w:pPr>
    </w:p>
    <w:p w:rsidR="005F4E11" w:rsidP="001E3281" w14:paraId="4B108D4B" w14:textId="77777777">
      <w:pPr>
        <w:tabs>
          <w:tab w:val="left" w:pos="-720"/>
        </w:tabs>
        <w:suppressAutoHyphens/>
        <w:ind w:left="720"/>
        <w:rPr>
          <w:rFonts w:ascii="Times New Roman" w:hAnsi="Times New Roman"/>
          <w:szCs w:val="24"/>
        </w:rPr>
      </w:pPr>
    </w:p>
    <w:p w:rsidR="00043C32" w:rsidP="001E3281" w14:paraId="5509664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1E3281" w14:paraId="64A50762" w14:textId="77777777">
      <w:pPr>
        <w:pStyle w:val="ListParagraph"/>
        <w:tabs>
          <w:tab w:val="left" w:pos="-720"/>
        </w:tabs>
        <w:suppressAutoHyphens/>
        <w:contextualSpacing w:val="0"/>
        <w:rPr>
          <w:rFonts w:ascii="Times New Roman" w:hAnsi="Times New Roman"/>
          <w:bCs/>
          <w:szCs w:val="24"/>
        </w:rPr>
      </w:pPr>
    </w:p>
    <w:p w:rsidR="001E3281" w:rsidRPr="002D1D0A" w:rsidP="001E3281" w14:paraId="2A191BC9" w14:textId="77777777">
      <w:pPr>
        <w:tabs>
          <w:tab w:val="left" w:pos="0"/>
        </w:tabs>
        <w:suppressAutoHyphens/>
        <w:ind w:left="720"/>
        <w:rPr>
          <w:rFonts w:asciiTheme="minorHAnsi" w:hAnsiTheme="minorHAnsi" w:cstheme="minorHAnsi"/>
          <w:szCs w:val="24"/>
        </w:rPr>
      </w:pPr>
      <w:r w:rsidRPr="002D1D0A">
        <w:rPr>
          <w:rFonts w:asciiTheme="minorHAnsi" w:hAnsiTheme="minorHAnsi" w:cstheme="minorHAnsi"/>
          <w:szCs w:val="24"/>
        </w:rPr>
        <w:t>No payments or gifts have been provided to respondents.</w:t>
      </w:r>
    </w:p>
    <w:p w:rsidR="00920F63" w:rsidRPr="005F4E11" w:rsidP="001E3281" w14:paraId="204BB80D" w14:textId="77777777">
      <w:pPr>
        <w:pStyle w:val="ListParagraph"/>
        <w:tabs>
          <w:tab w:val="left" w:pos="-720"/>
        </w:tabs>
        <w:suppressAutoHyphens/>
        <w:contextualSpacing w:val="0"/>
        <w:rPr>
          <w:rFonts w:ascii="Times New Roman" w:hAnsi="Times New Roman"/>
          <w:bCs/>
          <w:szCs w:val="24"/>
        </w:rPr>
      </w:pPr>
    </w:p>
    <w:p w:rsidR="00043C32" w:rsidRPr="00D75313" w:rsidP="001E3281" w14:paraId="13E08FE2"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w:t>
      </w:r>
      <w:r w:rsidRPr="00920F63">
        <w:rPr>
          <w:rFonts w:ascii="Times New Roman" w:hAnsi="Times New Roman"/>
          <w:b/>
          <w:szCs w:val="24"/>
        </w:rPr>
        <w:t>on</w:t>
      </w:r>
      <w:r w:rsidRPr="00920F63">
        <w:rPr>
          <w:rFonts w:ascii="Times New Roman" w:hAnsi="Times New Roman"/>
          <w:b/>
          <w:szCs w:val="24"/>
        </w:rPr>
        <w:t xml:space="preserve"> the instrument. Please provide a citation for the Systems of Record Notice and the date </w:t>
      </w:r>
      <w:r w:rsidRPr="00920F63">
        <w:rPr>
          <w:rFonts w:ascii="Times New Roman" w:hAnsi="Times New Roman"/>
          <w:b/>
          <w:szCs w:val="24"/>
        </w:rPr>
        <w:t>a Privacy</w:t>
      </w:r>
      <w:r w:rsidRPr="00920F63">
        <w:rPr>
          <w:rFonts w:ascii="Times New Roman" w:hAnsi="Times New Roman"/>
          <w:b/>
          <w:szCs w:val="24"/>
        </w:rPr>
        <w:t xml:space="preserve">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w:t>
      </w:r>
      <w:r w:rsidRPr="00920F63">
        <w:rPr>
          <w:rFonts w:ascii="Times New Roman" w:hAnsi="Times New Roman"/>
          <w:b/>
          <w:szCs w:val="24"/>
        </w:rPr>
        <w:t>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1E3281" w14:paraId="28FC9DAE" w14:textId="77777777">
      <w:pPr>
        <w:tabs>
          <w:tab w:val="left" w:pos="-720"/>
        </w:tabs>
        <w:suppressAutoHyphens/>
        <w:ind w:left="720"/>
        <w:rPr>
          <w:rFonts w:ascii="Times New Roman" w:hAnsi="Times New Roman"/>
          <w:bCs/>
          <w:szCs w:val="24"/>
        </w:rPr>
      </w:pPr>
    </w:p>
    <w:p w:rsidR="001E3281" w:rsidRPr="002D1D0A" w:rsidP="001E3281" w14:paraId="7E39E81C" w14:textId="77777777">
      <w:pPr>
        <w:tabs>
          <w:tab w:val="left" w:pos="0"/>
        </w:tabs>
        <w:suppressAutoHyphens/>
        <w:ind w:left="720"/>
        <w:rPr>
          <w:rFonts w:asciiTheme="minorHAnsi" w:hAnsiTheme="minorHAnsi" w:cstheme="minorHAnsi"/>
          <w:szCs w:val="24"/>
        </w:rPr>
      </w:pPr>
      <w:r w:rsidRPr="002D1D0A">
        <w:rPr>
          <w:rFonts w:asciiTheme="minorHAnsi" w:hAnsiTheme="minorHAnsi" w:cstheme="minorHAnsi"/>
          <w:szCs w:val="24"/>
        </w:rPr>
        <w:t xml:space="preserve">The form </w:t>
      </w:r>
      <w:r w:rsidRPr="002D1D0A" w:rsidR="009359A5">
        <w:rPr>
          <w:rFonts w:asciiTheme="minorHAnsi" w:hAnsiTheme="minorHAnsi" w:cstheme="minorHAnsi"/>
          <w:szCs w:val="24"/>
        </w:rPr>
        <w:t>includes</w:t>
      </w:r>
      <w:r w:rsidRPr="002D1D0A">
        <w:rPr>
          <w:rFonts w:asciiTheme="minorHAnsi" w:hAnsiTheme="minorHAnsi" w:cstheme="minorHAnsi"/>
          <w:szCs w:val="24"/>
        </w:rPr>
        <w:t xml:space="preserve"> a Privacy Act Notice that (1) informs borrowers of the statutory authority for the information collection; (2) explains that the disclosure of the information is </w:t>
      </w:r>
      <w:r w:rsidRPr="002D1D0A" w:rsidR="009359A5">
        <w:rPr>
          <w:rFonts w:asciiTheme="minorHAnsi" w:hAnsiTheme="minorHAnsi" w:cstheme="minorHAnsi"/>
          <w:szCs w:val="24"/>
        </w:rPr>
        <w:t>voluntary but</w:t>
      </w:r>
      <w:r w:rsidRPr="002D1D0A">
        <w:rPr>
          <w:rFonts w:asciiTheme="minorHAnsi" w:hAnsiTheme="minorHAnsi" w:cstheme="minorHAnsi"/>
          <w:szCs w:val="24"/>
        </w:rPr>
        <w:t xml:space="preserve"> is required in order to qualify for a loan discharge; and (3) identifies the third parties to whom the information may be disclosed and explains the circumstances under which those disclosures may occur.</w:t>
      </w:r>
      <w:r w:rsidR="002F6854">
        <w:rPr>
          <w:rFonts w:asciiTheme="minorHAnsi" w:hAnsiTheme="minorHAnsi" w:cstheme="minorHAnsi"/>
          <w:szCs w:val="24"/>
        </w:rPr>
        <w:t xml:space="preserve">  This information</w:t>
      </w:r>
      <w:r w:rsidR="00C463A7">
        <w:rPr>
          <w:rFonts w:asciiTheme="minorHAnsi" w:hAnsiTheme="minorHAnsi" w:cstheme="minorHAnsi"/>
          <w:szCs w:val="24"/>
        </w:rPr>
        <w:t xml:space="preserve"> collection</w:t>
      </w:r>
      <w:r w:rsidR="002F6854">
        <w:rPr>
          <w:rFonts w:asciiTheme="minorHAnsi" w:hAnsiTheme="minorHAnsi" w:cstheme="minorHAnsi"/>
          <w:szCs w:val="24"/>
        </w:rPr>
        <w:t xml:space="preserve"> is </w:t>
      </w:r>
      <w:r w:rsidR="00C463A7">
        <w:rPr>
          <w:rFonts w:asciiTheme="minorHAnsi" w:hAnsiTheme="minorHAnsi" w:cstheme="minorHAnsi"/>
          <w:szCs w:val="24"/>
        </w:rPr>
        <w:t>part of</w:t>
      </w:r>
      <w:r w:rsidR="002F6854">
        <w:rPr>
          <w:rFonts w:asciiTheme="minorHAnsi" w:hAnsiTheme="minorHAnsi" w:cstheme="minorHAnsi"/>
          <w:szCs w:val="24"/>
        </w:rPr>
        <w:t xml:space="preserve"> the </w:t>
      </w:r>
      <w:hyperlink r:id="rId9" w:history="1">
        <w:r w:rsidRPr="002F6854" w:rsidR="002F6854">
          <w:rPr>
            <w:rStyle w:val="Hyperlink"/>
            <w:rFonts w:asciiTheme="minorHAnsi" w:hAnsiTheme="minorHAnsi" w:cstheme="minorHAnsi"/>
            <w:szCs w:val="24"/>
          </w:rPr>
          <w:t>Common Services for Borrowers</w:t>
        </w:r>
      </w:hyperlink>
      <w:r w:rsidR="002F6854">
        <w:rPr>
          <w:rFonts w:asciiTheme="minorHAnsi" w:hAnsiTheme="minorHAnsi" w:cstheme="minorHAnsi"/>
          <w:szCs w:val="24"/>
        </w:rPr>
        <w:t xml:space="preserve"> System of Records Notice, 18-11-16.</w:t>
      </w:r>
    </w:p>
    <w:p w:rsidR="007C700A" w:rsidRPr="005F4E11" w:rsidP="001E3281" w14:paraId="0E8A7A74" w14:textId="77777777">
      <w:pPr>
        <w:tabs>
          <w:tab w:val="left" w:pos="-720"/>
        </w:tabs>
        <w:suppressAutoHyphens/>
        <w:ind w:left="720"/>
        <w:rPr>
          <w:rFonts w:ascii="Times New Roman" w:hAnsi="Times New Roman"/>
          <w:bCs/>
          <w:szCs w:val="24"/>
        </w:rPr>
      </w:pPr>
    </w:p>
    <w:p w:rsidR="00043C32" w:rsidP="001E3281" w14:paraId="7188666A"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w:t>
      </w:r>
      <w:r w:rsidRPr="00920F63">
        <w:rPr>
          <w:rFonts w:ascii="Times New Roman" w:hAnsi="Times New Roman"/>
          <w:b/>
          <w:szCs w:val="24"/>
        </w:rPr>
        <w:t>persons</w:t>
      </w:r>
      <w:r w:rsidRPr="00920F63">
        <w:rPr>
          <w:rFonts w:ascii="Times New Roman" w:hAnsi="Times New Roman"/>
          <w:b/>
          <w:szCs w:val="24"/>
        </w:rPr>
        <w:t xml:space="preserve"> from whom the information is requested, and any steps to be taken to obtain their consent.</w:t>
      </w:r>
    </w:p>
    <w:p w:rsidR="00920F63" w:rsidP="001E3281" w14:paraId="18CDEC24" w14:textId="77777777">
      <w:pPr>
        <w:tabs>
          <w:tab w:val="left" w:pos="-720"/>
        </w:tabs>
        <w:suppressAutoHyphens/>
        <w:ind w:left="720"/>
        <w:rPr>
          <w:rFonts w:ascii="Times New Roman" w:hAnsi="Times New Roman"/>
          <w:bCs/>
          <w:szCs w:val="24"/>
        </w:rPr>
      </w:pPr>
    </w:p>
    <w:p w:rsidR="001E3281" w:rsidP="001E3281" w14:paraId="2EE8EFD4" w14:textId="77777777">
      <w:pPr>
        <w:tabs>
          <w:tab w:val="left" w:pos="0"/>
        </w:tabs>
        <w:suppressAutoHyphens/>
        <w:ind w:left="720"/>
        <w:rPr>
          <w:rFonts w:asciiTheme="minorHAnsi" w:hAnsiTheme="minorHAnsi" w:cstheme="minorHAnsi"/>
          <w:szCs w:val="24"/>
        </w:rPr>
      </w:pPr>
      <w:r w:rsidRPr="002D1D0A">
        <w:rPr>
          <w:rFonts w:asciiTheme="minorHAnsi" w:hAnsiTheme="minorHAnsi" w:cstheme="minorHAnsi"/>
          <w:szCs w:val="24"/>
        </w:rPr>
        <w:t>The form does not require borrowers to provide information of a sensitive nature.</w:t>
      </w:r>
    </w:p>
    <w:p w:rsidR="001E3281" w:rsidRPr="002D1D0A" w:rsidP="001E3281" w14:paraId="39456E2F" w14:textId="77777777">
      <w:pPr>
        <w:tabs>
          <w:tab w:val="left" w:pos="0"/>
        </w:tabs>
        <w:suppressAutoHyphens/>
        <w:ind w:left="720"/>
        <w:rPr>
          <w:rFonts w:asciiTheme="minorHAnsi" w:hAnsiTheme="minorHAnsi" w:cstheme="minorHAnsi"/>
          <w:szCs w:val="24"/>
        </w:rPr>
      </w:pPr>
    </w:p>
    <w:p w:rsidR="00043C32" w:rsidRPr="00920F63" w:rsidP="001E3281" w14:paraId="37A0D691"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1E3281" w14:paraId="30545C2F" w14:textId="77777777">
      <w:pPr>
        <w:tabs>
          <w:tab w:val="left" w:pos="-720"/>
        </w:tabs>
        <w:suppressAutoHyphens/>
        <w:rPr>
          <w:rStyle w:val="a"/>
          <w:rFonts w:ascii="Times New Roman" w:hAnsi="Times New Roman"/>
          <w:b/>
          <w:szCs w:val="24"/>
        </w:rPr>
      </w:pPr>
    </w:p>
    <w:p w:rsidR="00C224FD" w:rsidP="001E3281" w14:paraId="2F6132F1"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1E3281" w14:paraId="3EEC2669"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1E3281" w14:paraId="048A6257"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1E3281" w14:paraId="4BEB4F10"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1E3281" w14:paraId="1D450024"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 xml:space="preserve">The cost of </w:t>
      </w:r>
      <w:r w:rsidRPr="00920F63">
        <w:rPr>
          <w:rStyle w:val="a"/>
          <w:rFonts w:ascii="Times New Roman" w:hAnsi="Times New Roman"/>
          <w:b/>
          <w:szCs w:val="24"/>
        </w:rPr>
        <w:t>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1E3281" w14:paraId="7B232B0F" w14:textId="77777777">
      <w:pPr>
        <w:tabs>
          <w:tab w:val="left" w:pos="-720"/>
          <w:tab w:val="left" w:pos="1247"/>
        </w:tabs>
        <w:suppressAutoHyphens/>
        <w:rPr>
          <w:rStyle w:val="a"/>
          <w:rFonts w:ascii="Times New Roman" w:hAnsi="Times New Roman"/>
          <w:b/>
          <w:szCs w:val="24"/>
        </w:rPr>
      </w:pPr>
    </w:p>
    <w:p w:rsidR="001E3281" w:rsidP="001E3281" w14:paraId="0F37D151" w14:textId="547CA2BC">
      <w:pPr>
        <w:tabs>
          <w:tab w:val="left" w:pos="-720"/>
        </w:tabs>
        <w:suppressAutoHyphens/>
        <w:ind w:left="700"/>
        <w:rPr>
          <w:rFonts w:asciiTheme="minorHAnsi" w:hAnsiTheme="minorHAnsi" w:cstheme="minorHAnsi"/>
          <w:szCs w:val="24"/>
        </w:rPr>
      </w:pPr>
      <w:r>
        <w:rPr>
          <w:rFonts w:asciiTheme="minorHAnsi" w:hAnsiTheme="minorHAnsi" w:cstheme="minorHAnsi"/>
          <w:szCs w:val="24"/>
        </w:rPr>
        <w:t xml:space="preserve">The Department continues to estimate </w:t>
      </w:r>
      <w:r w:rsidR="007050BC">
        <w:rPr>
          <w:rFonts w:asciiTheme="minorHAnsi" w:hAnsiTheme="minorHAnsi" w:cstheme="minorHAnsi"/>
          <w:szCs w:val="24"/>
        </w:rPr>
        <w:t xml:space="preserve">139,000 responses and 139,000 burden hours. </w:t>
      </w:r>
      <w:r>
        <w:rPr>
          <w:rFonts w:asciiTheme="minorHAnsi" w:hAnsiTheme="minorHAnsi" w:cstheme="minorHAnsi"/>
          <w:szCs w:val="24"/>
        </w:rPr>
        <w:t>T</w:t>
      </w:r>
      <w:r w:rsidRPr="002D1D0A">
        <w:rPr>
          <w:rFonts w:asciiTheme="minorHAnsi" w:hAnsiTheme="minorHAnsi" w:cstheme="minorHAnsi"/>
          <w:szCs w:val="24"/>
        </w:rPr>
        <w:t xml:space="preserve">he estimated time required to complete the forms is 1 hour (60 minutes) per form.  </w:t>
      </w:r>
    </w:p>
    <w:p w:rsidR="001E3281" w:rsidRPr="002D1D0A" w:rsidP="001E3281" w14:paraId="6B65D56F" w14:textId="77777777">
      <w:pPr>
        <w:tabs>
          <w:tab w:val="left" w:pos="-720"/>
        </w:tabs>
        <w:suppressAutoHyphens/>
        <w:ind w:left="700"/>
        <w:rPr>
          <w:rFonts w:asciiTheme="minorHAnsi" w:hAnsiTheme="minorHAnsi" w:cstheme="minorHAnsi"/>
          <w:szCs w:val="24"/>
        </w:rPr>
      </w:pPr>
    </w:p>
    <w:p w:rsidR="001E3281" w:rsidRPr="002D1D0A" w:rsidP="001E3281" w14:paraId="4312B2A9" w14:textId="77777777">
      <w:pPr>
        <w:tabs>
          <w:tab w:val="left" w:pos="-720"/>
        </w:tabs>
        <w:suppressAutoHyphens/>
        <w:ind w:left="700"/>
        <w:rPr>
          <w:rFonts w:asciiTheme="minorHAnsi" w:hAnsiTheme="minorHAnsi" w:cstheme="minorHAnsi"/>
          <w:szCs w:val="24"/>
        </w:rPr>
      </w:pPr>
    </w:p>
    <w:tbl>
      <w:tblPr>
        <w:tblW w:w="0" w:type="auto"/>
        <w:jc w:val="center"/>
        <w:tblLayout w:type="fixed"/>
        <w:tblLook w:val="04A0"/>
      </w:tblPr>
      <w:tblGrid>
        <w:gridCol w:w="4288"/>
        <w:gridCol w:w="504"/>
        <w:gridCol w:w="1710"/>
      </w:tblGrid>
      <w:tr w14:paraId="33E97DF3" w14:textId="77777777" w:rsidTr="00F15B95">
        <w:tblPrEx>
          <w:tblW w:w="0" w:type="auto"/>
          <w:jc w:val="center"/>
          <w:tblLayout w:type="fixed"/>
          <w:tblLook w:val="04A0"/>
        </w:tblPrEx>
        <w:trPr>
          <w:jc w:val="center"/>
        </w:trPr>
        <w:tc>
          <w:tcPr>
            <w:tcW w:w="4288" w:type="dxa"/>
            <w:hideMark/>
          </w:tcPr>
          <w:p w:rsidR="001E3281" w:rsidRPr="002D1D0A" w:rsidP="001E3281" w14:paraId="3F5CD68F" w14:textId="77777777">
            <w:pPr>
              <w:pStyle w:val="EndnoteText"/>
              <w:rPr>
                <w:rFonts w:asciiTheme="minorHAnsi" w:hAnsiTheme="minorHAnsi" w:cstheme="minorHAnsi"/>
                <w:szCs w:val="24"/>
              </w:rPr>
            </w:pPr>
            <w:r w:rsidRPr="002D1D0A">
              <w:rPr>
                <w:rFonts w:asciiTheme="minorHAnsi" w:hAnsiTheme="minorHAnsi" w:cstheme="minorHAnsi"/>
                <w:szCs w:val="24"/>
              </w:rPr>
              <w:t>Estimated annual number of respondents:</w:t>
            </w:r>
          </w:p>
        </w:tc>
        <w:tc>
          <w:tcPr>
            <w:tcW w:w="504" w:type="dxa"/>
          </w:tcPr>
          <w:p w:rsidR="001E3281" w:rsidRPr="002D1D0A" w:rsidP="001E3281" w14:paraId="67A00BA1" w14:textId="77777777">
            <w:pPr>
              <w:tabs>
                <w:tab w:val="left" w:pos="-720"/>
              </w:tabs>
              <w:suppressAutoHyphens/>
              <w:rPr>
                <w:rFonts w:asciiTheme="minorHAnsi" w:hAnsiTheme="minorHAnsi" w:cstheme="minorHAnsi"/>
                <w:szCs w:val="24"/>
              </w:rPr>
            </w:pPr>
          </w:p>
        </w:tc>
        <w:tc>
          <w:tcPr>
            <w:tcW w:w="1710" w:type="dxa"/>
            <w:hideMark/>
          </w:tcPr>
          <w:p w:rsidR="001E3281" w:rsidRPr="002D1D0A" w:rsidP="001E3281" w14:paraId="01EB1DF9" w14:textId="77777777">
            <w:pPr>
              <w:tabs>
                <w:tab w:val="left" w:pos="-720"/>
              </w:tabs>
              <w:suppressAutoHyphens/>
              <w:jc w:val="right"/>
              <w:rPr>
                <w:rFonts w:asciiTheme="minorHAnsi" w:hAnsiTheme="minorHAnsi" w:cstheme="minorHAnsi"/>
                <w:szCs w:val="24"/>
              </w:rPr>
            </w:pPr>
            <w:r w:rsidRPr="002D1D0A">
              <w:rPr>
                <w:rFonts w:asciiTheme="minorHAnsi" w:hAnsiTheme="minorHAnsi" w:cstheme="minorHAnsi"/>
                <w:szCs w:val="24"/>
              </w:rPr>
              <w:t>139,000</w:t>
            </w:r>
          </w:p>
        </w:tc>
      </w:tr>
      <w:tr w14:paraId="07DD4175" w14:textId="77777777" w:rsidTr="00F15B95">
        <w:tblPrEx>
          <w:tblW w:w="0" w:type="auto"/>
          <w:jc w:val="center"/>
          <w:tblLayout w:type="fixed"/>
          <w:tblLook w:val="04A0"/>
        </w:tblPrEx>
        <w:trPr>
          <w:jc w:val="center"/>
        </w:trPr>
        <w:tc>
          <w:tcPr>
            <w:tcW w:w="4288" w:type="dxa"/>
            <w:hideMark/>
          </w:tcPr>
          <w:p w:rsidR="001E3281" w:rsidRPr="002D1D0A" w:rsidP="001E3281" w14:paraId="1F91985E" w14:textId="77777777">
            <w:pPr>
              <w:tabs>
                <w:tab w:val="left" w:pos="-720"/>
              </w:tabs>
              <w:suppressAutoHyphens/>
              <w:rPr>
                <w:rFonts w:asciiTheme="minorHAnsi" w:hAnsiTheme="minorHAnsi" w:cstheme="minorHAnsi"/>
                <w:szCs w:val="24"/>
              </w:rPr>
            </w:pPr>
            <w:r w:rsidRPr="002D1D0A">
              <w:rPr>
                <w:rFonts w:asciiTheme="minorHAnsi" w:hAnsiTheme="minorHAnsi" w:cstheme="minorHAnsi"/>
                <w:szCs w:val="24"/>
              </w:rPr>
              <w:t>Number of responses per borrower:</w:t>
            </w:r>
          </w:p>
        </w:tc>
        <w:tc>
          <w:tcPr>
            <w:tcW w:w="504" w:type="dxa"/>
            <w:hideMark/>
          </w:tcPr>
          <w:p w:rsidR="001E3281" w:rsidRPr="002D1D0A" w:rsidP="001E3281" w14:paraId="2F8F0466" w14:textId="77777777">
            <w:pPr>
              <w:tabs>
                <w:tab w:val="left" w:pos="-720"/>
              </w:tabs>
              <w:suppressAutoHyphens/>
              <w:rPr>
                <w:rFonts w:asciiTheme="minorHAnsi" w:hAnsiTheme="minorHAnsi" w:cstheme="minorHAnsi"/>
                <w:szCs w:val="24"/>
              </w:rPr>
            </w:pPr>
            <w:r w:rsidRPr="002D1D0A">
              <w:rPr>
                <w:rFonts w:asciiTheme="minorHAnsi" w:hAnsiTheme="minorHAnsi" w:cstheme="minorHAnsi"/>
                <w:szCs w:val="24"/>
              </w:rPr>
              <w:t>x</w:t>
            </w:r>
          </w:p>
        </w:tc>
        <w:tc>
          <w:tcPr>
            <w:tcW w:w="1710" w:type="dxa"/>
            <w:hideMark/>
          </w:tcPr>
          <w:p w:rsidR="001E3281" w:rsidRPr="002D1D0A" w:rsidP="001E3281" w14:paraId="1CA88404" w14:textId="77777777">
            <w:pPr>
              <w:tabs>
                <w:tab w:val="left" w:pos="-720"/>
              </w:tabs>
              <w:suppressAutoHyphens/>
              <w:jc w:val="right"/>
              <w:rPr>
                <w:rFonts w:asciiTheme="minorHAnsi" w:hAnsiTheme="minorHAnsi" w:cstheme="minorHAnsi"/>
                <w:szCs w:val="24"/>
              </w:rPr>
            </w:pPr>
            <w:r w:rsidRPr="002D1D0A">
              <w:rPr>
                <w:rFonts w:asciiTheme="minorHAnsi" w:hAnsiTheme="minorHAnsi" w:cstheme="minorHAnsi"/>
                <w:szCs w:val="24"/>
              </w:rPr>
              <w:t>1</w:t>
            </w:r>
          </w:p>
        </w:tc>
      </w:tr>
      <w:tr w14:paraId="2B728D8F" w14:textId="77777777" w:rsidTr="00F15B95">
        <w:tblPrEx>
          <w:tblW w:w="0" w:type="auto"/>
          <w:jc w:val="center"/>
          <w:tblLayout w:type="fixed"/>
          <w:tblLook w:val="04A0"/>
        </w:tblPrEx>
        <w:trPr>
          <w:jc w:val="center"/>
        </w:trPr>
        <w:tc>
          <w:tcPr>
            <w:tcW w:w="4288" w:type="dxa"/>
            <w:hideMark/>
          </w:tcPr>
          <w:p w:rsidR="001E3281" w:rsidRPr="002D1D0A" w:rsidP="001E3281" w14:paraId="4E24DB3A" w14:textId="77777777">
            <w:pPr>
              <w:tabs>
                <w:tab w:val="left" w:pos="-720"/>
              </w:tabs>
              <w:suppressAutoHyphens/>
              <w:rPr>
                <w:rFonts w:asciiTheme="minorHAnsi" w:hAnsiTheme="minorHAnsi" w:cstheme="minorHAnsi"/>
                <w:szCs w:val="24"/>
              </w:rPr>
            </w:pPr>
            <w:r w:rsidRPr="002D1D0A">
              <w:rPr>
                <w:rFonts w:asciiTheme="minorHAnsi" w:hAnsiTheme="minorHAnsi" w:cstheme="minorHAnsi"/>
                <w:szCs w:val="24"/>
              </w:rPr>
              <w:t>Hours per response:</w:t>
            </w:r>
          </w:p>
        </w:tc>
        <w:tc>
          <w:tcPr>
            <w:tcW w:w="504" w:type="dxa"/>
            <w:hideMark/>
          </w:tcPr>
          <w:p w:rsidR="001E3281" w:rsidRPr="002D1D0A" w:rsidP="001E3281" w14:paraId="76FB22F9" w14:textId="77777777">
            <w:pPr>
              <w:tabs>
                <w:tab w:val="left" w:pos="-720"/>
              </w:tabs>
              <w:suppressAutoHyphens/>
              <w:rPr>
                <w:rFonts w:asciiTheme="minorHAnsi" w:hAnsiTheme="minorHAnsi" w:cstheme="minorHAnsi"/>
                <w:szCs w:val="24"/>
              </w:rPr>
            </w:pPr>
            <w:r w:rsidRPr="002D1D0A">
              <w:rPr>
                <w:rFonts w:asciiTheme="minorHAnsi" w:hAnsiTheme="minorHAnsi" w:cstheme="minorHAnsi"/>
                <w:szCs w:val="24"/>
              </w:rPr>
              <w:t>x</w:t>
            </w:r>
          </w:p>
        </w:tc>
        <w:tc>
          <w:tcPr>
            <w:tcW w:w="1710" w:type="dxa"/>
            <w:tcBorders>
              <w:top w:val="nil"/>
              <w:left w:val="nil"/>
              <w:bottom w:val="single" w:sz="4" w:space="0" w:color="auto"/>
              <w:right w:val="nil"/>
            </w:tcBorders>
            <w:hideMark/>
          </w:tcPr>
          <w:p w:rsidR="001E3281" w:rsidRPr="002D1D0A" w:rsidP="001E3281" w14:paraId="1B79A1AC" w14:textId="77777777">
            <w:pPr>
              <w:tabs>
                <w:tab w:val="left" w:pos="-720"/>
              </w:tabs>
              <w:suppressAutoHyphens/>
              <w:jc w:val="right"/>
              <w:rPr>
                <w:rFonts w:asciiTheme="minorHAnsi" w:hAnsiTheme="minorHAnsi" w:cstheme="minorHAnsi"/>
                <w:szCs w:val="24"/>
              </w:rPr>
            </w:pPr>
            <w:r w:rsidRPr="002D1D0A">
              <w:rPr>
                <w:rFonts w:asciiTheme="minorHAnsi" w:hAnsiTheme="minorHAnsi" w:cstheme="minorHAnsi"/>
                <w:szCs w:val="24"/>
              </w:rPr>
              <w:t>1</w:t>
            </w:r>
          </w:p>
          <w:p w:rsidR="001E3281" w:rsidRPr="002D1D0A" w:rsidP="001E3281" w14:paraId="243BF6AA" w14:textId="77777777">
            <w:pPr>
              <w:tabs>
                <w:tab w:val="left" w:pos="-720"/>
              </w:tabs>
              <w:suppressAutoHyphens/>
              <w:jc w:val="right"/>
              <w:rPr>
                <w:rFonts w:asciiTheme="minorHAnsi" w:hAnsiTheme="minorHAnsi" w:cstheme="minorHAnsi"/>
                <w:szCs w:val="24"/>
              </w:rPr>
            </w:pPr>
            <w:r w:rsidRPr="002D1D0A">
              <w:rPr>
                <w:rFonts w:asciiTheme="minorHAnsi" w:hAnsiTheme="minorHAnsi" w:cstheme="minorHAnsi"/>
                <w:szCs w:val="24"/>
              </w:rPr>
              <w:t>(60 minutes)</w:t>
            </w:r>
          </w:p>
        </w:tc>
      </w:tr>
      <w:tr w14:paraId="21D73333" w14:textId="77777777" w:rsidTr="00F15B95">
        <w:tblPrEx>
          <w:tblW w:w="0" w:type="auto"/>
          <w:jc w:val="center"/>
          <w:tblLayout w:type="fixed"/>
          <w:tblLook w:val="04A0"/>
        </w:tblPrEx>
        <w:trPr>
          <w:jc w:val="center"/>
        </w:trPr>
        <w:tc>
          <w:tcPr>
            <w:tcW w:w="4288" w:type="dxa"/>
            <w:hideMark/>
          </w:tcPr>
          <w:p w:rsidR="001E3281" w:rsidRPr="002D1D0A" w:rsidP="001E3281" w14:paraId="64AD6A75" w14:textId="77777777">
            <w:pPr>
              <w:tabs>
                <w:tab w:val="left" w:pos="-720"/>
              </w:tabs>
              <w:suppressAutoHyphens/>
              <w:rPr>
                <w:rFonts w:asciiTheme="minorHAnsi" w:hAnsiTheme="minorHAnsi" w:cstheme="minorHAnsi"/>
                <w:szCs w:val="24"/>
              </w:rPr>
            </w:pPr>
            <w:r w:rsidRPr="002D1D0A">
              <w:rPr>
                <w:rFonts w:asciiTheme="minorHAnsi" w:hAnsiTheme="minorHAnsi" w:cstheme="minorHAnsi"/>
                <w:szCs w:val="24"/>
              </w:rPr>
              <w:t>Annual hour burden:</w:t>
            </w:r>
          </w:p>
        </w:tc>
        <w:tc>
          <w:tcPr>
            <w:tcW w:w="504" w:type="dxa"/>
          </w:tcPr>
          <w:p w:rsidR="001E3281" w:rsidRPr="002D1D0A" w:rsidP="001E3281" w14:paraId="6BD9FD97" w14:textId="77777777">
            <w:pPr>
              <w:tabs>
                <w:tab w:val="left" w:pos="-720"/>
              </w:tabs>
              <w:suppressAutoHyphens/>
              <w:rPr>
                <w:rFonts w:asciiTheme="minorHAnsi" w:hAnsiTheme="minorHAnsi" w:cstheme="minorHAnsi"/>
                <w:szCs w:val="24"/>
              </w:rPr>
            </w:pPr>
          </w:p>
        </w:tc>
        <w:tc>
          <w:tcPr>
            <w:tcW w:w="1710" w:type="dxa"/>
            <w:hideMark/>
          </w:tcPr>
          <w:p w:rsidR="001E3281" w:rsidRPr="002D1D0A" w:rsidP="001E3281" w14:paraId="24E28A0F" w14:textId="77777777">
            <w:pPr>
              <w:tabs>
                <w:tab w:val="left" w:pos="-720"/>
              </w:tabs>
              <w:suppressAutoHyphens/>
              <w:jc w:val="right"/>
              <w:rPr>
                <w:rFonts w:asciiTheme="minorHAnsi" w:hAnsiTheme="minorHAnsi" w:cstheme="minorHAnsi"/>
                <w:szCs w:val="24"/>
              </w:rPr>
            </w:pPr>
            <w:r w:rsidRPr="002D1D0A">
              <w:rPr>
                <w:rFonts w:asciiTheme="minorHAnsi" w:hAnsiTheme="minorHAnsi" w:cstheme="minorHAnsi"/>
                <w:szCs w:val="24"/>
              </w:rPr>
              <w:t>139,000 hours</w:t>
            </w:r>
          </w:p>
        </w:tc>
      </w:tr>
    </w:tbl>
    <w:p w:rsidR="001E3281" w:rsidRPr="002D1D0A" w:rsidP="001E3281" w14:paraId="57D3E585" w14:textId="77777777">
      <w:pPr>
        <w:tabs>
          <w:tab w:val="left" w:pos="-720"/>
        </w:tabs>
        <w:suppressAutoHyphens/>
        <w:ind w:left="700"/>
        <w:rPr>
          <w:rFonts w:asciiTheme="minorHAnsi" w:hAnsiTheme="minorHAnsi" w:cstheme="minorHAnsi"/>
          <w:szCs w:val="24"/>
        </w:rPr>
      </w:pPr>
    </w:p>
    <w:p w:rsidR="001E3281" w:rsidP="001E3281" w14:paraId="77190FC8" w14:textId="3392B713">
      <w:pPr>
        <w:tabs>
          <w:tab w:val="left" w:pos="-720"/>
        </w:tabs>
        <w:suppressAutoHyphens/>
        <w:ind w:left="720"/>
        <w:rPr>
          <w:rFonts w:asciiTheme="minorHAnsi" w:hAnsiTheme="minorHAnsi" w:cstheme="minorHAnsi"/>
          <w:szCs w:val="24"/>
        </w:rPr>
      </w:pPr>
    </w:p>
    <w:p w:rsidR="001E3281" w:rsidRPr="002D1D0A" w:rsidP="001E3281" w14:paraId="177F5E26" w14:textId="77777777">
      <w:pPr>
        <w:tabs>
          <w:tab w:val="left" w:pos="-720"/>
        </w:tabs>
        <w:suppressAutoHyphens/>
        <w:ind w:left="720"/>
        <w:rPr>
          <w:rFonts w:asciiTheme="minorHAnsi" w:hAnsiTheme="minorHAnsi" w:cstheme="minorHAnsi"/>
          <w:szCs w:val="24"/>
        </w:rPr>
      </w:pPr>
    </w:p>
    <w:p w:rsidR="00ED7195" w:rsidP="001E3281" w14:paraId="0C4BA044" w14:textId="77777777">
      <w:pPr>
        <w:tabs>
          <w:tab w:val="left" w:pos="-720"/>
        </w:tabs>
        <w:suppressAutoHyphens/>
        <w:ind w:left="1080"/>
        <w:rPr>
          <w:rFonts w:ascii="Times New Roman" w:hAnsi="Times New Roman"/>
          <w:color w:val="000000" w:themeColor="text1"/>
          <w:szCs w:val="24"/>
        </w:rPr>
      </w:pPr>
      <w:r w:rsidRPr="00920F63">
        <w:rPr>
          <w:rFonts w:ascii="Times New Roman" w:hAnsi="Times New Roman"/>
          <w:color w:val="000000" w:themeColor="text1"/>
          <w:szCs w:val="24"/>
        </w:rPr>
        <w:t xml:space="preserve">Estimated </w:t>
      </w:r>
      <w:r w:rsidR="00F31BEC">
        <w:rPr>
          <w:rFonts w:ascii="Times New Roman" w:hAnsi="Times New Roman"/>
          <w:color w:val="000000" w:themeColor="text1"/>
          <w:szCs w:val="24"/>
        </w:rPr>
        <w:t xml:space="preserve">Annual </w:t>
      </w:r>
      <w:r w:rsidR="007F6104">
        <w:rPr>
          <w:rFonts w:ascii="Times New Roman" w:hAnsi="Times New Roman"/>
          <w:color w:val="000000" w:themeColor="text1"/>
          <w:szCs w:val="24"/>
        </w:rPr>
        <w:t>Burden and Respondent Costs</w:t>
      </w:r>
      <w:r w:rsidR="00F5782B">
        <w:rPr>
          <w:rFonts w:ascii="Times New Roman" w:hAnsi="Times New Roman"/>
          <w:color w:val="000000" w:themeColor="text1"/>
          <w:szCs w:val="24"/>
        </w:rPr>
        <w:t xml:space="preserve"> Table</w:t>
      </w:r>
    </w:p>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155"/>
        <w:gridCol w:w="1080"/>
        <w:gridCol w:w="1530"/>
        <w:gridCol w:w="1350"/>
      </w:tblGrid>
      <w:tr w14:paraId="30B57419" w14:textId="77777777" w:rsidTr="002F6854">
        <w:tblPrEx>
          <w:tblW w:w="8815" w:type="dxa"/>
          <w:tblLayout w:type="fixed"/>
          <w:tblLook w:val="0020"/>
        </w:tblPrEx>
        <w:trPr>
          <w:tblHeader/>
        </w:trPr>
        <w:tc>
          <w:tcPr>
            <w:tcW w:w="1345" w:type="dxa"/>
          </w:tcPr>
          <w:p w:rsidR="009C37AF" w:rsidRPr="007F6104" w:rsidP="001E3281" w14:paraId="4C4FF69E"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1E3281" w14:paraId="32B4E1CB"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C37AF" w:rsidRPr="007F6104" w:rsidP="001E3281" w14:paraId="6046ECC8" w14:textId="77777777">
            <w:pPr>
              <w:jc w:val="center"/>
              <w:rPr>
                <w:rFonts w:ascii="Times New Roman" w:hAnsi="Times New Roman"/>
                <w:sz w:val="20"/>
              </w:rPr>
            </w:pPr>
            <w:r w:rsidRPr="007F6104">
              <w:rPr>
                <w:rFonts w:ascii="Times New Roman" w:hAnsi="Times New Roman"/>
                <w:sz w:val="20"/>
              </w:rPr>
              <w:t>Number of Responses</w:t>
            </w:r>
          </w:p>
        </w:tc>
        <w:tc>
          <w:tcPr>
            <w:tcW w:w="1155" w:type="dxa"/>
          </w:tcPr>
          <w:p w:rsidR="009C37AF" w:rsidRPr="007F6104" w:rsidP="001E3281" w14:paraId="1BF68BCD" w14:textId="77777777">
            <w:pPr>
              <w:jc w:val="center"/>
              <w:rPr>
                <w:rFonts w:ascii="Times New Roman" w:hAnsi="Times New Roman"/>
                <w:sz w:val="20"/>
              </w:rPr>
            </w:pPr>
            <w:r w:rsidRPr="007F6104">
              <w:rPr>
                <w:rFonts w:ascii="Times New Roman" w:hAnsi="Times New Roman"/>
                <w:sz w:val="20"/>
              </w:rPr>
              <w:t xml:space="preserve">Average </w:t>
            </w:r>
            <w:r w:rsidRPr="007F6104">
              <w:rPr>
                <w:rFonts w:ascii="Times New Roman" w:hAnsi="Times New Roman"/>
                <w:sz w:val="20"/>
              </w:rPr>
              <w:t>Burden</w:t>
            </w:r>
            <w:r w:rsidRPr="007F6104">
              <w:rPr>
                <w:rFonts w:ascii="Times New Roman" w:hAnsi="Times New Roman"/>
                <w:sz w:val="20"/>
              </w:rPr>
              <w:t xml:space="preserve"> Hours per Response</w:t>
            </w:r>
          </w:p>
        </w:tc>
        <w:tc>
          <w:tcPr>
            <w:tcW w:w="1080" w:type="dxa"/>
          </w:tcPr>
          <w:p w:rsidR="009C37AF" w:rsidRPr="007F6104" w:rsidP="002F6854" w14:paraId="5C5DF476"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9C37AF" w:rsidRPr="007F6104" w:rsidP="001E3281" w14:paraId="1B784D87"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9C37AF" w:rsidRPr="007F6104" w:rsidP="001E3281" w14:paraId="7142F4C7"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7EC5256D" w14:textId="77777777" w:rsidTr="002F6854">
        <w:tblPrEx>
          <w:tblW w:w="8815" w:type="dxa"/>
          <w:tblLayout w:type="fixed"/>
          <w:tblLook w:val="0020"/>
        </w:tblPrEx>
        <w:tc>
          <w:tcPr>
            <w:tcW w:w="1345" w:type="dxa"/>
          </w:tcPr>
          <w:p w:rsidR="009C37AF" w:rsidRPr="009C37AF" w:rsidP="001E3281" w14:paraId="3C33BC06" w14:textId="77777777">
            <w:pPr>
              <w:rPr>
                <w:rFonts w:asciiTheme="minorHAnsi" w:hAnsiTheme="minorHAnsi" w:cstheme="minorHAnsi"/>
                <w:szCs w:val="24"/>
              </w:rPr>
            </w:pPr>
            <w:r>
              <w:rPr>
                <w:rFonts w:asciiTheme="minorHAnsi" w:hAnsiTheme="minorHAnsi" w:cstheme="minorHAnsi"/>
                <w:szCs w:val="24"/>
              </w:rPr>
              <w:t>Individual</w:t>
            </w:r>
          </w:p>
        </w:tc>
        <w:tc>
          <w:tcPr>
            <w:tcW w:w="1275" w:type="dxa"/>
          </w:tcPr>
          <w:p w:rsidR="009C37AF" w:rsidRPr="00442E07" w:rsidP="002F6854" w14:paraId="27C0FCF6" w14:textId="77777777">
            <w:pPr>
              <w:jc w:val="right"/>
              <w:rPr>
                <w:rFonts w:ascii="Times New Roman" w:hAnsi="Times New Roman"/>
                <w:szCs w:val="24"/>
              </w:rPr>
            </w:pPr>
            <w:r>
              <w:rPr>
                <w:rFonts w:ascii="Times New Roman" w:hAnsi="Times New Roman"/>
                <w:szCs w:val="24"/>
              </w:rPr>
              <w:t>139,000</w:t>
            </w:r>
          </w:p>
        </w:tc>
        <w:tc>
          <w:tcPr>
            <w:tcW w:w="1080" w:type="dxa"/>
          </w:tcPr>
          <w:p w:rsidR="009C37AF" w:rsidRPr="00442E07" w:rsidP="002F6854" w14:paraId="31B5277C" w14:textId="77777777">
            <w:pPr>
              <w:jc w:val="right"/>
              <w:rPr>
                <w:rFonts w:ascii="Times New Roman" w:hAnsi="Times New Roman"/>
                <w:szCs w:val="24"/>
              </w:rPr>
            </w:pPr>
            <w:r>
              <w:rPr>
                <w:rFonts w:ascii="Times New Roman" w:hAnsi="Times New Roman"/>
                <w:szCs w:val="24"/>
              </w:rPr>
              <w:t>139,000</w:t>
            </w:r>
          </w:p>
        </w:tc>
        <w:tc>
          <w:tcPr>
            <w:tcW w:w="1155" w:type="dxa"/>
          </w:tcPr>
          <w:p w:rsidR="009C37AF" w:rsidRPr="00442E07" w:rsidP="001E3281" w14:paraId="0DB889C8" w14:textId="77777777">
            <w:pPr>
              <w:jc w:val="center"/>
              <w:rPr>
                <w:rFonts w:ascii="Times New Roman" w:hAnsi="Times New Roman"/>
                <w:szCs w:val="24"/>
              </w:rPr>
            </w:pPr>
            <w:r>
              <w:rPr>
                <w:rFonts w:ascii="Times New Roman" w:hAnsi="Times New Roman"/>
                <w:szCs w:val="24"/>
              </w:rPr>
              <w:t>1</w:t>
            </w:r>
          </w:p>
        </w:tc>
        <w:tc>
          <w:tcPr>
            <w:tcW w:w="1080" w:type="dxa"/>
          </w:tcPr>
          <w:p w:rsidR="009C37AF" w:rsidRPr="00442E07" w:rsidP="002F6854" w14:paraId="7B8A66F0" w14:textId="77777777">
            <w:pPr>
              <w:jc w:val="right"/>
              <w:rPr>
                <w:rFonts w:ascii="Times New Roman" w:hAnsi="Times New Roman"/>
                <w:szCs w:val="24"/>
              </w:rPr>
            </w:pPr>
            <w:r>
              <w:rPr>
                <w:rFonts w:ascii="Times New Roman" w:hAnsi="Times New Roman"/>
                <w:szCs w:val="24"/>
              </w:rPr>
              <w:t>139,000</w:t>
            </w:r>
          </w:p>
        </w:tc>
        <w:tc>
          <w:tcPr>
            <w:tcW w:w="1530" w:type="dxa"/>
          </w:tcPr>
          <w:p w:rsidR="009C37AF" w:rsidRPr="00442E07" w:rsidP="002F6854" w14:paraId="079C089E" w14:textId="0E682544">
            <w:pPr>
              <w:jc w:val="right"/>
              <w:rPr>
                <w:rFonts w:ascii="Times New Roman" w:hAnsi="Times New Roman"/>
                <w:szCs w:val="24"/>
              </w:rPr>
            </w:pPr>
            <w:r>
              <w:rPr>
                <w:rFonts w:ascii="Times New Roman" w:hAnsi="Times New Roman"/>
                <w:szCs w:val="24"/>
              </w:rPr>
              <w:t>$2</w:t>
            </w:r>
            <w:r w:rsidR="00DE4B2D">
              <w:rPr>
                <w:rFonts w:ascii="Times New Roman" w:hAnsi="Times New Roman"/>
                <w:szCs w:val="24"/>
              </w:rPr>
              <w:t>3.80</w:t>
            </w:r>
          </w:p>
        </w:tc>
        <w:tc>
          <w:tcPr>
            <w:tcW w:w="1350" w:type="dxa"/>
          </w:tcPr>
          <w:p w:rsidR="009C37AF" w:rsidRPr="00442E07" w:rsidP="002F6854" w14:paraId="08033998" w14:textId="61CBF134">
            <w:pPr>
              <w:jc w:val="right"/>
              <w:rPr>
                <w:rFonts w:ascii="Times New Roman" w:hAnsi="Times New Roman"/>
                <w:szCs w:val="24"/>
              </w:rPr>
            </w:pPr>
            <w:r>
              <w:rPr>
                <w:rFonts w:ascii="Times New Roman" w:hAnsi="Times New Roman"/>
                <w:szCs w:val="24"/>
              </w:rPr>
              <w:t>$3,</w:t>
            </w:r>
            <w:r w:rsidR="002052B8">
              <w:rPr>
                <w:rFonts w:ascii="Times New Roman" w:hAnsi="Times New Roman"/>
                <w:szCs w:val="24"/>
              </w:rPr>
              <w:t>308</w:t>
            </w:r>
            <w:r w:rsidR="00241DF5">
              <w:rPr>
                <w:rFonts w:ascii="Times New Roman" w:hAnsi="Times New Roman"/>
                <w:szCs w:val="24"/>
              </w:rPr>
              <w:t>,</w:t>
            </w:r>
            <w:r w:rsidR="002052B8">
              <w:rPr>
                <w:rFonts w:ascii="Times New Roman" w:hAnsi="Times New Roman"/>
                <w:szCs w:val="24"/>
              </w:rPr>
              <w:t>200</w:t>
            </w:r>
          </w:p>
        </w:tc>
      </w:tr>
      <w:tr w14:paraId="6B92D3A5" w14:textId="77777777" w:rsidTr="002F6854">
        <w:tblPrEx>
          <w:tblW w:w="8815" w:type="dxa"/>
          <w:tblLayout w:type="fixed"/>
          <w:tblLook w:val="0020"/>
        </w:tblPrEx>
        <w:tc>
          <w:tcPr>
            <w:tcW w:w="1345" w:type="dxa"/>
          </w:tcPr>
          <w:p w:rsidR="002F6854" w:rsidRPr="009C37AF" w:rsidP="002F6854" w14:paraId="6C39C30D" w14:textId="77777777">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2F6854" w:rsidRPr="00442E07" w:rsidP="00C463A7" w14:paraId="7EFCBEAF" w14:textId="77777777">
            <w:pPr>
              <w:jc w:val="center"/>
              <w:rPr>
                <w:rFonts w:ascii="Times New Roman" w:hAnsi="Times New Roman"/>
                <w:szCs w:val="24"/>
              </w:rPr>
            </w:pPr>
            <w:r>
              <w:rPr>
                <w:rFonts w:ascii="Times New Roman" w:hAnsi="Times New Roman"/>
                <w:szCs w:val="24"/>
              </w:rPr>
              <w:t>N/A</w:t>
            </w:r>
          </w:p>
        </w:tc>
        <w:tc>
          <w:tcPr>
            <w:tcW w:w="1080" w:type="dxa"/>
          </w:tcPr>
          <w:p w:rsidR="002F6854" w:rsidRPr="00442E07" w:rsidP="00C463A7" w14:paraId="412C2E3E" w14:textId="77777777">
            <w:pPr>
              <w:jc w:val="center"/>
              <w:rPr>
                <w:rFonts w:ascii="Times New Roman" w:hAnsi="Times New Roman"/>
                <w:szCs w:val="24"/>
              </w:rPr>
            </w:pPr>
            <w:r w:rsidRPr="00D76523">
              <w:rPr>
                <w:rFonts w:ascii="Times New Roman" w:hAnsi="Times New Roman"/>
                <w:szCs w:val="24"/>
              </w:rPr>
              <w:t>N/A</w:t>
            </w:r>
          </w:p>
        </w:tc>
        <w:tc>
          <w:tcPr>
            <w:tcW w:w="1155" w:type="dxa"/>
          </w:tcPr>
          <w:p w:rsidR="002F6854" w:rsidRPr="00442E07" w:rsidP="00C463A7" w14:paraId="56F6E54D" w14:textId="77777777">
            <w:pPr>
              <w:jc w:val="center"/>
              <w:rPr>
                <w:rFonts w:ascii="Times New Roman" w:hAnsi="Times New Roman"/>
                <w:szCs w:val="24"/>
              </w:rPr>
            </w:pPr>
            <w:r w:rsidRPr="00D76523">
              <w:rPr>
                <w:rFonts w:ascii="Times New Roman" w:hAnsi="Times New Roman"/>
                <w:szCs w:val="24"/>
              </w:rPr>
              <w:t>N/A</w:t>
            </w:r>
          </w:p>
        </w:tc>
        <w:tc>
          <w:tcPr>
            <w:tcW w:w="1080" w:type="dxa"/>
          </w:tcPr>
          <w:p w:rsidR="002F6854" w:rsidRPr="00442E07" w:rsidP="00C463A7" w14:paraId="58C7A093" w14:textId="77777777">
            <w:pPr>
              <w:pStyle w:val="EndnoteText"/>
              <w:tabs>
                <w:tab w:val="clear" w:pos="-720"/>
              </w:tabs>
              <w:suppressAutoHyphens w:val="0"/>
              <w:jc w:val="center"/>
              <w:rPr>
                <w:rFonts w:ascii="Times New Roman" w:hAnsi="Times New Roman"/>
                <w:szCs w:val="24"/>
              </w:rPr>
            </w:pPr>
            <w:r w:rsidRPr="00D76523">
              <w:rPr>
                <w:rFonts w:ascii="Times New Roman" w:hAnsi="Times New Roman"/>
                <w:szCs w:val="24"/>
              </w:rPr>
              <w:t>N/A</w:t>
            </w:r>
          </w:p>
        </w:tc>
        <w:tc>
          <w:tcPr>
            <w:tcW w:w="1530" w:type="dxa"/>
          </w:tcPr>
          <w:p w:rsidR="002F6854" w:rsidRPr="00442E07" w:rsidP="00C463A7" w14:paraId="7D680CED" w14:textId="77777777">
            <w:pPr>
              <w:jc w:val="center"/>
              <w:rPr>
                <w:rFonts w:ascii="Times New Roman" w:hAnsi="Times New Roman"/>
                <w:szCs w:val="24"/>
              </w:rPr>
            </w:pPr>
            <w:r w:rsidRPr="00D76523">
              <w:rPr>
                <w:rFonts w:ascii="Times New Roman" w:hAnsi="Times New Roman"/>
                <w:szCs w:val="24"/>
              </w:rPr>
              <w:t>N/A</w:t>
            </w:r>
          </w:p>
        </w:tc>
        <w:tc>
          <w:tcPr>
            <w:tcW w:w="1350" w:type="dxa"/>
          </w:tcPr>
          <w:p w:rsidR="002F6854" w:rsidRPr="00442E07" w:rsidP="00C463A7" w14:paraId="1BC4E506" w14:textId="77777777">
            <w:pPr>
              <w:jc w:val="center"/>
              <w:rPr>
                <w:rFonts w:ascii="Times New Roman" w:hAnsi="Times New Roman"/>
                <w:szCs w:val="24"/>
              </w:rPr>
            </w:pPr>
            <w:r w:rsidRPr="00D76523">
              <w:rPr>
                <w:rFonts w:ascii="Times New Roman" w:hAnsi="Times New Roman"/>
                <w:szCs w:val="24"/>
              </w:rPr>
              <w:t>N/A</w:t>
            </w:r>
          </w:p>
        </w:tc>
      </w:tr>
      <w:tr w14:paraId="66DD7309" w14:textId="77777777" w:rsidTr="002F6854">
        <w:tblPrEx>
          <w:tblW w:w="8815" w:type="dxa"/>
          <w:tblLayout w:type="fixed"/>
          <w:tblLook w:val="0020"/>
        </w:tblPrEx>
        <w:tc>
          <w:tcPr>
            <w:tcW w:w="1345" w:type="dxa"/>
          </w:tcPr>
          <w:p w:rsidR="002F6854" w:rsidRPr="009C37AF" w:rsidP="002F6854" w14:paraId="7ACE512E" w14:textId="77777777">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2F6854" w:rsidRPr="00442E07" w:rsidP="00C463A7" w14:paraId="580D55CF" w14:textId="77777777">
            <w:pPr>
              <w:jc w:val="center"/>
              <w:rPr>
                <w:rFonts w:ascii="Times New Roman" w:hAnsi="Times New Roman"/>
                <w:szCs w:val="24"/>
              </w:rPr>
            </w:pPr>
            <w:r>
              <w:rPr>
                <w:rFonts w:ascii="Times New Roman" w:hAnsi="Times New Roman"/>
                <w:szCs w:val="24"/>
              </w:rPr>
              <w:t>N/A</w:t>
            </w:r>
          </w:p>
        </w:tc>
        <w:tc>
          <w:tcPr>
            <w:tcW w:w="1080" w:type="dxa"/>
          </w:tcPr>
          <w:p w:rsidR="002F6854" w:rsidRPr="00442E07" w:rsidP="00C463A7" w14:paraId="12A1C908" w14:textId="77777777">
            <w:pPr>
              <w:jc w:val="center"/>
              <w:rPr>
                <w:rFonts w:ascii="Times New Roman" w:hAnsi="Times New Roman"/>
                <w:szCs w:val="24"/>
              </w:rPr>
            </w:pPr>
            <w:r w:rsidRPr="00D76523">
              <w:rPr>
                <w:rFonts w:ascii="Times New Roman" w:hAnsi="Times New Roman"/>
                <w:szCs w:val="24"/>
              </w:rPr>
              <w:t>N/A</w:t>
            </w:r>
          </w:p>
        </w:tc>
        <w:tc>
          <w:tcPr>
            <w:tcW w:w="1155" w:type="dxa"/>
          </w:tcPr>
          <w:p w:rsidR="002F6854" w:rsidRPr="00442E07" w:rsidP="00C463A7" w14:paraId="63AA01C9" w14:textId="77777777">
            <w:pPr>
              <w:jc w:val="center"/>
              <w:rPr>
                <w:rFonts w:ascii="Times New Roman" w:hAnsi="Times New Roman"/>
                <w:szCs w:val="24"/>
              </w:rPr>
            </w:pPr>
            <w:r w:rsidRPr="00D76523">
              <w:rPr>
                <w:rFonts w:ascii="Times New Roman" w:hAnsi="Times New Roman"/>
                <w:szCs w:val="24"/>
              </w:rPr>
              <w:t>N/A</w:t>
            </w:r>
          </w:p>
        </w:tc>
        <w:tc>
          <w:tcPr>
            <w:tcW w:w="1080" w:type="dxa"/>
          </w:tcPr>
          <w:p w:rsidR="002F6854" w:rsidRPr="00442E07" w:rsidP="00C463A7" w14:paraId="0C13599C" w14:textId="77777777">
            <w:pPr>
              <w:pStyle w:val="EndnoteText"/>
              <w:tabs>
                <w:tab w:val="clear" w:pos="-720"/>
              </w:tabs>
              <w:suppressAutoHyphens w:val="0"/>
              <w:jc w:val="center"/>
              <w:rPr>
                <w:rFonts w:ascii="Times New Roman" w:hAnsi="Times New Roman"/>
                <w:szCs w:val="24"/>
              </w:rPr>
            </w:pPr>
            <w:r w:rsidRPr="00D76523">
              <w:rPr>
                <w:rFonts w:ascii="Times New Roman" w:hAnsi="Times New Roman"/>
                <w:szCs w:val="24"/>
              </w:rPr>
              <w:t>N/A</w:t>
            </w:r>
          </w:p>
        </w:tc>
        <w:tc>
          <w:tcPr>
            <w:tcW w:w="1530" w:type="dxa"/>
          </w:tcPr>
          <w:p w:rsidR="002F6854" w:rsidRPr="00442E07" w:rsidP="00C463A7" w14:paraId="5D616420" w14:textId="77777777">
            <w:pPr>
              <w:jc w:val="center"/>
              <w:rPr>
                <w:rFonts w:ascii="Times New Roman" w:hAnsi="Times New Roman"/>
                <w:szCs w:val="24"/>
              </w:rPr>
            </w:pPr>
            <w:r w:rsidRPr="00D76523">
              <w:rPr>
                <w:rFonts w:ascii="Times New Roman" w:hAnsi="Times New Roman"/>
                <w:szCs w:val="24"/>
              </w:rPr>
              <w:t>N/A</w:t>
            </w:r>
          </w:p>
        </w:tc>
        <w:tc>
          <w:tcPr>
            <w:tcW w:w="1350" w:type="dxa"/>
          </w:tcPr>
          <w:p w:rsidR="002F6854" w:rsidRPr="00442E07" w:rsidP="00C463A7" w14:paraId="7C4B1123" w14:textId="77777777">
            <w:pPr>
              <w:jc w:val="center"/>
              <w:rPr>
                <w:rFonts w:ascii="Times New Roman" w:hAnsi="Times New Roman"/>
                <w:szCs w:val="24"/>
              </w:rPr>
            </w:pPr>
            <w:r w:rsidRPr="00D76523">
              <w:rPr>
                <w:rFonts w:ascii="Times New Roman" w:hAnsi="Times New Roman"/>
                <w:szCs w:val="24"/>
              </w:rPr>
              <w:t>N/A</w:t>
            </w:r>
          </w:p>
        </w:tc>
      </w:tr>
      <w:tr w14:paraId="0CA58BDC" w14:textId="77777777" w:rsidTr="002F6854">
        <w:tblPrEx>
          <w:tblW w:w="8815" w:type="dxa"/>
          <w:tblLayout w:type="fixed"/>
          <w:tblLook w:val="0020"/>
        </w:tblPrEx>
        <w:tc>
          <w:tcPr>
            <w:tcW w:w="1345" w:type="dxa"/>
          </w:tcPr>
          <w:p w:rsidR="002F6854" w:rsidRPr="009C37AF" w:rsidP="002F6854" w14:paraId="5892FBE8" w14:textId="77777777">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2F6854" w:rsidRPr="00442E07" w:rsidP="00C463A7" w14:paraId="19D6D2BE" w14:textId="77777777">
            <w:pPr>
              <w:jc w:val="center"/>
              <w:rPr>
                <w:rFonts w:ascii="Times New Roman" w:hAnsi="Times New Roman"/>
                <w:szCs w:val="24"/>
              </w:rPr>
            </w:pPr>
            <w:r>
              <w:rPr>
                <w:rFonts w:ascii="Times New Roman" w:hAnsi="Times New Roman"/>
                <w:szCs w:val="24"/>
              </w:rPr>
              <w:t>N/A</w:t>
            </w:r>
          </w:p>
        </w:tc>
        <w:tc>
          <w:tcPr>
            <w:tcW w:w="1080" w:type="dxa"/>
          </w:tcPr>
          <w:p w:rsidR="002F6854" w:rsidRPr="00442E07" w:rsidP="00C463A7" w14:paraId="615F863B" w14:textId="77777777">
            <w:pPr>
              <w:jc w:val="center"/>
              <w:rPr>
                <w:rFonts w:ascii="Times New Roman" w:hAnsi="Times New Roman"/>
                <w:szCs w:val="24"/>
              </w:rPr>
            </w:pPr>
            <w:r w:rsidRPr="00D76523">
              <w:rPr>
                <w:rFonts w:ascii="Times New Roman" w:hAnsi="Times New Roman"/>
                <w:szCs w:val="24"/>
              </w:rPr>
              <w:t>N/A</w:t>
            </w:r>
          </w:p>
        </w:tc>
        <w:tc>
          <w:tcPr>
            <w:tcW w:w="1155" w:type="dxa"/>
          </w:tcPr>
          <w:p w:rsidR="002F6854" w:rsidRPr="00442E07" w:rsidP="00C463A7" w14:paraId="28AD8304" w14:textId="77777777">
            <w:pPr>
              <w:jc w:val="center"/>
              <w:rPr>
                <w:rFonts w:ascii="Times New Roman" w:hAnsi="Times New Roman"/>
                <w:szCs w:val="24"/>
              </w:rPr>
            </w:pPr>
            <w:r w:rsidRPr="00D76523">
              <w:rPr>
                <w:rFonts w:ascii="Times New Roman" w:hAnsi="Times New Roman"/>
                <w:szCs w:val="24"/>
              </w:rPr>
              <w:t>N/A</w:t>
            </w:r>
          </w:p>
        </w:tc>
        <w:tc>
          <w:tcPr>
            <w:tcW w:w="1080" w:type="dxa"/>
          </w:tcPr>
          <w:p w:rsidR="002F6854" w:rsidRPr="00442E07" w:rsidP="00C463A7" w14:paraId="2387F46A" w14:textId="77777777">
            <w:pPr>
              <w:jc w:val="center"/>
              <w:rPr>
                <w:rFonts w:ascii="Times New Roman" w:hAnsi="Times New Roman"/>
                <w:szCs w:val="24"/>
              </w:rPr>
            </w:pPr>
            <w:r w:rsidRPr="00D76523">
              <w:rPr>
                <w:rFonts w:ascii="Times New Roman" w:hAnsi="Times New Roman"/>
                <w:szCs w:val="24"/>
              </w:rPr>
              <w:t>N/A</w:t>
            </w:r>
          </w:p>
        </w:tc>
        <w:tc>
          <w:tcPr>
            <w:tcW w:w="1530" w:type="dxa"/>
          </w:tcPr>
          <w:p w:rsidR="002F6854" w:rsidRPr="00442E07" w:rsidP="00C463A7" w14:paraId="31B856AF" w14:textId="77777777">
            <w:pPr>
              <w:jc w:val="center"/>
              <w:rPr>
                <w:rFonts w:ascii="Times New Roman" w:hAnsi="Times New Roman"/>
                <w:szCs w:val="24"/>
              </w:rPr>
            </w:pPr>
            <w:r w:rsidRPr="00D76523">
              <w:rPr>
                <w:rFonts w:ascii="Times New Roman" w:hAnsi="Times New Roman"/>
                <w:szCs w:val="24"/>
              </w:rPr>
              <w:t>N/A</w:t>
            </w:r>
          </w:p>
        </w:tc>
        <w:tc>
          <w:tcPr>
            <w:tcW w:w="1350" w:type="dxa"/>
          </w:tcPr>
          <w:p w:rsidR="002F6854" w:rsidRPr="00442E07" w:rsidP="00C463A7" w14:paraId="07E238B1" w14:textId="77777777">
            <w:pPr>
              <w:jc w:val="center"/>
              <w:rPr>
                <w:rFonts w:ascii="Times New Roman" w:hAnsi="Times New Roman"/>
                <w:szCs w:val="24"/>
              </w:rPr>
            </w:pPr>
            <w:r w:rsidRPr="00D76523">
              <w:rPr>
                <w:rFonts w:ascii="Times New Roman" w:hAnsi="Times New Roman"/>
                <w:szCs w:val="24"/>
              </w:rPr>
              <w:t>N/A</w:t>
            </w:r>
          </w:p>
        </w:tc>
      </w:tr>
      <w:tr w14:paraId="57B5304A" w14:textId="77777777" w:rsidTr="002F6854">
        <w:tblPrEx>
          <w:tblW w:w="8815" w:type="dxa"/>
          <w:tblLayout w:type="fixed"/>
          <w:tblLook w:val="0020"/>
        </w:tblPrEx>
        <w:tc>
          <w:tcPr>
            <w:tcW w:w="1345" w:type="dxa"/>
          </w:tcPr>
          <w:p w:rsidR="002F6854" w:rsidRPr="00442E07" w:rsidP="002F6854" w14:paraId="45F33B2E" w14:textId="77777777">
            <w:pPr>
              <w:rPr>
                <w:rFonts w:ascii="Times New Roman" w:hAnsi="Times New Roman"/>
                <w:szCs w:val="24"/>
              </w:rPr>
            </w:pPr>
            <w:r>
              <w:rPr>
                <w:rFonts w:ascii="Times New Roman" w:hAnsi="Times New Roman"/>
                <w:szCs w:val="24"/>
              </w:rPr>
              <w:t>Annualized Totals</w:t>
            </w:r>
          </w:p>
        </w:tc>
        <w:tc>
          <w:tcPr>
            <w:tcW w:w="1275" w:type="dxa"/>
          </w:tcPr>
          <w:p w:rsidR="002F6854" w:rsidRPr="00442E07" w:rsidP="00C463A7" w14:paraId="1F323FC3" w14:textId="77777777">
            <w:pPr>
              <w:jc w:val="right"/>
              <w:rPr>
                <w:rFonts w:ascii="Times New Roman" w:hAnsi="Times New Roman"/>
                <w:szCs w:val="24"/>
              </w:rPr>
            </w:pPr>
            <w:r>
              <w:rPr>
                <w:rFonts w:ascii="Times New Roman" w:hAnsi="Times New Roman"/>
                <w:szCs w:val="24"/>
              </w:rPr>
              <w:t>139,000</w:t>
            </w:r>
          </w:p>
        </w:tc>
        <w:tc>
          <w:tcPr>
            <w:tcW w:w="1080" w:type="dxa"/>
          </w:tcPr>
          <w:p w:rsidR="002F6854" w:rsidRPr="00442E07" w:rsidP="00C463A7" w14:paraId="65C4CC77" w14:textId="77777777">
            <w:pPr>
              <w:jc w:val="right"/>
              <w:rPr>
                <w:rFonts w:ascii="Times New Roman" w:hAnsi="Times New Roman"/>
                <w:szCs w:val="24"/>
              </w:rPr>
            </w:pPr>
            <w:r>
              <w:rPr>
                <w:rFonts w:ascii="Times New Roman" w:hAnsi="Times New Roman"/>
                <w:szCs w:val="24"/>
              </w:rPr>
              <w:t>139,000</w:t>
            </w:r>
          </w:p>
        </w:tc>
        <w:tc>
          <w:tcPr>
            <w:tcW w:w="1155" w:type="dxa"/>
          </w:tcPr>
          <w:p w:rsidR="002F6854" w:rsidRPr="00442E07" w:rsidP="00C463A7" w14:paraId="49E4ED03" w14:textId="77777777">
            <w:pPr>
              <w:jc w:val="right"/>
              <w:rPr>
                <w:rFonts w:ascii="Times New Roman" w:hAnsi="Times New Roman"/>
                <w:szCs w:val="24"/>
              </w:rPr>
            </w:pPr>
          </w:p>
        </w:tc>
        <w:tc>
          <w:tcPr>
            <w:tcW w:w="1080" w:type="dxa"/>
          </w:tcPr>
          <w:p w:rsidR="002F6854" w:rsidRPr="00442E07" w:rsidP="00C463A7" w14:paraId="6E6568A0" w14:textId="77777777">
            <w:pPr>
              <w:jc w:val="right"/>
              <w:rPr>
                <w:rFonts w:ascii="Times New Roman" w:hAnsi="Times New Roman"/>
                <w:szCs w:val="24"/>
              </w:rPr>
            </w:pPr>
            <w:r>
              <w:rPr>
                <w:rFonts w:ascii="Times New Roman" w:hAnsi="Times New Roman"/>
                <w:szCs w:val="24"/>
              </w:rPr>
              <w:t>139,000</w:t>
            </w:r>
          </w:p>
        </w:tc>
        <w:tc>
          <w:tcPr>
            <w:tcW w:w="1530" w:type="dxa"/>
          </w:tcPr>
          <w:p w:rsidR="002F6854" w:rsidRPr="00442E07" w:rsidP="00C463A7" w14:paraId="436BA87A" w14:textId="77777777">
            <w:pPr>
              <w:jc w:val="right"/>
              <w:rPr>
                <w:rFonts w:ascii="Times New Roman" w:hAnsi="Times New Roman"/>
                <w:szCs w:val="24"/>
              </w:rPr>
            </w:pPr>
          </w:p>
        </w:tc>
        <w:tc>
          <w:tcPr>
            <w:tcW w:w="1350" w:type="dxa"/>
          </w:tcPr>
          <w:p w:rsidR="002F6854" w:rsidRPr="00442E07" w:rsidP="00C463A7" w14:paraId="142B2EF5" w14:textId="572BF4B1">
            <w:pPr>
              <w:jc w:val="right"/>
              <w:rPr>
                <w:rFonts w:ascii="Times New Roman" w:hAnsi="Times New Roman"/>
                <w:szCs w:val="24"/>
              </w:rPr>
            </w:pPr>
            <w:r>
              <w:rPr>
                <w:rFonts w:ascii="Times New Roman" w:hAnsi="Times New Roman"/>
                <w:szCs w:val="24"/>
              </w:rPr>
              <w:t>$</w:t>
            </w:r>
            <w:r w:rsidR="00AF0C8F">
              <w:rPr>
                <w:rFonts w:ascii="Times New Roman" w:hAnsi="Times New Roman"/>
                <w:szCs w:val="24"/>
              </w:rPr>
              <w:t>3,308,200</w:t>
            </w:r>
          </w:p>
        </w:tc>
      </w:tr>
    </w:tbl>
    <w:p w:rsidR="009C37AF" w:rsidRPr="009C37AF" w:rsidP="001E3281" w14:paraId="5D0A6511" w14:textId="77777777"/>
    <w:p w:rsidR="00F31BEC" w:rsidRPr="00AF5D1A" w:rsidP="001E3281" w14:paraId="72D42360"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w:t>
      </w:r>
      <w:r w:rsidRPr="00AF5D1A">
        <w:rPr>
          <w:rStyle w:val="a"/>
          <w:rFonts w:ascii="Times New Roman" w:hAnsi="Times New Roman"/>
          <w:b/>
          <w:bCs/>
          <w:i/>
          <w:iCs/>
          <w:sz w:val="22"/>
          <w:szCs w:val="22"/>
        </w:rPr>
        <w:t>on</w:t>
      </w:r>
      <w:r w:rsidRPr="00AF5D1A">
        <w:rPr>
          <w:rStyle w:val="a"/>
          <w:rFonts w:ascii="Times New Roman" w:hAnsi="Times New Roman"/>
          <w:b/>
          <w:bCs/>
          <w:i/>
          <w:iCs/>
          <w:sz w:val="22"/>
          <w:szCs w:val="22"/>
        </w:rPr>
        <w:t xml:space="preserve"> all forms.</w:t>
      </w:r>
    </w:p>
    <w:p w:rsidR="00920F63" w:rsidP="001E3281" w14:paraId="4F5E10C9" w14:textId="77777777">
      <w:pPr>
        <w:pStyle w:val="ListParagraph"/>
        <w:tabs>
          <w:tab w:val="left" w:pos="-720"/>
        </w:tabs>
        <w:suppressAutoHyphens/>
        <w:rPr>
          <w:rStyle w:val="a"/>
          <w:rFonts w:ascii="Times New Roman" w:hAnsi="Times New Roman"/>
          <w:szCs w:val="24"/>
        </w:rPr>
      </w:pPr>
    </w:p>
    <w:p w:rsidR="00043C32" w:rsidRPr="00ED7195" w:rsidP="001E3281" w14:paraId="66B6D30C"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1E3281" w14:paraId="0ECB6002" w14:textId="77777777">
      <w:pPr>
        <w:tabs>
          <w:tab w:val="left" w:pos="-720"/>
        </w:tabs>
        <w:suppressAutoHyphens/>
        <w:rPr>
          <w:rFonts w:ascii="Times New Roman" w:hAnsi="Times New Roman"/>
          <w:b/>
          <w:szCs w:val="24"/>
        </w:rPr>
      </w:pPr>
    </w:p>
    <w:p w:rsidR="00043C32" w:rsidRPr="00ED7195" w:rsidP="001E3281" w14:paraId="2B2EEEBD"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w:t>
      </w:r>
      <w:r w:rsidRPr="00ED7195">
        <w:rPr>
          <w:rFonts w:ascii="Times New Roman" w:hAnsi="Times New Roman"/>
          <w:b/>
          <w:szCs w:val="24"/>
        </w:rPr>
        <w:t xml:space="preserve">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1E3281" w14:paraId="4289A379"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w:t>
      </w:r>
      <w:r w:rsidRPr="00ED7195">
        <w:rPr>
          <w:rFonts w:ascii="Times New Roman" w:hAnsi="Times New Roman"/>
          <w:b/>
          <w:szCs w:val="24"/>
        </w:rPr>
        <w:t>contracting out</w:t>
      </w:r>
      <w:r w:rsidRPr="00ED7195">
        <w:rPr>
          <w:rFonts w:ascii="Times New Roman" w:hAnsi="Times New Roman"/>
          <w:b/>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1E3281" w14:paraId="3551387E"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1E3281" w14:paraId="07F103F5" w14:textId="77777777">
      <w:pPr>
        <w:tabs>
          <w:tab w:val="left" w:pos="-720"/>
        </w:tabs>
        <w:suppressAutoHyphens/>
        <w:rPr>
          <w:rFonts w:ascii="Times New Roman" w:hAnsi="Times New Roman"/>
          <w:b/>
          <w:szCs w:val="24"/>
        </w:rPr>
      </w:pPr>
    </w:p>
    <w:p w:rsidR="00043C32" w:rsidRPr="00ED7195" w:rsidP="001E3281" w14:paraId="44317AB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1E3281" w14:paraId="393E68FF"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P="001E3281" w14:paraId="2A4ECB4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1E3281" w14:paraId="2BD9A8C1" w14:textId="77777777">
      <w:pPr>
        <w:tabs>
          <w:tab w:val="left" w:pos="-720"/>
        </w:tabs>
        <w:suppressAutoHyphens/>
        <w:rPr>
          <w:rFonts w:ascii="Times New Roman" w:hAnsi="Times New Roman"/>
          <w:b/>
          <w:szCs w:val="24"/>
        </w:rPr>
      </w:pPr>
    </w:p>
    <w:p w:rsidR="001E3281" w:rsidRPr="002D1D0A" w:rsidP="001E3281" w14:paraId="582BC9E8" w14:textId="77777777">
      <w:pPr>
        <w:tabs>
          <w:tab w:val="left" w:pos="-720"/>
        </w:tabs>
        <w:suppressAutoHyphens/>
        <w:ind w:left="720"/>
        <w:rPr>
          <w:rFonts w:asciiTheme="minorHAnsi" w:hAnsiTheme="minorHAnsi" w:cstheme="minorHAnsi"/>
          <w:szCs w:val="24"/>
        </w:rPr>
      </w:pPr>
      <w:r w:rsidRPr="002D1D0A">
        <w:rPr>
          <w:rFonts w:asciiTheme="minorHAnsi" w:hAnsiTheme="minorHAnsi" w:cstheme="minorHAnsi"/>
          <w:szCs w:val="24"/>
        </w:rPr>
        <w:t>There are no capital/startup costs to respondents.</w:t>
      </w:r>
    </w:p>
    <w:p w:rsidR="00043C32" w:rsidP="001E3281" w14:paraId="22EDA24C" w14:textId="77777777">
      <w:pPr>
        <w:tabs>
          <w:tab w:val="left" w:pos="-720"/>
        </w:tabs>
        <w:suppressAutoHyphens/>
        <w:ind w:left="720"/>
        <w:rPr>
          <w:rFonts w:ascii="Times New Roman" w:hAnsi="Times New Roman"/>
          <w:szCs w:val="24"/>
        </w:rPr>
      </w:pPr>
    </w:p>
    <w:p w:rsidR="00043C32" w:rsidRPr="00534B4A" w:rsidP="001E3281" w14:paraId="11780F5C"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534B4A">
        <w:rPr>
          <w:rStyle w:val="a"/>
          <w:rFonts w:ascii="Times New Roman" w:hAnsi="Times New Roman"/>
          <w:b/>
          <w:szCs w:val="24"/>
        </w:rPr>
        <w:t>expense</w:t>
      </w:r>
      <w:r w:rsidRPr="00534B4A">
        <w:rPr>
          <w:rStyle w:val="a"/>
          <w:rFonts w:ascii="Times New Roman" w:hAnsi="Times New Roman"/>
          <w:b/>
          <w:szCs w:val="24"/>
        </w:rPr>
        <w:t xml:space="preserve"> that would not have been incurred without this collection of information.  Agencies also may aggregate cost estimates from Items 12, 13, and 14 in a single table.</w:t>
      </w:r>
    </w:p>
    <w:p w:rsidR="00534B4A" w:rsidP="001E3281" w14:paraId="45F1F66B" w14:textId="77777777">
      <w:pPr>
        <w:tabs>
          <w:tab w:val="left" w:pos="-720"/>
        </w:tabs>
        <w:suppressAutoHyphens/>
        <w:ind w:left="720"/>
        <w:rPr>
          <w:rFonts w:ascii="Times New Roman" w:hAnsi="Times New Roman"/>
          <w:szCs w:val="24"/>
        </w:rPr>
      </w:pPr>
    </w:p>
    <w:p w:rsidR="001E3281" w:rsidRPr="002D1D0A" w:rsidP="001E3281" w14:paraId="6E8730F9" w14:textId="77777777">
      <w:pPr>
        <w:ind w:left="720"/>
        <w:rPr>
          <w:rFonts w:asciiTheme="minorHAnsi" w:hAnsiTheme="minorHAnsi" w:cstheme="minorHAnsi"/>
          <w:szCs w:val="24"/>
        </w:rPr>
      </w:pPr>
      <w:r w:rsidRPr="002D1D0A">
        <w:rPr>
          <w:rFonts w:asciiTheme="minorHAnsi" w:hAnsiTheme="minorHAnsi" w:cstheme="minorHAnsi"/>
          <w:szCs w:val="24"/>
        </w:rPr>
        <w:t>There is no significant cost to the federal government related to these forms from DL and FFEL Program borrowers, since guaranty agencies and private collection agencies distribute and process the form, and the Department does not specifically pay for these services.</w:t>
      </w:r>
    </w:p>
    <w:p w:rsidR="00534B4A" w:rsidP="001E3281" w14:paraId="536EB2F2" w14:textId="77777777">
      <w:pPr>
        <w:pStyle w:val="ListParagraph"/>
        <w:tabs>
          <w:tab w:val="left" w:pos="-720"/>
        </w:tabs>
        <w:suppressAutoHyphens/>
        <w:contextualSpacing w:val="0"/>
        <w:rPr>
          <w:rFonts w:ascii="Times New Roman" w:hAnsi="Times New Roman"/>
          <w:szCs w:val="24"/>
        </w:rPr>
      </w:pPr>
    </w:p>
    <w:p w:rsidR="00800D30" w:rsidP="001E3281" w14:paraId="58D3DCBB"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800D30">
        <w:rPr>
          <w:rFonts w:ascii="Times New Roman" w:hAnsi="Times New Roman"/>
          <w:b/>
          <w:szCs w:val="24"/>
        </w:rPr>
        <w:t>Program</w:t>
      </w:r>
      <w:r w:rsidRPr="00800D30">
        <w:rPr>
          <w:rFonts w:ascii="Times New Roman" w:hAnsi="Times New Roman"/>
          <w:b/>
          <w:szCs w:val="24"/>
        </w:rPr>
        <w:t xml:space="preserve"> changes result from a deliberate action that materially changes a collection of information and generally are result of new statute or an agency action (e.g., changing a form, revising </w:t>
      </w:r>
      <w:r w:rsidRPr="00800D30">
        <w:rPr>
          <w:rFonts w:ascii="Times New Roman" w:hAnsi="Times New Roman"/>
          <w:b/>
          <w:szCs w:val="24"/>
        </w:rPr>
        <w:t xml:space="preserve">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P="001E3281" w14:paraId="52C7E493" w14:textId="77777777">
      <w:pPr>
        <w:pStyle w:val="ListParagraph"/>
        <w:tabs>
          <w:tab w:val="left" w:pos="-720"/>
        </w:tabs>
        <w:suppressAutoHyphens/>
        <w:contextualSpacing w:val="0"/>
        <w:rPr>
          <w:rFonts w:ascii="Times New Roman" w:hAnsi="Times New Roman"/>
          <w:b/>
          <w:szCs w:val="24"/>
        </w:rPr>
      </w:pPr>
    </w:p>
    <w:p w:rsidR="00800D30" w:rsidRPr="00756FD3" w:rsidP="001E3281" w14:paraId="5998B1CB"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1E3281" w14:paraId="51E9A325"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727A9431" w14:textId="77777777" w:rsidTr="0052073E">
        <w:tblPrEx>
          <w:tblW w:w="9445" w:type="dxa"/>
          <w:tblLook w:val="04A0"/>
        </w:tblPrEx>
        <w:tc>
          <w:tcPr>
            <w:tcW w:w="2048" w:type="dxa"/>
            <w:shd w:val="clear" w:color="auto" w:fill="D9D9D9" w:themeFill="background1" w:themeFillShade="D9"/>
          </w:tcPr>
          <w:p w:rsidR="0052073E" w:rsidP="001E3281" w14:paraId="0B249996" w14:textId="77777777">
            <w:pPr>
              <w:tabs>
                <w:tab w:val="left" w:pos="-720"/>
              </w:tabs>
              <w:suppressAutoHyphens/>
              <w:rPr>
                <w:rFonts w:ascii="Times New Roman" w:hAnsi="Times New Roman"/>
                <w:b/>
                <w:szCs w:val="24"/>
              </w:rPr>
            </w:pPr>
          </w:p>
        </w:tc>
        <w:tc>
          <w:tcPr>
            <w:tcW w:w="2048" w:type="dxa"/>
          </w:tcPr>
          <w:p w:rsidR="0052073E" w:rsidP="001E3281" w14:paraId="1624CC7D"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1E3281" w14:paraId="1CC58558"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1E3281" w14:paraId="609941B5"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4C91431F" w14:textId="77777777" w:rsidTr="0052073E">
        <w:tblPrEx>
          <w:tblW w:w="9445" w:type="dxa"/>
          <w:tblLook w:val="04A0"/>
        </w:tblPrEx>
        <w:tc>
          <w:tcPr>
            <w:tcW w:w="2048" w:type="dxa"/>
          </w:tcPr>
          <w:p w:rsidR="0052073E" w:rsidP="001E3281" w14:paraId="63941B07"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1E3281" w14:paraId="43DDC5DE" w14:textId="77777777">
            <w:pPr>
              <w:tabs>
                <w:tab w:val="left" w:pos="-720"/>
              </w:tabs>
              <w:suppressAutoHyphens/>
              <w:rPr>
                <w:rFonts w:ascii="Times New Roman" w:hAnsi="Times New Roman"/>
                <w:b/>
                <w:szCs w:val="24"/>
              </w:rPr>
            </w:pPr>
          </w:p>
        </w:tc>
        <w:tc>
          <w:tcPr>
            <w:tcW w:w="2829" w:type="dxa"/>
          </w:tcPr>
          <w:p w:rsidR="0052073E" w:rsidRPr="007A5F49" w:rsidP="001E3281" w14:paraId="2DFCA5D3" w14:textId="77777777">
            <w:pPr>
              <w:tabs>
                <w:tab w:val="left" w:pos="-720"/>
              </w:tabs>
              <w:suppressAutoHyphens/>
              <w:jc w:val="center"/>
              <w:rPr>
                <w:rFonts w:asciiTheme="minorHAnsi" w:hAnsiTheme="minorHAnsi" w:cstheme="minorHAnsi"/>
                <w:bCs/>
                <w:szCs w:val="24"/>
              </w:rPr>
            </w:pPr>
          </w:p>
        </w:tc>
        <w:tc>
          <w:tcPr>
            <w:tcW w:w="2520" w:type="dxa"/>
          </w:tcPr>
          <w:p w:rsidR="0052073E" w:rsidP="001E3281" w14:paraId="507250C4" w14:textId="77777777">
            <w:pPr>
              <w:tabs>
                <w:tab w:val="left" w:pos="-720"/>
              </w:tabs>
              <w:suppressAutoHyphens/>
              <w:rPr>
                <w:rFonts w:ascii="Times New Roman" w:hAnsi="Times New Roman"/>
                <w:b/>
                <w:szCs w:val="24"/>
              </w:rPr>
            </w:pPr>
          </w:p>
        </w:tc>
      </w:tr>
      <w:tr w14:paraId="66F8D65C" w14:textId="77777777" w:rsidTr="0052073E">
        <w:tblPrEx>
          <w:tblW w:w="9445" w:type="dxa"/>
          <w:tblLook w:val="04A0"/>
        </w:tblPrEx>
        <w:tc>
          <w:tcPr>
            <w:tcW w:w="2048" w:type="dxa"/>
          </w:tcPr>
          <w:p w:rsidR="0052073E" w:rsidP="001E3281" w14:paraId="7BC8E6E2"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1E3281" w14:paraId="654E5825" w14:textId="77777777">
            <w:pPr>
              <w:tabs>
                <w:tab w:val="left" w:pos="-720"/>
              </w:tabs>
              <w:suppressAutoHyphens/>
              <w:rPr>
                <w:rFonts w:ascii="Times New Roman" w:hAnsi="Times New Roman"/>
                <w:b/>
                <w:szCs w:val="24"/>
              </w:rPr>
            </w:pPr>
          </w:p>
        </w:tc>
        <w:tc>
          <w:tcPr>
            <w:tcW w:w="2829" w:type="dxa"/>
          </w:tcPr>
          <w:p w:rsidR="0052073E" w:rsidRPr="007A5F49" w:rsidP="001E3281" w14:paraId="099880F3" w14:textId="77777777">
            <w:pPr>
              <w:tabs>
                <w:tab w:val="left" w:pos="-720"/>
              </w:tabs>
              <w:suppressAutoHyphens/>
              <w:jc w:val="center"/>
              <w:rPr>
                <w:rFonts w:asciiTheme="minorHAnsi" w:hAnsiTheme="minorHAnsi" w:cstheme="minorHAnsi"/>
                <w:bCs/>
                <w:szCs w:val="24"/>
              </w:rPr>
            </w:pPr>
          </w:p>
        </w:tc>
        <w:tc>
          <w:tcPr>
            <w:tcW w:w="2520" w:type="dxa"/>
          </w:tcPr>
          <w:p w:rsidR="0052073E" w:rsidP="001E3281" w14:paraId="3A97A745" w14:textId="77777777">
            <w:pPr>
              <w:tabs>
                <w:tab w:val="left" w:pos="-720"/>
              </w:tabs>
              <w:suppressAutoHyphens/>
              <w:rPr>
                <w:rFonts w:ascii="Times New Roman" w:hAnsi="Times New Roman"/>
                <w:b/>
                <w:szCs w:val="24"/>
              </w:rPr>
            </w:pPr>
          </w:p>
        </w:tc>
      </w:tr>
      <w:tr w14:paraId="53A4FDC0" w14:textId="77777777" w:rsidTr="0052073E">
        <w:tblPrEx>
          <w:tblW w:w="9445" w:type="dxa"/>
          <w:tblLook w:val="04A0"/>
        </w:tblPrEx>
        <w:tc>
          <w:tcPr>
            <w:tcW w:w="2048" w:type="dxa"/>
          </w:tcPr>
          <w:p w:rsidR="0052073E" w:rsidP="001E3281" w14:paraId="73446E85"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1E3281" w14:paraId="2350E220" w14:textId="77777777">
            <w:pPr>
              <w:tabs>
                <w:tab w:val="left" w:pos="-720"/>
              </w:tabs>
              <w:suppressAutoHyphens/>
              <w:rPr>
                <w:rFonts w:ascii="Times New Roman" w:hAnsi="Times New Roman"/>
                <w:b/>
                <w:szCs w:val="24"/>
              </w:rPr>
            </w:pPr>
          </w:p>
        </w:tc>
        <w:tc>
          <w:tcPr>
            <w:tcW w:w="2829" w:type="dxa"/>
          </w:tcPr>
          <w:p w:rsidR="0052073E" w:rsidRPr="007A5F49" w:rsidP="001E3281" w14:paraId="70FF9833" w14:textId="77777777">
            <w:pPr>
              <w:tabs>
                <w:tab w:val="left" w:pos="-720"/>
              </w:tabs>
              <w:suppressAutoHyphens/>
              <w:jc w:val="center"/>
              <w:rPr>
                <w:rFonts w:asciiTheme="minorHAnsi" w:hAnsiTheme="minorHAnsi" w:cstheme="minorHAnsi"/>
                <w:b/>
                <w:szCs w:val="24"/>
              </w:rPr>
            </w:pPr>
          </w:p>
        </w:tc>
        <w:tc>
          <w:tcPr>
            <w:tcW w:w="2520" w:type="dxa"/>
          </w:tcPr>
          <w:p w:rsidR="0052073E" w:rsidP="001E3281" w14:paraId="187ECDAC" w14:textId="77777777">
            <w:pPr>
              <w:tabs>
                <w:tab w:val="left" w:pos="-720"/>
              </w:tabs>
              <w:suppressAutoHyphens/>
              <w:rPr>
                <w:rFonts w:ascii="Times New Roman" w:hAnsi="Times New Roman"/>
                <w:b/>
                <w:szCs w:val="24"/>
              </w:rPr>
            </w:pPr>
          </w:p>
        </w:tc>
      </w:tr>
    </w:tbl>
    <w:p w:rsidR="00F27AAF" w:rsidRPr="005F4E11" w:rsidP="001E3281" w14:paraId="7BA7866A" w14:textId="77777777">
      <w:pPr>
        <w:tabs>
          <w:tab w:val="left" w:pos="-720"/>
        </w:tabs>
        <w:suppressAutoHyphens/>
        <w:ind w:left="720"/>
        <w:rPr>
          <w:rFonts w:ascii="Times New Roman" w:hAnsi="Times New Roman"/>
          <w:bCs/>
          <w:szCs w:val="24"/>
        </w:rPr>
      </w:pPr>
    </w:p>
    <w:p w:rsidR="001E3281" w:rsidRPr="002D1D0A" w:rsidP="001E3281" w14:paraId="64DC7E47" w14:textId="331559B9">
      <w:pPr>
        <w:tabs>
          <w:tab w:val="left" w:pos="-720"/>
        </w:tabs>
        <w:suppressAutoHyphens/>
        <w:ind w:left="720"/>
        <w:rPr>
          <w:rFonts w:asciiTheme="minorHAnsi" w:hAnsiTheme="minorHAnsi" w:cstheme="minorHAnsi"/>
          <w:szCs w:val="24"/>
        </w:rPr>
      </w:pPr>
      <w:r w:rsidRPr="002D1D0A">
        <w:rPr>
          <w:rFonts w:asciiTheme="minorHAnsi" w:hAnsiTheme="minorHAnsi" w:cstheme="minorHAnsi"/>
          <w:szCs w:val="24"/>
        </w:rPr>
        <w:t>This is a request for an extension of this collection.  There has been</w:t>
      </w:r>
      <w:r w:rsidR="002C203C">
        <w:rPr>
          <w:rFonts w:asciiTheme="minorHAnsi" w:hAnsiTheme="minorHAnsi" w:cstheme="minorHAnsi"/>
          <w:szCs w:val="24"/>
        </w:rPr>
        <w:t xml:space="preserve"> no change in the estimated</w:t>
      </w:r>
      <w:r w:rsidRPr="002D1D0A">
        <w:rPr>
          <w:rFonts w:asciiTheme="minorHAnsi" w:hAnsiTheme="minorHAnsi" w:cstheme="minorHAnsi"/>
          <w:szCs w:val="24"/>
        </w:rPr>
        <w:t xml:space="preserve"> 1</w:t>
      </w:r>
      <w:r w:rsidR="00206F8A">
        <w:rPr>
          <w:rFonts w:asciiTheme="minorHAnsi" w:hAnsiTheme="minorHAnsi" w:cstheme="minorHAnsi"/>
          <w:szCs w:val="24"/>
        </w:rPr>
        <w:t>39,000</w:t>
      </w:r>
      <w:r w:rsidRPr="002D1D0A">
        <w:rPr>
          <w:rFonts w:asciiTheme="minorHAnsi" w:hAnsiTheme="minorHAnsi" w:cstheme="minorHAnsi"/>
          <w:szCs w:val="24"/>
        </w:rPr>
        <w:t xml:space="preserve"> respondents and hours.  </w:t>
      </w:r>
    </w:p>
    <w:p w:rsidR="00534B4A" w:rsidRPr="005F4E11" w:rsidP="001E3281" w14:paraId="79E547AD" w14:textId="77777777">
      <w:pPr>
        <w:tabs>
          <w:tab w:val="left" w:pos="-720"/>
        </w:tabs>
        <w:suppressAutoHyphens/>
        <w:ind w:left="720"/>
        <w:rPr>
          <w:rFonts w:ascii="Times New Roman" w:hAnsi="Times New Roman"/>
          <w:bCs/>
          <w:szCs w:val="24"/>
        </w:rPr>
      </w:pPr>
    </w:p>
    <w:p w:rsidR="00043C32" w:rsidP="001E3281" w14:paraId="6BFBA88A"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1E3281" w14:paraId="307D972B" w14:textId="77777777">
      <w:pPr>
        <w:tabs>
          <w:tab w:val="left" w:pos="-720"/>
        </w:tabs>
        <w:suppressAutoHyphens/>
        <w:ind w:left="720"/>
        <w:rPr>
          <w:rFonts w:ascii="Times New Roman" w:hAnsi="Times New Roman"/>
          <w:szCs w:val="24"/>
        </w:rPr>
      </w:pPr>
    </w:p>
    <w:p w:rsidR="00534B4A" w:rsidP="001E3281" w14:paraId="5D1D08C9" w14:textId="77777777">
      <w:pPr>
        <w:tabs>
          <w:tab w:val="left" w:pos="-720"/>
        </w:tabs>
        <w:suppressAutoHyphens/>
        <w:ind w:left="720"/>
        <w:rPr>
          <w:rFonts w:asciiTheme="minorHAnsi" w:hAnsiTheme="minorHAnsi" w:cstheme="minorHAnsi"/>
          <w:szCs w:val="24"/>
        </w:rPr>
      </w:pPr>
      <w:r w:rsidRPr="002D1D0A">
        <w:rPr>
          <w:rFonts w:asciiTheme="minorHAnsi" w:hAnsiTheme="minorHAnsi" w:cstheme="minorHAnsi"/>
          <w:szCs w:val="24"/>
        </w:rPr>
        <w:t>The results of this information collection will not be published.</w:t>
      </w:r>
    </w:p>
    <w:p w:rsidR="001E3281" w:rsidRPr="00534B4A" w:rsidP="001E3281" w14:paraId="3DE701C1" w14:textId="77777777">
      <w:pPr>
        <w:tabs>
          <w:tab w:val="left" w:pos="-720"/>
        </w:tabs>
        <w:suppressAutoHyphens/>
        <w:ind w:left="720"/>
        <w:rPr>
          <w:rFonts w:ascii="Times New Roman" w:hAnsi="Times New Roman"/>
          <w:szCs w:val="24"/>
        </w:rPr>
      </w:pPr>
    </w:p>
    <w:p w:rsidR="00043C32" w:rsidRPr="00534B4A" w:rsidP="001E3281" w14:paraId="623B10D1"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1E3281" w14:paraId="0F011B9D" w14:textId="77777777">
      <w:pPr>
        <w:tabs>
          <w:tab w:val="left" w:pos="-720"/>
        </w:tabs>
        <w:suppressAutoHyphens/>
        <w:ind w:left="720"/>
        <w:rPr>
          <w:rFonts w:ascii="Times New Roman" w:hAnsi="Times New Roman"/>
          <w:bCs/>
          <w:szCs w:val="24"/>
        </w:rPr>
      </w:pPr>
    </w:p>
    <w:p w:rsidR="001E3281" w:rsidRPr="002D1D0A" w:rsidP="001E3281" w14:paraId="388D08EA" w14:textId="77777777">
      <w:pPr>
        <w:tabs>
          <w:tab w:val="left" w:pos="-720"/>
        </w:tabs>
        <w:suppressAutoHyphens/>
        <w:ind w:left="720"/>
        <w:rPr>
          <w:rFonts w:asciiTheme="minorHAnsi" w:hAnsiTheme="minorHAnsi" w:cstheme="minorHAnsi"/>
          <w:szCs w:val="24"/>
        </w:rPr>
      </w:pPr>
      <w:r w:rsidRPr="002D1D0A">
        <w:rPr>
          <w:rFonts w:asciiTheme="minorHAnsi" w:hAnsiTheme="minorHAnsi" w:cstheme="minorHAnsi"/>
          <w:szCs w:val="24"/>
        </w:rPr>
        <w:t>The Department is not seeking this approval.</w:t>
      </w:r>
    </w:p>
    <w:p w:rsidR="00534B4A" w:rsidRPr="00AA5138" w:rsidP="001E3281" w14:paraId="159BB94D" w14:textId="77777777">
      <w:pPr>
        <w:tabs>
          <w:tab w:val="left" w:pos="-720"/>
        </w:tabs>
        <w:suppressAutoHyphens/>
        <w:ind w:left="720"/>
        <w:rPr>
          <w:rFonts w:ascii="Times New Roman" w:hAnsi="Times New Roman"/>
          <w:bCs/>
          <w:szCs w:val="24"/>
        </w:rPr>
      </w:pPr>
    </w:p>
    <w:p w:rsidR="001C73C0" w:rsidP="001E3281" w14:paraId="12206C9B"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1E3281" w14:paraId="00F3418A" w14:textId="77777777">
      <w:pPr>
        <w:tabs>
          <w:tab w:val="left" w:pos="-720"/>
        </w:tabs>
        <w:suppressAutoHyphens/>
        <w:ind w:left="720"/>
        <w:rPr>
          <w:rFonts w:ascii="Times New Roman" w:hAnsi="Times New Roman"/>
          <w:bCs/>
          <w:szCs w:val="24"/>
        </w:rPr>
      </w:pPr>
    </w:p>
    <w:p w:rsidR="001E3281" w:rsidRPr="002D1D0A" w:rsidP="001E3281" w14:paraId="0F260CB3" w14:textId="77777777">
      <w:pPr>
        <w:tabs>
          <w:tab w:val="left" w:pos="-720"/>
        </w:tabs>
        <w:suppressAutoHyphens/>
        <w:ind w:left="720"/>
        <w:rPr>
          <w:rFonts w:asciiTheme="minorHAnsi" w:hAnsiTheme="minorHAnsi" w:cstheme="minorHAnsi"/>
          <w:szCs w:val="24"/>
        </w:rPr>
      </w:pPr>
      <w:r w:rsidRPr="002D1D0A">
        <w:rPr>
          <w:rFonts w:asciiTheme="minorHAnsi" w:hAnsiTheme="minorHAnsi" w:cstheme="minorHAnsi"/>
          <w:szCs w:val="24"/>
        </w:rPr>
        <w:t>The Department is not requesting any exceptions to the "Certification for Paperwork Reduction Act Submissions".</w:t>
      </w:r>
    </w:p>
    <w:p w:rsidR="00AA5138" w:rsidRPr="00AA5138" w:rsidP="001E3281" w14:paraId="41C1E008" w14:textId="77777777">
      <w:pPr>
        <w:tabs>
          <w:tab w:val="left" w:pos="-720"/>
        </w:tabs>
        <w:suppressAutoHyphens/>
        <w:ind w:left="720"/>
        <w:rPr>
          <w:rFonts w:ascii="Times New Roman" w:hAnsi="Times New Roman"/>
          <w:bCs/>
          <w:szCs w:val="24"/>
        </w:rPr>
      </w:pP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02C55A37" w14:textId="77777777">
    <w:pPr>
      <w:spacing w:before="140" w:line="100" w:lineRule="exact"/>
      <w:rPr>
        <w:sz w:val="10"/>
      </w:rPr>
    </w:pPr>
  </w:p>
  <w:p w:rsidR="00386054" w14:paraId="6822AE52" w14:textId="77777777">
    <w:pPr>
      <w:tabs>
        <w:tab w:val="left" w:pos="0"/>
      </w:tabs>
      <w:suppressAutoHyphens/>
    </w:pPr>
  </w:p>
  <w:p w:rsidR="00386054" w14:paraId="15865E6E"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0AEEC0FC"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8770E" w:rsidP="00043C32" w14:paraId="2DAA28FC" w14:textId="77777777">
      <w:r>
        <w:separator/>
      </w:r>
    </w:p>
  </w:footnote>
  <w:footnote w:type="continuationSeparator" w:id="1">
    <w:p w:rsidR="00B8770E" w:rsidP="00043C32" w14:paraId="4F6475DD" w14:textId="77777777">
      <w:r>
        <w:continuationSeparator/>
      </w:r>
    </w:p>
  </w:footnote>
  <w:footnote w:id="2">
    <w:p w:rsidR="00043C32" w:rsidP="00043C32" w14:paraId="4D702B59"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9CB96B" w14:textId="64E2B15D">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FD7301">
      <w:rPr>
        <w:rFonts w:ascii="Times New Roman" w:hAnsi="Times New Roman"/>
        <w:szCs w:val="24"/>
      </w:rPr>
      <w:t>1845</w:t>
    </w:r>
    <w:r w:rsidR="007C700A">
      <w:rPr>
        <w:rFonts w:ascii="Times New Roman" w:hAnsi="Times New Roman"/>
        <w:szCs w:val="24"/>
      </w:rPr>
      <w:t>-</w:t>
    </w:r>
    <w:r w:rsidR="00FD7301">
      <w:rPr>
        <w:rFonts w:ascii="Times New Roman" w:hAnsi="Times New Roman"/>
        <w:szCs w:val="24"/>
      </w:rPr>
      <w:t>0120</w:t>
    </w:r>
    <w:r w:rsidR="00E22FD3">
      <w:rPr>
        <w:rFonts w:ascii="Times New Roman" w:hAnsi="Times New Roman"/>
        <w:szCs w:val="24"/>
      </w:rPr>
      <w:tab/>
    </w:r>
    <w:r w:rsidRPr="00C875E8">
      <w:rPr>
        <w:rFonts w:ascii="Times New Roman" w:hAnsi="Times New Roman"/>
        <w:szCs w:val="24"/>
      </w:rPr>
      <w:t xml:space="preserve">Revised: </w:t>
    </w:r>
    <w:r w:rsidR="003807EB">
      <w:rPr>
        <w:rFonts w:ascii="Times New Roman" w:hAnsi="Times New Roman"/>
        <w:szCs w:val="24"/>
      </w:rPr>
      <w:t>0</w:t>
    </w:r>
    <w:r w:rsidR="007D4612">
      <w:rPr>
        <w:rFonts w:ascii="Times New Roman" w:hAnsi="Times New Roman"/>
        <w:szCs w:val="24"/>
      </w:rPr>
      <w:t>7</w:t>
    </w:r>
    <w:r w:rsidR="00403E28">
      <w:rPr>
        <w:rFonts w:ascii="Times New Roman" w:hAnsi="Times New Roman"/>
        <w:szCs w:val="24"/>
      </w:rPr>
      <w:t>/</w:t>
    </w:r>
    <w:r w:rsidR="00FE5F12">
      <w:rPr>
        <w:rFonts w:ascii="Times New Roman" w:hAnsi="Times New Roman"/>
        <w:szCs w:val="24"/>
      </w:rPr>
      <w:t>15</w:t>
    </w:r>
    <w:r w:rsidR="00FD7301">
      <w:rPr>
        <w:rFonts w:ascii="Times New Roman" w:hAnsi="Times New Roman"/>
        <w:szCs w:val="24"/>
      </w:rPr>
      <w:t>/202</w:t>
    </w:r>
    <w:r w:rsidR="003807EB">
      <w:rPr>
        <w:rFonts w:ascii="Times New Roman" w:hAnsi="Times New Roman"/>
        <w:szCs w:val="24"/>
      </w:rPr>
      <w:t>6</w:t>
    </w:r>
  </w:p>
  <w:p w:rsidR="005F4E11" w14:paraId="04821C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7593817">
    <w:abstractNumId w:val="0"/>
  </w:num>
  <w:num w:numId="2" w16cid:durableId="375928780">
    <w:abstractNumId w:val="2"/>
  </w:num>
  <w:num w:numId="3" w16cid:durableId="1388453596">
    <w:abstractNumId w:val="1"/>
  </w:num>
  <w:num w:numId="4" w16cid:durableId="992178965">
    <w:abstractNumId w:val="3"/>
  </w:num>
  <w:num w:numId="5" w16cid:durableId="832993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2AF6"/>
    <w:rsid w:val="00043C32"/>
    <w:rsid w:val="000446F5"/>
    <w:rsid w:val="00044A63"/>
    <w:rsid w:val="00052F52"/>
    <w:rsid w:val="000554FB"/>
    <w:rsid w:val="00065987"/>
    <w:rsid w:val="000759AC"/>
    <w:rsid w:val="00093017"/>
    <w:rsid w:val="000B6187"/>
    <w:rsid w:val="000D24A0"/>
    <w:rsid w:val="000D5E4B"/>
    <w:rsid w:val="000F57DD"/>
    <w:rsid w:val="00100CD3"/>
    <w:rsid w:val="00133E9F"/>
    <w:rsid w:val="00140222"/>
    <w:rsid w:val="00155F20"/>
    <w:rsid w:val="00156A84"/>
    <w:rsid w:val="00165B65"/>
    <w:rsid w:val="001664DB"/>
    <w:rsid w:val="00180383"/>
    <w:rsid w:val="001824F3"/>
    <w:rsid w:val="001A6AE0"/>
    <w:rsid w:val="001C73C0"/>
    <w:rsid w:val="001E3281"/>
    <w:rsid w:val="001E79BD"/>
    <w:rsid w:val="001F30BE"/>
    <w:rsid w:val="00204997"/>
    <w:rsid w:val="002052B8"/>
    <w:rsid w:val="00206F8A"/>
    <w:rsid w:val="002148CA"/>
    <w:rsid w:val="00214C18"/>
    <w:rsid w:val="002169D9"/>
    <w:rsid w:val="002225CC"/>
    <w:rsid w:val="00224A3B"/>
    <w:rsid w:val="00225520"/>
    <w:rsid w:val="00226879"/>
    <w:rsid w:val="00240A39"/>
    <w:rsid w:val="00241DF5"/>
    <w:rsid w:val="00246F7C"/>
    <w:rsid w:val="00246FE9"/>
    <w:rsid w:val="00250100"/>
    <w:rsid w:val="00262A69"/>
    <w:rsid w:val="00270AF7"/>
    <w:rsid w:val="00272081"/>
    <w:rsid w:val="0029134A"/>
    <w:rsid w:val="002A3221"/>
    <w:rsid w:val="002C203C"/>
    <w:rsid w:val="002C3520"/>
    <w:rsid w:val="002C5DD5"/>
    <w:rsid w:val="002D1D0A"/>
    <w:rsid w:val="002D24C3"/>
    <w:rsid w:val="002E14E0"/>
    <w:rsid w:val="002F55E5"/>
    <w:rsid w:val="002F6854"/>
    <w:rsid w:val="0031161A"/>
    <w:rsid w:val="0032078A"/>
    <w:rsid w:val="0032539E"/>
    <w:rsid w:val="00337192"/>
    <w:rsid w:val="00340784"/>
    <w:rsid w:val="00366997"/>
    <w:rsid w:val="003741C3"/>
    <w:rsid w:val="003807EB"/>
    <w:rsid w:val="00386054"/>
    <w:rsid w:val="003860E4"/>
    <w:rsid w:val="00390A89"/>
    <w:rsid w:val="003B1545"/>
    <w:rsid w:val="003B4BD9"/>
    <w:rsid w:val="003C7150"/>
    <w:rsid w:val="003E3BEF"/>
    <w:rsid w:val="003F16D3"/>
    <w:rsid w:val="003F771E"/>
    <w:rsid w:val="00403E28"/>
    <w:rsid w:val="00412915"/>
    <w:rsid w:val="00415E4E"/>
    <w:rsid w:val="00420967"/>
    <w:rsid w:val="00422F3A"/>
    <w:rsid w:val="0042354C"/>
    <w:rsid w:val="004351CE"/>
    <w:rsid w:val="00437C45"/>
    <w:rsid w:val="00442E07"/>
    <w:rsid w:val="004747F9"/>
    <w:rsid w:val="00494695"/>
    <w:rsid w:val="004B0068"/>
    <w:rsid w:val="004C720D"/>
    <w:rsid w:val="004E484D"/>
    <w:rsid w:val="004E64F6"/>
    <w:rsid w:val="004F4FE0"/>
    <w:rsid w:val="004F5B26"/>
    <w:rsid w:val="004F63F5"/>
    <w:rsid w:val="00506F31"/>
    <w:rsid w:val="0052073E"/>
    <w:rsid w:val="005219B5"/>
    <w:rsid w:val="00534B4A"/>
    <w:rsid w:val="00542F68"/>
    <w:rsid w:val="00552480"/>
    <w:rsid w:val="00557568"/>
    <w:rsid w:val="00562333"/>
    <w:rsid w:val="0056743A"/>
    <w:rsid w:val="00575DDA"/>
    <w:rsid w:val="00580259"/>
    <w:rsid w:val="00581C11"/>
    <w:rsid w:val="00587F06"/>
    <w:rsid w:val="00590222"/>
    <w:rsid w:val="005D0672"/>
    <w:rsid w:val="005F4E11"/>
    <w:rsid w:val="00605CE4"/>
    <w:rsid w:val="00612286"/>
    <w:rsid w:val="00616E9C"/>
    <w:rsid w:val="00627038"/>
    <w:rsid w:val="006358E6"/>
    <w:rsid w:val="006410A7"/>
    <w:rsid w:val="00652AB1"/>
    <w:rsid w:val="00683E67"/>
    <w:rsid w:val="0068567A"/>
    <w:rsid w:val="006857D6"/>
    <w:rsid w:val="006A292A"/>
    <w:rsid w:val="006A38F7"/>
    <w:rsid w:val="006A4EBB"/>
    <w:rsid w:val="006A775A"/>
    <w:rsid w:val="006B4172"/>
    <w:rsid w:val="006C6300"/>
    <w:rsid w:val="006D223F"/>
    <w:rsid w:val="007050BC"/>
    <w:rsid w:val="00713B69"/>
    <w:rsid w:val="00715282"/>
    <w:rsid w:val="00725334"/>
    <w:rsid w:val="007352D2"/>
    <w:rsid w:val="00755D99"/>
    <w:rsid w:val="00756FD3"/>
    <w:rsid w:val="00765392"/>
    <w:rsid w:val="007671F2"/>
    <w:rsid w:val="00773D79"/>
    <w:rsid w:val="00790E3E"/>
    <w:rsid w:val="00795C7F"/>
    <w:rsid w:val="007970D1"/>
    <w:rsid w:val="007A157E"/>
    <w:rsid w:val="007A5F49"/>
    <w:rsid w:val="007C0A4C"/>
    <w:rsid w:val="007C4CDF"/>
    <w:rsid w:val="007C700A"/>
    <w:rsid w:val="007C76BE"/>
    <w:rsid w:val="007C7C36"/>
    <w:rsid w:val="007D4612"/>
    <w:rsid w:val="007E1206"/>
    <w:rsid w:val="007E717A"/>
    <w:rsid w:val="007E7E08"/>
    <w:rsid w:val="007F6104"/>
    <w:rsid w:val="00800D30"/>
    <w:rsid w:val="00807D1A"/>
    <w:rsid w:val="00834A62"/>
    <w:rsid w:val="0083581E"/>
    <w:rsid w:val="00837855"/>
    <w:rsid w:val="00861EBD"/>
    <w:rsid w:val="00873452"/>
    <w:rsid w:val="00874EFE"/>
    <w:rsid w:val="00882126"/>
    <w:rsid w:val="0088602E"/>
    <w:rsid w:val="00891D09"/>
    <w:rsid w:val="00892FCE"/>
    <w:rsid w:val="008933F1"/>
    <w:rsid w:val="008A140C"/>
    <w:rsid w:val="008B33D4"/>
    <w:rsid w:val="008C372F"/>
    <w:rsid w:val="008C5446"/>
    <w:rsid w:val="008D0601"/>
    <w:rsid w:val="008D1F11"/>
    <w:rsid w:val="008D2247"/>
    <w:rsid w:val="008E5919"/>
    <w:rsid w:val="008F6E8D"/>
    <w:rsid w:val="00900F91"/>
    <w:rsid w:val="009032AC"/>
    <w:rsid w:val="00905951"/>
    <w:rsid w:val="00912D2C"/>
    <w:rsid w:val="00916EE4"/>
    <w:rsid w:val="00920F63"/>
    <w:rsid w:val="009243F3"/>
    <w:rsid w:val="0092703A"/>
    <w:rsid w:val="0093366B"/>
    <w:rsid w:val="00934185"/>
    <w:rsid w:val="009359A5"/>
    <w:rsid w:val="00944EB1"/>
    <w:rsid w:val="00946126"/>
    <w:rsid w:val="00952DF9"/>
    <w:rsid w:val="0095421D"/>
    <w:rsid w:val="00955AF1"/>
    <w:rsid w:val="00960C86"/>
    <w:rsid w:val="00976391"/>
    <w:rsid w:val="009767AF"/>
    <w:rsid w:val="00981F58"/>
    <w:rsid w:val="00986D0A"/>
    <w:rsid w:val="00990C10"/>
    <w:rsid w:val="0099343C"/>
    <w:rsid w:val="009A4FE0"/>
    <w:rsid w:val="009A5B7F"/>
    <w:rsid w:val="009A5CB6"/>
    <w:rsid w:val="009B0F5E"/>
    <w:rsid w:val="009C37AF"/>
    <w:rsid w:val="009D5BF3"/>
    <w:rsid w:val="009E0FF9"/>
    <w:rsid w:val="009E3E86"/>
    <w:rsid w:val="009F0572"/>
    <w:rsid w:val="00A118A2"/>
    <w:rsid w:val="00A23F26"/>
    <w:rsid w:val="00A4001C"/>
    <w:rsid w:val="00A40AAB"/>
    <w:rsid w:val="00A46D01"/>
    <w:rsid w:val="00A47278"/>
    <w:rsid w:val="00A62309"/>
    <w:rsid w:val="00A70816"/>
    <w:rsid w:val="00A73590"/>
    <w:rsid w:val="00A75E66"/>
    <w:rsid w:val="00A7636D"/>
    <w:rsid w:val="00A803EF"/>
    <w:rsid w:val="00A9138E"/>
    <w:rsid w:val="00AA11D2"/>
    <w:rsid w:val="00AA5138"/>
    <w:rsid w:val="00AC1C89"/>
    <w:rsid w:val="00AC2B56"/>
    <w:rsid w:val="00AD15F4"/>
    <w:rsid w:val="00AD1E45"/>
    <w:rsid w:val="00AD381B"/>
    <w:rsid w:val="00AE0506"/>
    <w:rsid w:val="00AE4CEB"/>
    <w:rsid w:val="00AF0C8F"/>
    <w:rsid w:val="00AF381B"/>
    <w:rsid w:val="00AF5B5B"/>
    <w:rsid w:val="00AF5D1A"/>
    <w:rsid w:val="00B017F9"/>
    <w:rsid w:val="00B07213"/>
    <w:rsid w:val="00B10A05"/>
    <w:rsid w:val="00B11B61"/>
    <w:rsid w:val="00B15361"/>
    <w:rsid w:val="00B447BD"/>
    <w:rsid w:val="00B51AA5"/>
    <w:rsid w:val="00B54167"/>
    <w:rsid w:val="00B5633F"/>
    <w:rsid w:val="00B62E06"/>
    <w:rsid w:val="00B632BF"/>
    <w:rsid w:val="00B64B1D"/>
    <w:rsid w:val="00B670FD"/>
    <w:rsid w:val="00B6729C"/>
    <w:rsid w:val="00B674CB"/>
    <w:rsid w:val="00B73DE5"/>
    <w:rsid w:val="00B85E16"/>
    <w:rsid w:val="00B8770E"/>
    <w:rsid w:val="00B9671B"/>
    <w:rsid w:val="00BA1D31"/>
    <w:rsid w:val="00BB03CE"/>
    <w:rsid w:val="00BB07DD"/>
    <w:rsid w:val="00BC0B71"/>
    <w:rsid w:val="00BC1A67"/>
    <w:rsid w:val="00BC2B17"/>
    <w:rsid w:val="00BE4052"/>
    <w:rsid w:val="00C06BFF"/>
    <w:rsid w:val="00C164D3"/>
    <w:rsid w:val="00C20670"/>
    <w:rsid w:val="00C206CC"/>
    <w:rsid w:val="00C224FD"/>
    <w:rsid w:val="00C35592"/>
    <w:rsid w:val="00C41C3B"/>
    <w:rsid w:val="00C463A7"/>
    <w:rsid w:val="00C55124"/>
    <w:rsid w:val="00C56CEB"/>
    <w:rsid w:val="00C73D05"/>
    <w:rsid w:val="00C746A6"/>
    <w:rsid w:val="00C7729E"/>
    <w:rsid w:val="00C86713"/>
    <w:rsid w:val="00C867E6"/>
    <w:rsid w:val="00C875E8"/>
    <w:rsid w:val="00C92035"/>
    <w:rsid w:val="00C92C61"/>
    <w:rsid w:val="00CC1A17"/>
    <w:rsid w:val="00CC2A72"/>
    <w:rsid w:val="00CC3FB5"/>
    <w:rsid w:val="00CC7C96"/>
    <w:rsid w:val="00CD016E"/>
    <w:rsid w:val="00CD2067"/>
    <w:rsid w:val="00CD47BC"/>
    <w:rsid w:val="00CE1F87"/>
    <w:rsid w:val="00D02B13"/>
    <w:rsid w:val="00D23E2C"/>
    <w:rsid w:val="00D30374"/>
    <w:rsid w:val="00D33C91"/>
    <w:rsid w:val="00D34984"/>
    <w:rsid w:val="00D36C35"/>
    <w:rsid w:val="00D41529"/>
    <w:rsid w:val="00D64D87"/>
    <w:rsid w:val="00D65680"/>
    <w:rsid w:val="00D75313"/>
    <w:rsid w:val="00D76523"/>
    <w:rsid w:val="00D76A2D"/>
    <w:rsid w:val="00D7773C"/>
    <w:rsid w:val="00D9606B"/>
    <w:rsid w:val="00DA03D4"/>
    <w:rsid w:val="00DA1081"/>
    <w:rsid w:val="00DB02A7"/>
    <w:rsid w:val="00DB60D1"/>
    <w:rsid w:val="00DE4B2D"/>
    <w:rsid w:val="00DE66DE"/>
    <w:rsid w:val="00E02154"/>
    <w:rsid w:val="00E13498"/>
    <w:rsid w:val="00E15D27"/>
    <w:rsid w:val="00E16ACD"/>
    <w:rsid w:val="00E17134"/>
    <w:rsid w:val="00E178BA"/>
    <w:rsid w:val="00E204D0"/>
    <w:rsid w:val="00E22FD3"/>
    <w:rsid w:val="00E25EBC"/>
    <w:rsid w:val="00E26A73"/>
    <w:rsid w:val="00E57C53"/>
    <w:rsid w:val="00E6523E"/>
    <w:rsid w:val="00E66550"/>
    <w:rsid w:val="00E877BF"/>
    <w:rsid w:val="00EA1767"/>
    <w:rsid w:val="00EB0929"/>
    <w:rsid w:val="00EB0FA5"/>
    <w:rsid w:val="00EC01DD"/>
    <w:rsid w:val="00EC35E3"/>
    <w:rsid w:val="00ED66CC"/>
    <w:rsid w:val="00ED7195"/>
    <w:rsid w:val="00EF4C67"/>
    <w:rsid w:val="00F01F55"/>
    <w:rsid w:val="00F03868"/>
    <w:rsid w:val="00F0414F"/>
    <w:rsid w:val="00F051F8"/>
    <w:rsid w:val="00F070F3"/>
    <w:rsid w:val="00F15B95"/>
    <w:rsid w:val="00F16BF0"/>
    <w:rsid w:val="00F216AA"/>
    <w:rsid w:val="00F22313"/>
    <w:rsid w:val="00F27AAF"/>
    <w:rsid w:val="00F31BEC"/>
    <w:rsid w:val="00F32165"/>
    <w:rsid w:val="00F5782B"/>
    <w:rsid w:val="00F73131"/>
    <w:rsid w:val="00F74288"/>
    <w:rsid w:val="00F82354"/>
    <w:rsid w:val="00F945C5"/>
    <w:rsid w:val="00FA2581"/>
    <w:rsid w:val="00FA6712"/>
    <w:rsid w:val="00FC669D"/>
    <w:rsid w:val="00FD4F0B"/>
    <w:rsid w:val="00FD7301"/>
    <w:rsid w:val="00FE02FC"/>
    <w:rsid w:val="00FE1BAE"/>
    <w:rsid w:val="00FE5F12"/>
    <w:rsid w:val="052342EB"/>
    <w:rsid w:val="057BB392"/>
    <w:rsid w:val="08F61F82"/>
    <w:rsid w:val="099F4132"/>
    <w:rsid w:val="0C6F93F3"/>
    <w:rsid w:val="0E7E601B"/>
    <w:rsid w:val="0F928DD7"/>
    <w:rsid w:val="15011058"/>
    <w:rsid w:val="19F25128"/>
    <w:rsid w:val="1BE56939"/>
    <w:rsid w:val="1DC46D08"/>
    <w:rsid w:val="1DE847E5"/>
    <w:rsid w:val="2018EBD3"/>
    <w:rsid w:val="208B8529"/>
    <w:rsid w:val="2156433F"/>
    <w:rsid w:val="23610F6D"/>
    <w:rsid w:val="23C3B42B"/>
    <w:rsid w:val="24C9D70A"/>
    <w:rsid w:val="290C4668"/>
    <w:rsid w:val="2928FADD"/>
    <w:rsid w:val="2A96A04E"/>
    <w:rsid w:val="2BA48A01"/>
    <w:rsid w:val="2C676DE4"/>
    <w:rsid w:val="2CCFDA30"/>
    <w:rsid w:val="2CFA9E82"/>
    <w:rsid w:val="2E025617"/>
    <w:rsid w:val="2F3AFE18"/>
    <w:rsid w:val="31CE6C7F"/>
    <w:rsid w:val="32A91649"/>
    <w:rsid w:val="342E169E"/>
    <w:rsid w:val="349942DE"/>
    <w:rsid w:val="3770FEB3"/>
    <w:rsid w:val="3A6EC3B2"/>
    <w:rsid w:val="3B39309A"/>
    <w:rsid w:val="3D15C8DE"/>
    <w:rsid w:val="44C14100"/>
    <w:rsid w:val="4631458A"/>
    <w:rsid w:val="46A90E55"/>
    <w:rsid w:val="4A2F8362"/>
    <w:rsid w:val="4F9F2613"/>
    <w:rsid w:val="5059C267"/>
    <w:rsid w:val="546BC7BF"/>
    <w:rsid w:val="56C15683"/>
    <w:rsid w:val="5727FC3B"/>
    <w:rsid w:val="57E3759C"/>
    <w:rsid w:val="59185B46"/>
    <w:rsid w:val="5A178841"/>
    <w:rsid w:val="5A5AEA3E"/>
    <w:rsid w:val="5DA041C9"/>
    <w:rsid w:val="61984C24"/>
    <w:rsid w:val="61FA0DE6"/>
    <w:rsid w:val="656A0114"/>
    <w:rsid w:val="6851CBDC"/>
    <w:rsid w:val="6A63FE68"/>
    <w:rsid w:val="6CCBB9D3"/>
    <w:rsid w:val="6CFECEE8"/>
    <w:rsid w:val="70DD39A2"/>
    <w:rsid w:val="74E36ECB"/>
    <w:rsid w:val="7505907E"/>
    <w:rsid w:val="77FAAEF2"/>
    <w:rsid w:val="78D4379D"/>
    <w:rsid w:val="7C1549C4"/>
    <w:rsid w:val="7DCE5C67"/>
    <w:rsid w:val="7E727A23"/>
    <w:rsid w:val="7E840A16"/>
    <w:rsid w:val="7FB5573F"/>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2942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uiPriority w:val="99"/>
    <w:semiHidden/>
    <w:rsid w:val="00442E07"/>
    <w:pPr>
      <w:tabs>
        <w:tab w:val="left" w:pos="-720"/>
      </w:tabs>
      <w:suppressAutoHyphens/>
    </w:pPr>
  </w:style>
  <w:style w:type="character" w:customStyle="1" w:styleId="EndnoteTextChar">
    <w:name w:val="Endnote Text Char"/>
    <w:basedOn w:val="DefaultParagraphFont"/>
    <w:link w:val="EndnoteText"/>
    <w:uiPriority w:val="99"/>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Title">
    <w:name w:val="Title"/>
    <w:basedOn w:val="Normal"/>
    <w:link w:val="TitleChar"/>
    <w:uiPriority w:val="99"/>
    <w:qFormat/>
    <w:rsid w:val="001E3281"/>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1E3281"/>
    <w:rPr>
      <w:rFonts w:ascii="Arial" w:hAnsi="Arial"/>
      <w:b/>
      <w:kern w:val="28"/>
      <w:sz w:val="32"/>
    </w:rPr>
  </w:style>
  <w:style w:type="paragraph" w:styleId="Revision">
    <w:name w:val="Revision"/>
    <w:hidden/>
    <w:uiPriority w:val="99"/>
    <w:semiHidden/>
    <w:rsid w:val="00E204D0"/>
    <w:rPr>
      <w:rFonts w:ascii="Courier" w:hAnsi="Courier"/>
      <w:sz w:val="24"/>
    </w:rPr>
  </w:style>
  <w:style w:type="character" w:styleId="FollowedHyperlink">
    <w:name w:val="FollowedHyperlink"/>
    <w:basedOn w:val="DefaultParagraphFont"/>
    <w:uiPriority w:val="99"/>
    <w:semiHidden/>
    <w:unhideWhenUsed/>
    <w:rsid w:val="00C73D05"/>
    <w:rPr>
      <w:color w:val="800080" w:themeColor="followedHyperlink"/>
      <w:u w:val="single"/>
    </w:rPr>
  </w:style>
  <w:style w:type="character" w:styleId="Mention">
    <w:name w:val="Mention"/>
    <w:basedOn w:val="DefaultParagraphFont"/>
    <w:uiPriority w:val="99"/>
    <w:unhideWhenUsed/>
    <w:rsid w:val="002720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22/09/13/2022-19887/privacy-act-of-1974-system-of-reco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4C37464F-45B1-4A0D-ABA0-D586E15F4A9A}">
  <ds:schemaRefs/>
</ds:datastoreItem>
</file>

<file path=customXml/itemProps3.xml><?xml version="1.0" encoding="utf-8"?>
<ds:datastoreItem xmlns:ds="http://schemas.openxmlformats.org/officeDocument/2006/customXml" ds:itemID="{7D1BCA43-5A3B-475F-BC8D-237F7FEFC02C}">
  <ds:schemaRefs/>
</ds:datastoreItem>
</file>

<file path=customXml/itemProps4.xml><?xml version="1.0" encoding="utf-8"?>
<ds:datastoreItem xmlns:ds="http://schemas.openxmlformats.org/officeDocument/2006/customXml" ds:itemID="{2AFB918F-3565-41B8-8319-1687EFD6A6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3074</Words>
  <Characters>17066</Characters>
  <Application>Microsoft Office Word</Application>
  <DocSecurity>0</DocSecurity>
  <Lines>437</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2026-07-15T16:32:00Z</dcterms:created>
  <dcterms:modified xsi:type="dcterms:W3CDTF">2026-07-15T16:32:00Z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docLang">
    <vt:lpwstr>en</vt:lpwstr>
  </property>
  <property fmtid="{D5CDD505-2E9C-101B-9397-08002B2CF9AE}" pid="7" name="Enterprise Navigation Section">
    <vt:lpwstr>1324;#Information Collection Clearance Division|7c44fac8-3be8-47c1-8865-7a007fc70514</vt:lpwstr>
  </property>
  <property fmtid="{D5CDD505-2E9C-101B-9397-08002B2CF9AE}" pid="8" name="Enterprise Site Category/Topic">
    <vt:lpwstr/>
  </property>
  <property fmtid="{D5CDD505-2E9C-101B-9397-08002B2CF9AE}" pid="9" name="hebfa55e97a440a4b0b631fde26adccc">
    <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1" name="MediaServiceImageTags">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_dlc_DocIdItemGuid">
    <vt:lpwstr>7263bcb4-c9a1-4bf8-a9b4-ad908258715e</vt:lpwstr>
  </property>
  <property fmtid="{D5CDD505-2E9C-101B-9397-08002B2CF9AE}" pid="16" name="_dlc_LastRun">
    <vt:lpwstr>10/27/2018 01:05:07</vt:lpwstr>
  </property>
  <property fmtid="{D5CDD505-2E9C-101B-9397-08002B2CF9AE}" pid="17" name="_dlc_policyId">
    <vt:lpwstr>0x0101001C22A2B9DBEDBB4DB130C1FAF5F2F008|-175781640</vt:lpwstr>
  </property>
</Properties>
</file>