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86890" w:rsidRPr="00705A01" w:rsidP="549EAD48" w14:paraId="1D3AF36B" w14:textId="77777777">
      <w:pPr>
        <w:jc w:val="center"/>
        <w:rPr>
          <w:szCs w:val="26"/>
        </w:rPr>
      </w:pPr>
      <w:r w:rsidRPr="00705A01">
        <w:rPr>
          <w:szCs w:val="26"/>
        </w:rPr>
        <w:t>UNITED STATES OF AMERICA</w:t>
      </w:r>
    </w:p>
    <w:p w:rsidR="00F86890" w:rsidRPr="00705A01" w:rsidP="549EAD48" w14:paraId="79992091" w14:textId="77777777">
      <w:pPr>
        <w:jc w:val="center"/>
        <w:rPr>
          <w:szCs w:val="26"/>
        </w:rPr>
      </w:pPr>
      <w:r w:rsidRPr="00705A01">
        <w:rPr>
          <w:szCs w:val="26"/>
        </w:rPr>
        <w:t>FEDERAL ENERGY REGULATORY COMMISSION</w:t>
      </w:r>
    </w:p>
    <w:p w:rsidR="00F86890" w:rsidRPr="00705A01" w:rsidP="549EAD48" w14:paraId="02834C92" w14:textId="77777777">
      <w:pPr>
        <w:rPr>
          <w:szCs w:val="26"/>
        </w:rPr>
      </w:pPr>
    </w:p>
    <w:p w:rsidR="00F86890" w:rsidRPr="00705A01" w:rsidP="1F7013FF" w14:paraId="021D341E" w14:textId="34653D93">
      <w:pPr>
        <w:jc w:val="center"/>
        <w:rPr>
          <w:szCs w:val="26"/>
        </w:rPr>
      </w:pPr>
      <w:r w:rsidRPr="00705A01">
        <w:rPr>
          <w:szCs w:val="26"/>
        </w:rPr>
        <w:t xml:space="preserve">[Docket No. </w:t>
      </w:r>
      <w:r w:rsidRPr="00705A01" w:rsidR="00462DBE">
        <w:rPr>
          <w:szCs w:val="26"/>
        </w:rPr>
        <w:t>IC</w:t>
      </w:r>
      <w:r w:rsidRPr="00705A01" w:rsidR="3D4CFCA9">
        <w:rPr>
          <w:szCs w:val="26"/>
        </w:rPr>
        <w:t>26-28</w:t>
      </w:r>
      <w:r w:rsidRPr="00705A01">
        <w:rPr>
          <w:szCs w:val="26"/>
        </w:rPr>
        <w:t>-000]</w:t>
      </w:r>
    </w:p>
    <w:p w:rsidR="00F86890" w:rsidRPr="00705A01" w:rsidP="549EAD48" w14:paraId="3565036C" w14:textId="77777777">
      <w:pPr>
        <w:rPr>
          <w:szCs w:val="26"/>
        </w:rPr>
      </w:pPr>
    </w:p>
    <w:p w:rsidR="00F86890" w:rsidRPr="00705A01" w:rsidP="549EAD48" w14:paraId="7F410A43" w14:textId="05FAB977">
      <w:pPr>
        <w:jc w:val="center"/>
        <w:rPr>
          <w:szCs w:val="26"/>
        </w:rPr>
      </w:pPr>
      <w:r w:rsidRPr="00705A01">
        <w:rPr>
          <w:szCs w:val="26"/>
        </w:rPr>
        <w:t>COMMISSION INFORMATION COLLECTION ACTIVITIES (FERC-</w:t>
      </w:r>
      <w:r w:rsidRPr="00705A01" w:rsidR="00C7775E">
        <w:rPr>
          <w:szCs w:val="26"/>
        </w:rPr>
        <w:t>1005</w:t>
      </w:r>
      <w:r w:rsidRPr="00705A01">
        <w:rPr>
          <w:szCs w:val="26"/>
        </w:rPr>
        <w:t>);</w:t>
      </w:r>
    </w:p>
    <w:p w:rsidR="00F86890" w:rsidRPr="00705A01" w:rsidP="549EAD48" w14:paraId="7D33A233" w14:textId="77777777">
      <w:pPr>
        <w:jc w:val="center"/>
        <w:rPr>
          <w:szCs w:val="26"/>
        </w:rPr>
      </w:pPr>
      <w:r w:rsidRPr="00705A01">
        <w:rPr>
          <w:szCs w:val="26"/>
        </w:rPr>
        <w:t>COMMENT REQUEST; EXTENSION</w:t>
      </w:r>
    </w:p>
    <w:p w:rsidR="00F86890" w:rsidRPr="00705A01" w:rsidP="549EAD48" w14:paraId="40E27417" w14:textId="77777777">
      <w:pPr>
        <w:rPr>
          <w:szCs w:val="26"/>
        </w:rPr>
      </w:pPr>
    </w:p>
    <w:p w:rsidR="00705A01" w:rsidRPr="00705A01" w:rsidP="00705A01" w14:paraId="0FD2828F" w14:textId="77777777">
      <w:pPr>
        <w:jc w:val="center"/>
        <w:rPr>
          <w:szCs w:val="26"/>
        </w:rPr>
      </w:pPr>
      <w:r w:rsidRPr="00705A01">
        <w:rPr>
          <w:szCs w:val="26"/>
        </w:rPr>
        <w:t>(March 26, 2026)</w:t>
      </w:r>
    </w:p>
    <w:p w:rsidR="00705A01" w:rsidRPr="00705A01" w:rsidP="00705A01" w14:paraId="6B036A25" w14:textId="77777777">
      <w:pPr>
        <w:jc w:val="center"/>
        <w:rPr>
          <w:szCs w:val="26"/>
        </w:rPr>
      </w:pPr>
    </w:p>
    <w:p w:rsidR="00705A01" w:rsidRPr="00705A01" w:rsidP="00705A01" w14:paraId="5D48EA42" w14:textId="77777777">
      <w:pPr>
        <w:jc w:val="center"/>
        <w:rPr>
          <w:szCs w:val="26"/>
        </w:rPr>
      </w:pPr>
    </w:p>
    <w:p w:rsidR="00F86890" w:rsidRPr="00705A01" w:rsidP="00705A01" w14:paraId="08B34019" w14:textId="178B7D0C">
      <w:pPr>
        <w:tabs>
          <w:tab w:val="left" w:pos="1440"/>
          <w:tab w:val="left" w:pos="2160"/>
        </w:tabs>
        <w:rPr>
          <w:szCs w:val="26"/>
        </w:rPr>
      </w:pPr>
      <w:r w:rsidRPr="00705A01">
        <w:rPr>
          <w:b/>
          <w:bCs/>
          <w:szCs w:val="26"/>
        </w:rPr>
        <w:t>AGENCY:</w:t>
      </w:r>
      <w:r w:rsidRPr="00705A01" w:rsidR="00932217">
        <w:rPr>
          <w:szCs w:val="26"/>
        </w:rPr>
        <w:t xml:space="preserve"> </w:t>
      </w:r>
      <w:r w:rsidRPr="00705A01">
        <w:rPr>
          <w:szCs w:val="26"/>
        </w:rPr>
        <w:t>Federal Energy Regulatory Commission.</w:t>
      </w:r>
    </w:p>
    <w:p w:rsidR="00705A01" w:rsidRPr="00705A01" w:rsidP="00705A01" w14:paraId="0F4FCDD4" w14:textId="77777777">
      <w:pPr>
        <w:rPr>
          <w:szCs w:val="26"/>
        </w:rPr>
      </w:pPr>
    </w:p>
    <w:p w:rsidR="00F86890" w:rsidRPr="00705A01" w:rsidP="549EAD48" w14:paraId="5FAEBA59" w14:textId="46BD0D79">
      <w:pPr>
        <w:spacing w:line="480" w:lineRule="auto"/>
        <w:rPr>
          <w:szCs w:val="26"/>
        </w:rPr>
      </w:pPr>
      <w:r w:rsidRPr="00705A01">
        <w:rPr>
          <w:b/>
          <w:bCs/>
          <w:szCs w:val="26"/>
        </w:rPr>
        <w:t>ACTION:</w:t>
      </w:r>
      <w:r w:rsidRPr="00705A01" w:rsidR="00932217">
        <w:rPr>
          <w:szCs w:val="26"/>
        </w:rPr>
        <w:t xml:space="preserve"> </w:t>
      </w:r>
      <w:r w:rsidRPr="00705A01">
        <w:rPr>
          <w:szCs w:val="26"/>
        </w:rPr>
        <w:t>Notice of information collection and request for comments.</w:t>
      </w:r>
    </w:p>
    <w:p w:rsidR="00F86890" w:rsidRPr="00705A01" w:rsidP="56C411BC" w14:paraId="4D2FDC2C" w14:textId="61A3F081">
      <w:pPr>
        <w:spacing w:line="480" w:lineRule="auto"/>
        <w:rPr>
          <w:szCs w:val="26"/>
        </w:rPr>
      </w:pPr>
      <w:r w:rsidRPr="00705A01">
        <w:rPr>
          <w:b/>
          <w:bCs/>
          <w:szCs w:val="26"/>
        </w:rPr>
        <w:t>SUMMARY:</w:t>
      </w:r>
      <w:r w:rsidRPr="00705A01" w:rsidR="00932217">
        <w:rPr>
          <w:szCs w:val="26"/>
        </w:rPr>
        <w:t xml:space="preserve"> </w:t>
      </w:r>
      <w:r w:rsidRPr="00705A01">
        <w:rPr>
          <w:szCs w:val="26"/>
        </w:rPr>
        <w:t xml:space="preserve">In compliance with the requirements of </w:t>
      </w:r>
      <w:r w:rsidRPr="00705A01" w:rsidR="00DA7F57">
        <w:rPr>
          <w:szCs w:val="26"/>
        </w:rPr>
        <w:t xml:space="preserve">the </w:t>
      </w:r>
      <w:r w:rsidRPr="00705A01" w:rsidR="0005366B">
        <w:rPr>
          <w:szCs w:val="26"/>
        </w:rPr>
        <w:t>Paperwork Reduction Act of 1995</w:t>
      </w:r>
      <w:r w:rsidRPr="00705A01" w:rsidR="00002127">
        <w:rPr>
          <w:szCs w:val="26"/>
        </w:rPr>
        <w:t>, 44 USC 3506(</w:t>
      </w:r>
      <w:r w:rsidRPr="00705A01" w:rsidR="00672BEA">
        <w:rPr>
          <w:szCs w:val="26"/>
        </w:rPr>
        <w:t>c</w:t>
      </w:r>
      <w:r w:rsidRPr="00705A01" w:rsidR="00002127">
        <w:rPr>
          <w:szCs w:val="26"/>
        </w:rPr>
        <w:t>)(2)(A)</w:t>
      </w:r>
      <w:r w:rsidRPr="00705A01">
        <w:rPr>
          <w:szCs w:val="26"/>
        </w:rPr>
        <w:t xml:space="preserve">, the Federal Energy Regulatory Commission (Commission or FERC) is soliciting public comment on the </w:t>
      </w:r>
      <w:r w:rsidRPr="00705A01" w:rsidR="00E146ED">
        <w:rPr>
          <w:szCs w:val="26"/>
        </w:rPr>
        <w:t xml:space="preserve">currently approved information collection, </w:t>
      </w:r>
      <w:r w:rsidRPr="00705A01" w:rsidR="009961FC">
        <w:rPr>
          <w:szCs w:val="26"/>
        </w:rPr>
        <w:t>FERC-1005</w:t>
      </w:r>
      <w:r w:rsidRPr="00705A01" w:rsidR="00097F33">
        <w:rPr>
          <w:szCs w:val="26"/>
        </w:rPr>
        <w:t xml:space="preserve">: </w:t>
      </w:r>
      <w:r w:rsidRPr="00705A01" w:rsidR="009961FC">
        <w:rPr>
          <w:szCs w:val="26"/>
        </w:rPr>
        <w:t>Credit Related Information Sharing Between RTOs/ISOs</w:t>
      </w:r>
      <w:r w:rsidRPr="00705A01">
        <w:rPr>
          <w:szCs w:val="26"/>
        </w:rPr>
        <w:t>.</w:t>
      </w:r>
      <w:r w:rsidRPr="00705A01" w:rsidR="00932217">
        <w:rPr>
          <w:szCs w:val="26"/>
        </w:rPr>
        <w:t xml:space="preserve"> </w:t>
      </w:r>
      <w:r w:rsidRPr="00705A01" w:rsidR="6C3EC725">
        <w:rPr>
          <w:color w:val="000000" w:themeColor="text1"/>
          <w:szCs w:val="26"/>
        </w:rPr>
        <w:t xml:space="preserve">There are no proposed changes to the </w:t>
      </w:r>
      <w:r w:rsidRPr="00705A01" w:rsidR="00097F33">
        <w:rPr>
          <w:color w:val="000000" w:themeColor="text1"/>
          <w:szCs w:val="26"/>
        </w:rPr>
        <w:t>information sharing</w:t>
      </w:r>
      <w:r w:rsidRPr="00705A01" w:rsidR="6C3EC725">
        <w:rPr>
          <w:color w:val="000000" w:themeColor="text1"/>
          <w:szCs w:val="26"/>
        </w:rPr>
        <w:t xml:space="preserve"> requirement</w:t>
      </w:r>
      <w:r w:rsidRPr="00705A01" w:rsidR="00097F33">
        <w:rPr>
          <w:color w:val="000000" w:themeColor="text1"/>
          <w:szCs w:val="26"/>
        </w:rPr>
        <w:t xml:space="preserve">, but the Commission is removing </w:t>
      </w:r>
      <w:r w:rsidRPr="00705A01" w:rsidR="0078412E">
        <w:rPr>
          <w:color w:val="000000" w:themeColor="text1"/>
          <w:szCs w:val="26"/>
        </w:rPr>
        <w:t xml:space="preserve">a one-time information collection that has been completed. </w:t>
      </w:r>
    </w:p>
    <w:p w:rsidR="740D4924" w:rsidRPr="00705A01" w:rsidP="56C411BC" w14:paraId="6F41C539" w14:textId="0187EF0E">
      <w:pPr>
        <w:spacing w:line="480" w:lineRule="auto"/>
        <w:rPr>
          <w:color w:val="000000" w:themeColor="text1"/>
          <w:szCs w:val="26"/>
        </w:rPr>
      </w:pPr>
      <w:r w:rsidRPr="00705A01">
        <w:rPr>
          <w:b/>
          <w:bCs/>
          <w:color w:val="000000" w:themeColor="text1"/>
          <w:szCs w:val="26"/>
        </w:rPr>
        <w:t>DATES:</w:t>
      </w:r>
      <w:r w:rsidRPr="00705A01" w:rsidR="00932217">
        <w:rPr>
          <w:color w:val="000000" w:themeColor="text1"/>
          <w:szCs w:val="26"/>
        </w:rPr>
        <w:t xml:space="preserve"> </w:t>
      </w:r>
      <w:r w:rsidRPr="00705A01">
        <w:rPr>
          <w:color w:val="000000" w:themeColor="text1"/>
          <w:szCs w:val="26"/>
        </w:rPr>
        <w:t>Comments on the collections of information are due [</w:t>
      </w:r>
      <w:r w:rsidRPr="00705A01">
        <w:rPr>
          <w:b/>
          <w:bCs/>
          <w:color w:val="000000" w:themeColor="text1"/>
          <w:szCs w:val="26"/>
        </w:rPr>
        <w:t>INSERT DATE 60 DAYS AFTER DATE OF PUBLICATION IN THE FEDERAL REGISTER</w:t>
      </w:r>
      <w:r w:rsidRPr="00705A01">
        <w:rPr>
          <w:color w:val="000000" w:themeColor="text1"/>
          <w:szCs w:val="26"/>
        </w:rPr>
        <w:t xml:space="preserve">]. </w:t>
      </w:r>
    </w:p>
    <w:p w:rsidR="740D4924" w:rsidRPr="00705A01" w:rsidP="1F7013FF" w14:paraId="5DD1A881" w14:textId="72073927">
      <w:pPr>
        <w:spacing w:line="480" w:lineRule="auto"/>
        <w:rPr>
          <w:color w:val="000000" w:themeColor="text1"/>
          <w:szCs w:val="26"/>
        </w:rPr>
      </w:pPr>
      <w:r w:rsidRPr="00705A01">
        <w:rPr>
          <w:b/>
          <w:bCs/>
          <w:color w:val="000000" w:themeColor="text1"/>
          <w:szCs w:val="26"/>
        </w:rPr>
        <w:t>ADDRESSES:</w:t>
      </w:r>
      <w:r w:rsidRPr="00705A01" w:rsidR="00932217">
        <w:rPr>
          <w:color w:val="000000" w:themeColor="text1"/>
          <w:szCs w:val="26"/>
        </w:rPr>
        <w:t xml:space="preserve"> </w:t>
      </w:r>
      <w:r w:rsidRPr="00705A01">
        <w:rPr>
          <w:color w:val="000000" w:themeColor="text1"/>
          <w:szCs w:val="26"/>
        </w:rPr>
        <w:t xml:space="preserve">Please submit comments via email to </w:t>
      </w:r>
      <w:hyperlink r:id="rId11">
        <w:r w:rsidRPr="00705A01">
          <w:rPr>
            <w:rStyle w:val="Hyperlink"/>
            <w:szCs w:val="26"/>
          </w:rPr>
          <w:t>DataClearance@FERC.gov</w:t>
        </w:r>
      </w:hyperlink>
      <w:r w:rsidRPr="00705A01">
        <w:rPr>
          <w:color w:val="000000" w:themeColor="text1"/>
          <w:szCs w:val="26"/>
        </w:rPr>
        <w:t>.</w:t>
      </w:r>
      <w:r w:rsidRPr="00705A01" w:rsidR="00932217">
        <w:rPr>
          <w:color w:val="000000" w:themeColor="text1"/>
          <w:szCs w:val="26"/>
        </w:rPr>
        <w:t xml:space="preserve"> </w:t>
      </w:r>
      <w:r w:rsidRPr="00705A01">
        <w:rPr>
          <w:color w:val="000000" w:themeColor="text1"/>
          <w:szCs w:val="26"/>
        </w:rPr>
        <w:t>You must specify the Docket No. (IC2</w:t>
      </w:r>
      <w:r w:rsidRPr="00705A01" w:rsidR="69DA7D7A">
        <w:rPr>
          <w:color w:val="000000" w:themeColor="text1"/>
          <w:szCs w:val="26"/>
        </w:rPr>
        <w:t>6-28</w:t>
      </w:r>
      <w:r w:rsidRPr="00705A01">
        <w:rPr>
          <w:color w:val="000000" w:themeColor="text1"/>
          <w:szCs w:val="26"/>
        </w:rPr>
        <w:t>-000) and the FERC Information Collection</w:t>
      </w:r>
      <w:r w:rsidRPr="00705A01">
        <w:rPr>
          <w:b/>
          <w:bCs/>
          <w:color w:val="000000" w:themeColor="text1"/>
          <w:szCs w:val="26"/>
        </w:rPr>
        <w:t xml:space="preserve"> </w:t>
      </w:r>
      <w:r w:rsidRPr="00705A01">
        <w:rPr>
          <w:color w:val="000000" w:themeColor="text1"/>
          <w:szCs w:val="26"/>
        </w:rPr>
        <w:t>number (FERC-</w:t>
      </w:r>
      <w:r w:rsidRPr="00705A01" w:rsidR="00790C19">
        <w:rPr>
          <w:color w:val="000000" w:themeColor="text1"/>
          <w:szCs w:val="26"/>
        </w:rPr>
        <w:t>1005</w:t>
      </w:r>
      <w:r w:rsidRPr="00705A01">
        <w:rPr>
          <w:color w:val="000000" w:themeColor="text1"/>
          <w:szCs w:val="26"/>
        </w:rPr>
        <w:t>) in your email.</w:t>
      </w:r>
      <w:r w:rsidRPr="00705A01" w:rsidR="00932217">
        <w:rPr>
          <w:color w:val="000000" w:themeColor="text1"/>
          <w:szCs w:val="26"/>
        </w:rPr>
        <w:t xml:space="preserve"> </w:t>
      </w:r>
      <w:r w:rsidRPr="00705A01">
        <w:rPr>
          <w:color w:val="000000" w:themeColor="text1"/>
          <w:szCs w:val="26"/>
        </w:rPr>
        <w:t>If you are unable to file electronically, comments may be filed by USPS mail or by hand (including courier) delivery:</w:t>
      </w:r>
    </w:p>
    <w:p w:rsidR="740D4924" w:rsidRPr="00705A01" w:rsidP="56C411BC" w14:paraId="5C517DCB" w14:textId="1D3ACFEC">
      <w:pPr>
        <w:pStyle w:val="ListParagraph"/>
        <w:numPr>
          <w:ilvl w:val="0"/>
          <w:numId w:val="1"/>
        </w:numPr>
        <w:spacing w:line="480" w:lineRule="auto"/>
        <w:rPr>
          <w:color w:val="000000" w:themeColor="text1"/>
          <w:szCs w:val="26"/>
        </w:rPr>
      </w:pPr>
      <w:r w:rsidRPr="00705A01">
        <w:rPr>
          <w:color w:val="000000" w:themeColor="text1"/>
          <w:szCs w:val="26"/>
        </w:rPr>
        <w:t>Mail via U.S. Postal Service only, addressed to:</w:t>
      </w:r>
      <w:r w:rsidRPr="00705A01" w:rsidR="00932217">
        <w:rPr>
          <w:color w:val="000000" w:themeColor="text1"/>
          <w:szCs w:val="26"/>
        </w:rPr>
        <w:t xml:space="preserve"> </w:t>
      </w:r>
      <w:r w:rsidRPr="00705A01">
        <w:rPr>
          <w:color w:val="000000" w:themeColor="text1"/>
          <w:szCs w:val="26"/>
        </w:rPr>
        <w:t>Federal Energy Regulatory Commission, Secretary of the Commission, 888 First Street, N.E., Washington, DC 20426.</w:t>
      </w:r>
    </w:p>
    <w:p w:rsidR="740D4924" w:rsidRPr="00705A01" w:rsidP="56C411BC" w14:paraId="16D4AAD1" w14:textId="71D08695">
      <w:pPr>
        <w:pStyle w:val="ListParagraph"/>
        <w:numPr>
          <w:ilvl w:val="0"/>
          <w:numId w:val="1"/>
        </w:numPr>
        <w:spacing w:line="480" w:lineRule="auto"/>
        <w:rPr>
          <w:color w:val="000000" w:themeColor="text1"/>
          <w:szCs w:val="26"/>
        </w:rPr>
      </w:pPr>
      <w:r w:rsidRPr="00705A01">
        <w:rPr>
          <w:color w:val="000000" w:themeColor="text1"/>
          <w:szCs w:val="26"/>
        </w:rPr>
        <w:t>Hand (including courier) delivery to:</w:t>
      </w:r>
      <w:r w:rsidRPr="00705A01" w:rsidR="00932217">
        <w:rPr>
          <w:color w:val="000000" w:themeColor="text1"/>
          <w:szCs w:val="26"/>
        </w:rPr>
        <w:t xml:space="preserve"> </w:t>
      </w:r>
      <w:r w:rsidRPr="00705A01">
        <w:rPr>
          <w:color w:val="000000" w:themeColor="text1"/>
          <w:szCs w:val="26"/>
        </w:rPr>
        <w:t>Federal Energy Regulatory Commission, 12225 Wilkins Avenue, Rockville, MD 20852.</w:t>
      </w:r>
    </w:p>
    <w:p w:rsidR="740D4924" w:rsidRPr="00705A01" w:rsidP="56C411BC" w14:paraId="6A9D81C1" w14:textId="7C79265E">
      <w:pPr>
        <w:spacing w:line="480" w:lineRule="auto"/>
        <w:rPr>
          <w:color w:val="000000" w:themeColor="text1"/>
          <w:szCs w:val="26"/>
        </w:rPr>
      </w:pPr>
      <w:r w:rsidRPr="00705A01">
        <w:rPr>
          <w:i/>
          <w:iCs/>
          <w:color w:val="000000" w:themeColor="text1"/>
          <w:szCs w:val="26"/>
        </w:rPr>
        <w:t>Docket:</w:t>
      </w:r>
      <w:r w:rsidRPr="00705A01" w:rsidR="00932217">
        <w:rPr>
          <w:color w:val="000000" w:themeColor="text1"/>
          <w:szCs w:val="26"/>
        </w:rPr>
        <w:t xml:space="preserve"> </w:t>
      </w:r>
      <w:r w:rsidRPr="00705A01">
        <w:rPr>
          <w:color w:val="000000" w:themeColor="text1"/>
          <w:szCs w:val="26"/>
        </w:rPr>
        <w:t xml:space="preserve">To view comments and issuances in this docket, please visit </w:t>
      </w:r>
      <w:hyperlink r:id="rId12">
        <w:r w:rsidRPr="00705A01">
          <w:rPr>
            <w:rStyle w:val="Hyperlink"/>
            <w:szCs w:val="26"/>
          </w:rPr>
          <w:t>https://elibrary.ferc.gov/eLibrary/search</w:t>
        </w:r>
      </w:hyperlink>
      <w:r w:rsidRPr="00705A01">
        <w:rPr>
          <w:color w:val="000000" w:themeColor="text1"/>
          <w:szCs w:val="26"/>
        </w:rPr>
        <w:t>.</w:t>
      </w:r>
    </w:p>
    <w:p w:rsidR="740D4924" w:rsidRPr="00705A01" w:rsidP="56C411BC" w14:paraId="6720A0BA" w14:textId="7EAD0A83">
      <w:pPr>
        <w:spacing w:line="480" w:lineRule="auto"/>
        <w:rPr>
          <w:color w:val="000000" w:themeColor="text1"/>
          <w:szCs w:val="26"/>
        </w:rPr>
      </w:pPr>
      <w:r w:rsidRPr="00705A01">
        <w:rPr>
          <w:b/>
          <w:bCs/>
          <w:color w:val="000000" w:themeColor="text1"/>
          <w:szCs w:val="26"/>
        </w:rPr>
        <w:t>FOR FURTHER INFORMATION:</w:t>
      </w:r>
      <w:r w:rsidRPr="00705A01" w:rsidR="00932217">
        <w:rPr>
          <w:color w:val="000000" w:themeColor="text1"/>
          <w:szCs w:val="26"/>
        </w:rPr>
        <w:t xml:space="preserve"> </w:t>
      </w:r>
      <w:r w:rsidRPr="00705A01">
        <w:rPr>
          <w:color w:val="000000" w:themeColor="text1"/>
          <w:szCs w:val="26"/>
        </w:rPr>
        <w:t xml:space="preserve">Kayla Williams may be reached by e-mail at </w:t>
      </w:r>
      <w:hyperlink r:id="rId11">
        <w:r w:rsidRPr="00705A01">
          <w:rPr>
            <w:rStyle w:val="Hyperlink"/>
            <w:szCs w:val="26"/>
          </w:rPr>
          <w:t>DataClearance@FERC.gov</w:t>
        </w:r>
      </w:hyperlink>
      <w:r w:rsidRPr="00705A01">
        <w:rPr>
          <w:color w:val="000000" w:themeColor="text1"/>
          <w:szCs w:val="26"/>
        </w:rPr>
        <w:t>, or by telephone at (202)502-6468.</w:t>
      </w:r>
    </w:p>
    <w:p w:rsidR="00C056FE" w:rsidRPr="00705A01" w:rsidP="549EAD48" w14:paraId="20207DF2" w14:textId="78C344BB">
      <w:pPr>
        <w:spacing w:line="480" w:lineRule="auto"/>
        <w:rPr>
          <w:szCs w:val="26"/>
        </w:rPr>
      </w:pPr>
      <w:r w:rsidRPr="00705A01">
        <w:rPr>
          <w:szCs w:val="26"/>
        </w:rPr>
        <w:t xml:space="preserve"> </w:t>
      </w:r>
      <w:r w:rsidRPr="00705A01">
        <w:rPr>
          <w:b/>
          <w:bCs/>
          <w:szCs w:val="26"/>
        </w:rPr>
        <w:t>SUPPLEMENTARY INFORMATION:</w:t>
      </w:r>
      <w:r w:rsidRPr="00705A01" w:rsidR="00932217">
        <w:rPr>
          <w:szCs w:val="26"/>
        </w:rPr>
        <w:t xml:space="preserve"> </w:t>
      </w:r>
    </w:p>
    <w:p w:rsidR="00C056FE" w:rsidRPr="00705A01" w:rsidP="56C411BC" w14:paraId="198C6D21" w14:textId="451CD126">
      <w:pPr>
        <w:spacing w:line="480" w:lineRule="auto"/>
        <w:rPr>
          <w:i/>
          <w:iCs/>
          <w:szCs w:val="26"/>
        </w:rPr>
      </w:pPr>
      <w:r w:rsidRPr="00705A01">
        <w:rPr>
          <w:i/>
          <w:iCs/>
          <w:szCs w:val="26"/>
        </w:rPr>
        <w:t>Title:</w:t>
      </w:r>
      <w:r w:rsidRPr="00705A01" w:rsidR="00932217">
        <w:rPr>
          <w:i/>
          <w:iCs/>
          <w:szCs w:val="26"/>
        </w:rPr>
        <w:t xml:space="preserve"> </w:t>
      </w:r>
      <w:r w:rsidRPr="00705A01" w:rsidR="00E857B8">
        <w:rPr>
          <w:szCs w:val="26"/>
        </w:rPr>
        <w:t>Credit Related Information Sharing Between RTOs/ISOs</w:t>
      </w:r>
    </w:p>
    <w:p w:rsidR="00C056FE" w:rsidRPr="00705A01" w:rsidP="56C411BC" w14:paraId="3B435804" w14:textId="2D458306">
      <w:pPr>
        <w:spacing w:line="480" w:lineRule="auto"/>
        <w:rPr>
          <w:szCs w:val="26"/>
        </w:rPr>
      </w:pPr>
      <w:r w:rsidRPr="00705A01">
        <w:rPr>
          <w:i/>
          <w:iCs/>
          <w:szCs w:val="26"/>
        </w:rPr>
        <w:t>OMB Control No.:</w:t>
      </w:r>
      <w:r w:rsidRPr="00705A01" w:rsidR="00932217">
        <w:rPr>
          <w:szCs w:val="26"/>
        </w:rPr>
        <w:t xml:space="preserve"> </w:t>
      </w:r>
      <w:r w:rsidRPr="00705A01" w:rsidR="00B3547F">
        <w:rPr>
          <w:szCs w:val="26"/>
        </w:rPr>
        <w:t>1902-0325</w:t>
      </w:r>
    </w:p>
    <w:p w:rsidR="00C056FE" w:rsidRPr="00705A01" w:rsidP="1F7013FF" w14:paraId="219460CE" w14:textId="136431AA">
      <w:pPr>
        <w:spacing w:line="480" w:lineRule="auto"/>
        <w:rPr>
          <w:szCs w:val="26"/>
        </w:rPr>
      </w:pPr>
      <w:r w:rsidRPr="00705A01">
        <w:rPr>
          <w:i/>
          <w:iCs/>
          <w:szCs w:val="26"/>
        </w:rPr>
        <w:t>Type of Request:</w:t>
      </w:r>
      <w:r w:rsidRPr="00705A01" w:rsidR="00932217">
        <w:rPr>
          <w:szCs w:val="26"/>
        </w:rPr>
        <w:t xml:space="preserve"> </w:t>
      </w:r>
      <w:r w:rsidRPr="00705A01">
        <w:rPr>
          <w:szCs w:val="26"/>
        </w:rPr>
        <w:t>Three-year extension of the FERC-</w:t>
      </w:r>
      <w:r w:rsidRPr="00705A01" w:rsidR="00B3547F">
        <w:rPr>
          <w:szCs w:val="26"/>
        </w:rPr>
        <w:t>1005</w:t>
      </w:r>
      <w:r w:rsidRPr="00705A01">
        <w:rPr>
          <w:szCs w:val="26"/>
        </w:rPr>
        <w:t xml:space="preserve"> information collection </w:t>
      </w:r>
      <w:r w:rsidRPr="00705A01" w:rsidR="009447D3">
        <w:rPr>
          <w:szCs w:val="26"/>
        </w:rPr>
        <w:t xml:space="preserve">requirements with no changes to the </w:t>
      </w:r>
      <w:r w:rsidRPr="00705A01" w:rsidR="4459479F">
        <w:rPr>
          <w:szCs w:val="26"/>
        </w:rPr>
        <w:t xml:space="preserve">on-going </w:t>
      </w:r>
      <w:r w:rsidRPr="00705A01" w:rsidR="009447D3">
        <w:rPr>
          <w:szCs w:val="26"/>
        </w:rPr>
        <w:t xml:space="preserve">reporting requirements. </w:t>
      </w:r>
    </w:p>
    <w:p w:rsidR="00F50EDA" w:rsidRPr="00705A01" w:rsidP="56C411BC" w14:paraId="54528006" w14:textId="2A6BF5A1">
      <w:pPr>
        <w:spacing w:line="480" w:lineRule="auto"/>
        <w:rPr>
          <w:szCs w:val="26"/>
        </w:rPr>
      </w:pPr>
      <w:r w:rsidRPr="00705A01">
        <w:rPr>
          <w:i/>
          <w:iCs/>
          <w:szCs w:val="26"/>
        </w:rPr>
        <w:t>Abstract:</w:t>
      </w:r>
      <w:r w:rsidRPr="00705A01" w:rsidR="00932217">
        <w:rPr>
          <w:i/>
          <w:iCs/>
          <w:szCs w:val="26"/>
        </w:rPr>
        <w:t xml:space="preserve"> </w:t>
      </w:r>
      <w:r w:rsidRPr="00705A01" w:rsidR="00930B08">
        <w:rPr>
          <w:szCs w:val="26"/>
        </w:rPr>
        <w:t>In 202</w:t>
      </w:r>
      <w:r w:rsidRPr="00705A01" w:rsidR="00D867E0">
        <w:rPr>
          <w:szCs w:val="26"/>
        </w:rPr>
        <w:t>3,</w:t>
      </w:r>
      <w:r w:rsidRPr="00705A01" w:rsidR="00D867E0">
        <w:rPr>
          <w:i/>
          <w:iCs/>
          <w:szCs w:val="26"/>
        </w:rPr>
        <w:t xml:space="preserve"> </w:t>
      </w:r>
      <w:r w:rsidRPr="00705A01" w:rsidR="00930B08">
        <w:rPr>
          <w:szCs w:val="26"/>
        </w:rPr>
        <w:t>FERC issued the Final Rule in Docket No. RM22-13-000 discussing the need for RTOs/ISOs to share credit related information with each other.</w:t>
      </w:r>
      <w:r w:rsidRPr="00705A01" w:rsidR="00932217">
        <w:rPr>
          <w:szCs w:val="26"/>
        </w:rPr>
        <w:t xml:space="preserve"> </w:t>
      </w:r>
      <w:r w:rsidRPr="00705A01" w:rsidR="00930B08">
        <w:rPr>
          <w:szCs w:val="26"/>
        </w:rPr>
        <w:t xml:space="preserve">The </w:t>
      </w:r>
      <w:r w:rsidRPr="00705A01" w:rsidR="00834291">
        <w:rPr>
          <w:szCs w:val="26"/>
        </w:rPr>
        <w:t>credit-related</w:t>
      </w:r>
      <w:r w:rsidRPr="00705A01" w:rsidR="00930B08">
        <w:rPr>
          <w:szCs w:val="26"/>
        </w:rPr>
        <w:t xml:space="preserve"> information sharing is intended to reduce the risk of liquidity failures amongst utilities.</w:t>
      </w:r>
      <w:r w:rsidRPr="00705A01" w:rsidR="00932217">
        <w:rPr>
          <w:szCs w:val="26"/>
        </w:rPr>
        <w:t xml:space="preserve"> </w:t>
      </w:r>
      <w:r w:rsidRPr="00705A01" w:rsidR="00930B08">
        <w:rPr>
          <w:szCs w:val="26"/>
        </w:rPr>
        <w:t>As described in the Final Rule, the Commission revise</w:t>
      </w:r>
      <w:r w:rsidRPr="00705A01" w:rsidR="00D867E0">
        <w:rPr>
          <w:szCs w:val="26"/>
        </w:rPr>
        <w:t>d</w:t>
      </w:r>
      <w:r w:rsidRPr="00705A01" w:rsidR="00930B08">
        <w:rPr>
          <w:szCs w:val="26"/>
        </w:rPr>
        <w:t xml:space="preserve"> section 35.47 of Title 18 of the Code of Federal Regulations to permit credit-related information sharing between organized wholesale electric markets.</w:t>
      </w:r>
      <w:r w:rsidRPr="00705A01" w:rsidR="00932217">
        <w:rPr>
          <w:szCs w:val="26"/>
        </w:rPr>
        <w:t xml:space="preserve"> </w:t>
      </w:r>
      <w:r w:rsidRPr="00705A01" w:rsidR="00930B08">
        <w:rPr>
          <w:szCs w:val="26"/>
        </w:rPr>
        <w:t>The rule does not create an information collection that is submitted to FERC, rather it permits the ability to share information between RTOs/ISOs and directs RTOs/ISOs to update their tariff provisions</w:t>
      </w:r>
      <w:r w:rsidRPr="00705A01" w:rsidR="00D867E0">
        <w:rPr>
          <w:szCs w:val="26"/>
        </w:rPr>
        <w:t xml:space="preserve"> </w:t>
      </w:r>
      <w:r w:rsidRPr="00705A01" w:rsidR="00FA39C7">
        <w:rPr>
          <w:szCs w:val="26"/>
        </w:rPr>
        <w:t xml:space="preserve">to include processes </w:t>
      </w:r>
      <w:r w:rsidRPr="00705A01" w:rsidR="00FA39C7">
        <w:rPr>
          <w:szCs w:val="26"/>
        </w:rPr>
        <w:t>and procedures to do so</w:t>
      </w:r>
      <w:r w:rsidRPr="00705A01" w:rsidR="00930B08">
        <w:rPr>
          <w:szCs w:val="26"/>
        </w:rPr>
        <w:t>.</w:t>
      </w:r>
      <w:r w:rsidRPr="00705A01" w:rsidR="00932217">
        <w:rPr>
          <w:szCs w:val="26"/>
        </w:rPr>
        <w:t xml:space="preserve"> </w:t>
      </w:r>
      <w:r w:rsidRPr="00705A01" w:rsidR="00FA39C7">
        <w:rPr>
          <w:szCs w:val="26"/>
        </w:rPr>
        <w:t>At that time</w:t>
      </w:r>
      <w:r w:rsidRPr="00705A01" w:rsidR="00930B08">
        <w:rPr>
          <w:szCs w:val="26"/>
        </w:rPr>
        <w:t xml:space="preserve"> RTOs/ISOs </w:t>
      </w:r>
      <w:r w:rsidRPr="00705A01" w:rsidR="00FA39C7">
        <w:rPr>
          <w:szCs w:val="26"/>
        </w:rPr>
        <w:t xml:space="preserve">were required </w:t>
      </w:r>
      <w:r w:rsidRPr="00705A01" w:rsidR="00930B08">
        <w:rPr>
          <w:szCs w:val="26"/>
        </w:rPr>
        <w:t>to update their tariff provisions to enable credit-related information sharing.</w:t>
      </w:r>
      <w:r w:rsidRPr="00705A01" w:rsidR="00932217">
        <w:rPr>
          <w:szCs w:val="26"/>
        </w:rPr>
        <w:t xml:space="preserve"> </w:t>
      </w:r>
      <w:r w:rsidRPr="00705A01" w:rsidR="00FA39C7">
        <w:rPr>
          <w:szCs w:val="26"/>
        </w:rPr>
        <w:t xml:space="preserve">This process has been completed, which is why the Commission is removing the </w:t>
      </w:r>
      <w:r w:rsidRPr="00705A01" w:rsidR="0055161C">
        <w:rPr>
          <w:szCs w:val="26"/>
        </w:rPr>
        <w:t>burden related to this action.</w:t>
      </w:r>
      <w:r w:rsidRPr="00705A01" w:rsidR="00932217">
        <w:rPr>
          <w:szCs w:val="26"/>
        </w:rPr>
        <w:t xml:space="preserve"> </w:t>
      </w:r>
      <w:r w:rsidRPr="00705A01" w:rsidR="00930B08">
        <w:rPr>
          <w:szCs w:val="26"/>
        </w:rPr>
        <w:t xml:space="preserve">The </w:t>
      </w:r>
      <w:r w:rsidRPr="00705A01" w:rsidR="002626D9">
        <w:rPr>
          <w:szCs w:val="26"/>
        </w:rPr>
        <w:t xml:space="preserve">remaining burden is </w:t>
      </w:r>
      <w:r w:rsidRPr="00705A01" w:rsidR="00930B08">
        <w:rPr>
          <w:szCs w:val="26"/>
        </w:rPr>
        <w:t>associated with facilitating the information sharing between entities</w:t>
      </w:r>
      <w:r w:rsidRPr="00705A01" w:rsidR="002626D9">
        <w:rPr>
          <w:szCs w:val="26"/>
        </w:rPr>
        <w:t xml:space="preserve"> in accordance </w:t>
      </w:r>
      <w:r w:rsidRPr="00705A01" w:rsidR="3207E057">
        <w:rPr>
          <w:szCs w:val="26"/>
        </w:rPr>
        <w:t>with</w:t>
      </w:r>
      <w:r w:rsidRPr="00705A01" w:rsidR="002626D9">
        <w:rPr>
          <w:szCs w:val="26"/>
        </w:rPr>
        <w:t xml:space="preserve"> each RTO</w:t>
      </w:r>
      <w:r w:rsidRPr="00705A01" w:rsidR="00932217">
        <w:rPr>
          <w:szCs w:val="26"/>
        </w:rPr>
        <w:t>’</w:t>
      </w:r>
      <w:r w:rsidRPr="00705A01" w:rsidR="00EC402B">
        <w:rPr>
          <w:szCs w:val="26"/>
        </w:rPr>
        <w:t>s/ISO</w:t>
      </w:r>
      <w:r w:rsidRPr="00705A01" w:rsidR="00932217">
        <w:rPr>
          <w:szCs w:val="26"/>
        </w:rPr>
        <w:t>’</w:t>
      </w:r>
      <w:r w:rsidRPr="00705A01" w:rsidR="00EC402B">
        <w:rPr>
          <w:szCs w:val="26"/>
        </w:rPr>
        <w:t>s processes and procedures</w:t>
      </w:r>
      <w:r w:rsidRPr="00705A01" w:rsidR="00930B08">
        <w:rPr>
          <w:szCs w:val="26"/>
        </w:rPr>
        <w:t>.</w:t>
      </w:r>
    </w:p>
    <w:p w:rsidR="009679E3" w:rsidRPr="00705A01" w:rsidP="56C411BC" w14:paraId="7C064110" w14:textId="4E7259B7">
      <w:pPr>
        <w:spacing w:line="480" w:lineRule="auto"/>
        <w:rPr>
          <w:szCs w:val="26"/>
        </w:rPr>
      </w:pPr>
      <w:r w:rsidRPr="00705A01">
        <w:rPr>
          <w:i/>
          <w:iCs/>
          <w:szCs w:val="26"/>
        </w:rPr>
        <w:t>Type of Respondents:</w:t>
      </w:r>
      <w:r w:rsidRPr="00705A01" w:rsidR="00932217">
        <w:rPr>
          <w:i/>
          <w:iCs/>
          <w:szCs w:val="26"/>
        </w:rPr>
        <w:t xml:space="preserve"> </w:t>
      </w:r>
      <w:r w:rsidRPr="00705A01" w:rsidR="00703316">
        <w:rPr>
          <w:szCs w:val="26"/>
        </w:rPr>
        <w:t>RTOs/ISOs</w:t>
      </w:r>
      <w:r w:rsidRPr="00705A01">
        <w:rPr>
          <w:szCs w:val="26"/>
        </w:rPr>
        <w:t xml:space="preserve"> </w:t>
      </w:r>
    </w:p>
    <w:p w:rsidR="00696A1D" w:rsidRPr="00705A01" w:rsidP="56C411BC" w14:paraId="16FB0FAE" w14:textId="50AC3961">
      <w:pPr>
        <w:spacing w:line="480" w:lineRule="auto"/>
        <w:rPr>
          <w:szCs w:val="26"/>
        </w:rPr>
      </w:pPr>
      <w:r w:rsidRPr="00705A01">
        <w:rPr>
          <w:i/>
          <w:iCs/>
          <w:szCs w:val="26"/>
        </w:rPr>
        <w:t>Estimate of Annual Burden</w:t>
      </w:r>
      <w:r>
        <w:rPr>
          <w:rStyle w:val="FootnoteReference"/>
          <w:i/>
          <w:iCs/>
        </w:rPr>
        <w:footnoteReference w:id="2"/>
      </w:r>
      <w:r w:rsidRPr="00705A01">
        <w:rPr>
          <w:i/>
          <w:iCs/>
          <w:szCs w:val="26"/>
        </w:rPr>
        <w:t>:</w:t>
      </w:r>
      <w:r w:rsidRPr="00705A01" w:rsidR="00932217">
        <w:rPr>
          <w:i/>
          <w:iCs/>
          <w:szCs w:val="26"/>
        </w:rPr>
        <w:t xml:space="preserve"> </w:t>
      </w:r>
      <w:r w:rsidRPr="00705A01">
        <w:rPr>
          <w:szCs w:val="26"/>
        </w:rPr>
        <w:t>The Commission estimates the annual public reporting burden for the information collection as:</w:t>
      </w:r>
    </w:p>
    <w:tbl>
      <w:tblPr>
        <w:tblW w:w="100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635"/>
        <w:gridCol w:w="1495"/>
        <w:gridCol w:w="1409"/>
        <w:gridCol w:w="1310"/>
        <w:gridCol w:w="1316"/>
        <w:gridCol w:w="1234"/>
      </w:tblGrid>
      <w:tr w14:paraId="5BA79F99" w14:textId="77777777" w:rsidTr="56C411BC">
        <w:tblPrEx>
          <w:tblW w:w="100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1620" w:type="dxa"/>
            <w:shd w:val="clear" w:color="auto" w:fill="D9D9D9" w:themeFill="background1" w:themeFillShade="D9"/>
          </w:tcPr>
          <w:p w:rsidR="00696A1D" w:rsidRPr="00705A01" w:rsidP="549EAD48" w14:paraId="3D1C5CF2" w14:textId="77777777">
            <w:pPr>
              <w:jc w:val="center"/>
              <w:rPr>
                <w:rFonts w:eastAsia="Calibri"/>
                <w:b/>
                <w:bCs/>
                <w:szCs w:val="26"/>
              </w:rPr>
            </w:pPr>
          </w:p>
        </w:tc>
        <w:tc>
          <w:tcPr>
            <w:tcW w:w="1635" w:type="dxa"/>
            <w:shd w:val="clear" w:color="auto" w:fill="D9D9D9" w:themeFill="background1" w:themeFillShade="D9"/>
            <w:vAlign w:val="bottom"/>
          </w:tcPr>
          <w:p w:rsidR="00696A1D" w:rsidRPr="00705A01" w:rsidP="549EAD48" w14:paraId="04268E54" w14:textId="77777777">
            <w:pPr>
              <w:jc w:val="center"/>
              <w:rPr>
                <w:rFonts w:eastAsia="Calibri"/>
                <w:b/>
                <w:bCs/>
                <w:szCs w:val="26"/>
              </w:rPr>
            </w:pPr>
            <w:r w:rsidRPr="00705A01">
              <w:rPr>
                <w:rFonts w:eastAsia="Calibri"/>
                <w:b/>
                <w:bCs/>
                <w:szCs w:val="26"/>
              </w:rPr>
              <w:t>Number of Respondents</w:t>
            </w:r>
            <w:r w:rsidRPr="00705A01">
              <w:rPr>
                <w:szCs w:val="26"/>
              </w:rPr>
              <w:br/>
            </w:r>
            <w:r w:rsidRPr="00705A01">
              <w:rPr>
                <w:rFonts w:eastAsia="Calibri"/>
                <w:b/>
                <w:bCs/>
                <w:szCs w:val="26"/>
              </w:rPr>
              <w:t>(1)</w:t>
            </w:r>
          </w:p>
        </w:tc>
        <w:tc>
          <w:tcPr>
            <w:tcW w:w="1495" w:type="dxa"/>
            <w:shd w:val="clear" w:color="auto" w:fill="D9D9D9" w:themeFill="background1" w:themeFillShade="D9"/>
            <w:vAlign w:val="bottom"/>
          </w:tcPr>
          <w:p w:rsidR="00696A1D" w:rsidRPr="00705A01" w:rsidP="549EAD48" w14:paraId="562EDAE5" w14:textId="77777777">
            <w:pPr>
              <w:jc w:val="center"/>
              <w:rPr>
                <w:rFonts w:eastAsia="Calibri"/>
                <w:b/>
                <w:bCs/>
                <w:szCs w:val="26"/>
              </w:rPr>
            </w:pPr>
            <w:r w:rsidRPr="00705A01">
              <w:rPr>
                <w:rFonts w:eastAsia="Calibri"/>
                <w:b/>
                <w:bCs/>
                <w:szCs w:val="26"/>
              </w:rPr>
              <w:t>Annual Number of Responses per Respondent</w:t>
            </w:r>
          </w:p>
          <w:p w:rsidR="00696A1D" w:rsidRPr="00705A01" w:rsidP="549EAD48" w14:paraId="5E906DBD" w14:textId="77777777">
            <w:pPr>
              <w:jc w:val="center"/>
              <w:rPr>
                <w:rFonts w:eastAsia="Calibri"/>
                <w:b/>
                <w:bCs/>
                <w:szCs w:val="26"/>
              </w:rPr>
            </w:pPr>
            <w:r w:rsidRPr="00705A01">
              <w:rPr>
                <w:rFonts w:eastAsia="Calibri"/>
                <w:b/>
                <w:bCs/>
                <w:szCs w:val="26"/>
              </w:rPr>
              <w:t>(2)</w:t>
            </w:r>
          </w:p>
        </w:tc>
        <w:tc>
          <w:tcPr>
            <w:tcW w:w="1409" w:type="dxa"/>
            <w:shd w:val="clear" w:color="auto" w:fill="D9D9D9" w:themeFill="background1" w:themeFillShade="D9"/>
            <w:vAlign w:val="bottom"/>
          </w:tcPr>
          <w:p w:rsidR="00696A1D" w:rsidRPr="00705A01" w:rsidP="549EAD48" w14:paraId="65CED0BD" w14:textId="77777777">
            <w:pPr>
              <w:jc w:val="center"/>
              <w:rPr>
                <w:rFonts w:eastAsia="Calibri"/>
                <w:b/>
                <w:bCs/>
                <w:szCs w:val="26"/>
              </w:rPr>
            </w:pPr>
            <w:r w:rsidRPr="00705A01">
              <w:rPr>
                <w:rFonts w:eastAsia="Calibri"/>
                <w:b/>
                <w:bCs/>
                <w:szCs w:val="26"/>
              </w:rPr>
              <w:t>Total Number of Responses (1)*(2)=(3)</w:t>
            </w:r>
          </w:p>
        </w:tc>
        <w:tc>
          <w:tcPr>
            <w:tcW w:w="1310" w:type="dxa"/>
            <w:shd w:val="clear" w:color="auto" w:fill="D9D9D9" w:themeFill="background1" w:themeFillShade="D9"/>
            <w:vAlign w:val="bottom"/>
          </w:tcPr>
          <w:p w:rsidR="00696A1D" w:rsidRPr="00705A01" w:rsidP="549EAD48" w14:paraId="4A2ABDC6" w14:textId="77777777">
            <w:pPr>
              <w:jc w:val="center"/>
              <w:rPr>
                <w:rFonts w:eastAsia="Calibri"/>
                <w:b/>
                <w:bCs/>
                <w:szCs w:val="26"/>
              </w:rPr>
            </w:pPr>
            <w:r w:rsidRPr="00705A01">
              <w:rPr>
                <w:rFonts w:eastAsia="Calibri"/>
                <w:b/>
                <w:bCs/>
                <w:szCs w:val="26"/>
              </w:rPr>
              <w:t>Average Burden &amp; Cost Per Response</w:t>
            </w:r>
            <w:r>
              <w:rPr>
                <w:rFonts w:eastAsia="Calibri"/>
                <w:b/>
                <w:bCs/>
                <w:szCs w:val="26"/>
                <w:vertAlign w:val="superscript"/>
              </w:rPr>
              <w:footnoteReference w:id="3"/>
            </w:r>
          </w:p>
          <w:p w:rsidR="00696A1D" w:rsidRPr="00705A01" w:rsidP="549EAD48" w14:paraId="64BF29F9" w14:textId="77777777">
            <w:pPr>
              <w:jc w:val="center"/>
              <w:rPr>
                <w:rFonts w:eastAsia="Calibri"/>
                <w:b/>
                <w:bCs/>
                <w:szCs w:val="26"/>
              </w:rPr>
            </w:pPr>
            <w:r w:rsidRPr="00705A01">
              <w:rPr>
                <w:rFonts w:eastAsia="Calibri"/>
                <w:b/>
                <w:bCs/>
                <w:szCs w:val="26"/>
              </w:rPr>
              <w:t>(4)</w:t>
            </w:r>
          </w:p>
        </w:tc>
        <w:tc>
          <w:tcPr>
            <w:tcW w:w="1316" w:type="dxa"/>
            <w:shd w:val="clear" w:color="auto" w:fill="D9D9D9" w:themeFill="background1" w:themeFillShade="D9"/>
            <w:vAlign w:val="bottom"/>
          </w:tcPr>
          <w:p w:rsidR="00696A1D" w:rsidRPr="00705A01" w:rsidP="549EAD48" w14:paraId="14BA1585" w14:textId="77777777">
            <w:pPr>
              <w:jc w:val="center"/>
              <w:rPr>
                <w:rFonts w:eastAsia="Calibri"/>
                <w:b/>
                <w:bCs/>
                <w:szCs w:val="26"/>
              </w:rPr>
            </w:pPr>
            <w:r w:rsidRPr="00705A01">
              <w:rPr>
                <w:rFonts w:eastAsia="Calibri"/>
                <w:b/>
                <w:bCs/>
                <w:szCs w:val="26"/>
              </w:rPr>
              <w:t>Total Annual Burden Hours &amp; Total Annual Cost</w:t>
            </w:r>
          </w:p>
          <w:p w:rsidR="00696A1D" w:rsidRPr="00705A01" w:rsidP="549EAD48" w14:paraId="41D83D8C" w14:textId="77777777">
            <w:pPr>
              <w:jc w:val="center"/>
              <w:rPr>
                <w:rFonts w:eastAsia="Calibri"/>
                <w:b/>
                <w:bCs/>
                <w:szCs w:val="26"/>
              </w:rPr>
            </w:pPr>
            <w:r w:rsidRPr="00705A01">
              <w:rPr>
                <w:rFonts w:eastAsia="Calibri"/>
                <w:b/>
                <w:bCs/>
                <w:szCs w:val="26"/>
              </w:rPr>
              <w:t>(3)*(4)=(5)</w:t>
            </w:r>
          </w:p>
        </w:tc>
        <w:tc>
          <w:tcPr>
            <w:tcW w:w="1234" w:type="dxa"/>
            <w:shd w:val="clear" w:color="auto" w:fill="D9D9D9" w:themeFill="background1" w:themeFillShade="D9"/>
            <w:vAlign w:val="bottom"/>
          </w:tcPr>
          <w:p w:rsidR="00696A1D" w:rsidRPr="00705A01" w:rsidP="549EAD48" w14:paraId="1FBE0079" w14:textId="77777777">
            <w:pPr>
              <w:jc w:val="center"/>
              <w:rPr>
                <w:rFonts w:eastAsia="Calibri"/>
                <w:b/>
                <w:bCs/>
                <w:szCs w:val="26"/>
              </w:rPr>
            </w:pPr>
            <w:r w:rsidRPr="00705A01">
              <w:rPr>
                <w:rFonts w:eastAsia="Calibri"/>
                <w:b/>
                <w:bCs/>
                <w:szCs w:val="26"/>
              </w:rPr>
              <w:t>Cost per Respondent</w:t>
            </w:r>
          </w:p>
          <w:p w:rsidR="00696A1D" w:rsidRPr="00705A01" w:rsidP="549EAD48" w14:paraId="5724E8EA" w14:textId="77777777">
            <w:pPr>
              <w:jc w:val="center"/>
              <w:rPr>
                <w:rFonts w:eastAsia="Calibri"/>
                <w:b/>
                <w:bCs/>
                <w:szCs w:val="26"/>
              </w:rPr>
            </w:pPr>
            <w:r w:rsidRPr="00705A01">
              <w:rPr>
                <w:rFonts w:eastAsia="Calibri"/>
                <w:b/>
                <w:bCs/>
                <w:szCs w:val="26"/>
              </w:rPr>
              <w:t xml:space="preserve"> ($)</w:t>
            </w:r>
          </w:p>
          <w:p w:rsidR="00696A1D" w:rsidRPr="00705A01" w:rsidP="549EAD48" w14:paraId="3E08335F" w14:textId="77777777">
            <w:pPr>
              <w:jc w:val="center"/>
              <w:rPr>
                <w:rFonts w:eastAsia="Calibri"/>
                <w:b/>
                <w:bCs/>
                <w:szCs w:val="26"/>
              </w:rPr>
            </w:pPr>
            <w:r w:rsidRPr="00705A01">
              <w:rPr>
                <w:rFonts w:eastAsia="Calibri"/>
                <w:b/>
                <w:bCs/>
                <w:szCs w:val="26"/>
              </w:rPr>
              <w:t>(5)÷(1)</w:t>
            </w:r>
          </w:p>
        </w:tc>
      </w:tr>
      <w:tr w14:paraId="023F9DC3" w14:textId="77777777" w:rsidTr="56C411BC">
        <w:tblPrEx>
          <w:tblW w:w="10019" w:type="dxa"/>
          <w:tblInd w:w="-72" w:type="dxa"/>
          <w:tblLayout w:type="fixed"/>
          <w:tblLook w:val="01E0"/>
        </w:tblPrEx>
        <w:trPr>
          <w:cantSplit/>
        </w:trPr>
        <w:tc>
          <w:tcPr>
            <w:tcW w:w="1620" w:type="dxa"/>
          </w:tcPr>
          <w:p w:rsidR="00703316" w:rsidRPr="00705A01" w:rsidP="549EAD48" w14:paraId="336AD7FF" w14:textId="49F30345">
            <w:pPr>
              <w:rPr>
                <w:rFonts w:eastAsia="Calibri"/>
                <w:szCs w:val="26"/>
              </w:rPr>
            </w:pPr>
            <w:r w:rsidRPr="00705A01">
              <w:rPr>
                <w:rFonts w:eastAsia="Calibri"/>
                <w:szCs w:val="26"/>
              </w:rPr>
              <w:t>Cre</w:t>
            </w:r>
            <w:r w:rsidRPr="00705A01" w:rsidR="00570113">
              <w:rPr>
                <w:rFonts w:eastAsia="Calibri"/>
                <w:szCs w:val="26"/>
              </w:rPr>
              <w:t>dit Related Information Sharing (ongoing)</w:t>
            </w:r>
          </w:p>
        </w:tc>
        <w:tc>
          <w:tcPr>
            <w:tcW w:w="1635" w:type="dxa"/>
          </w:tcPr>
          <w:p w:rsidR="00703316" w:rsidRPr="00705A01" w:rsidP="549EAD48" w14:paraId="24ED2AA7" w14:textId="74AC1AC1">
            <w:pPr>
              <w:jc w:val="right"/>
              <w:rPr>
                <w:rFonts w:eastAsia="Calibri"/>
                <w:szCs w:val="26"/>
              </w:rPr>
            </w:pPr>
            <w:r w:rsidRPr="00705A01">
              <w:rPr>
                <w:rFonts w:eastAsia="Calibri"/>
                <w:szCs w:val="26"/>
              </w:rPr>
              <w:t>6</w:t>
            </w:r>
          </w:p>
        </w:tc>
        <w:tc>
          <w:tcPr>
            <w:tcW w:w="1495" w:type="dxa"/>
          </w:tcPr>
          <w:p w:rsidR="00703316" w:rsidRPr="00705A01" w:rsidP="1F7013FF" w14:paraId="398A1A6A" w14:textId="7EAC17B0">
            <w:pPr>
              <w:jc w:val="right"/>
              <w:rPr>
                <w:rFonts w:eastAsia="Calibri"/>
                <w:szCs w:val="26"/>
              </w:rPr>
            </w:pPr>
            <w:r w:rsidRPr="00705A01">
              <w:rPr>
                <w:rFonts w:eastAsia="Calibri"/>
                <w:szCs w:val="26"/>
              </w:rPr>
              <w:t>2</w:t>
            </w:r>
          </w:p>
        </w:tc>
        <w:tc>
          <w:tcPr>
            <w:tcW w:w="1409" w:type="dxa"/>
          </w:tcPr>
          <w:p w:rsidR="00703316" w:rsidRPr="00705A01" w:rsidP="549EAD48" w14:paraId="022434DF" w14:textId="79F51CF5">
            <w:pPr>
              <w:jc w:val="right"/>
              <w:rPr>
                <w:rFonts w:eastAsia="Calibri"/>
                <w:szCs w:val="26"/>
              </w:rPr>
            </w:pPr>
            <w:r w:rsidRPr="00705A01">
              <w:rPr>
                <w:rFonts w:eastAsia="Calibri"/>
                <w:szCs w:val="26"/>
              </w:rPr>
              <w:t>12</w:t>
            </w:r>
          </w:p>
        </w:tc>
        <w:tc>
          <w:tcPr>
            <w:tcW w:w="1310" w:type="dxa"/>
          </w:tcPr>
          <w:p w:rsidR="005105F7" w:rsidRPr="00705A01" w:rsidP="1F7013FF" w14:paraId="4D0B4D6D" w14:textId="77777777">
            <w:pPr>
              <w:jc w:val="right"/>
              <w:rPr>
                <w:rFonts w:eastAsia="Calibri"/>
                <w:szCs w:val="26"/>
              </w:rPr>
            </w:pPr>
            <w:r w:rsidRPr="00705A01">
              <w:rPr>
                <w:rFonts w:eastAsia="Calibri"/>
                <w:szCs w:val="26"/>
              </w:rPr>
              <w:t xml:space="preserve">4 hrs. </w:t>
            </w:r>
          </w:p>
          <w:p w:rsidR="00703316" w:rsidRPr="00705A01" w:rsidP="1F7013FF" w14:paraId="420CF2C1" w14:textId="4556F17E">
            <w:pPr>
              <w:jc w:val="right"/>
              <w:rPr>
                <w:rFonts w:eastAsia="Calibri"/>
                <w:szCs w:val="26"/>
              </w:rPr>
            </w:pPr>
            <w:r w:rsidRPr="00705A01">
              <w:rPr>
                <w:rFonts w:eastAsia="Calibri"/>
                <w:szCs w:val="26"/>
              </w:rPr>
              <w:t>$</w:t>
            </w:r>
            <w:r w:rsidRPr="00705A01" w:rsidR="4286D704">
              <w:rPr>
                <w:rFonts w:eastAsia="Calibri"/>
                <w:szCs w:val="26"/>
              </w:rPr>
              <w:t>408</w:t>
            </w:r>
          </w:p>
        </w:tc>
        <w:tc>
          <w:tcPr>
            <w:tcW w:w="1316" w:type="dxa"/>
          </w:tcPr>
          <w:p w:rsidR="00CD743B" w:rsidRPr="00705A01" w:rsidP="549EAD48" w14:paraId="3DC60B07" w14:textId="77777777">
            <w:pPr>
              <w:jc w:val="right"/>
              <w:rPr>
                <w:rFonts w:eastAsia="Calibri"/>
                <w:szCs w:val="26"/>
              </w:rPr>
            </w:pPr>
            <w:r w:rsidRPr="00705A01">
              <w:rPr>
                <w:rFonts w:eastAsia="Calibri"/>
                <w:szCs w:val="26"/>
              </w:rPr>
              <w:t xml:space="preserve">48 hrs. </w:t>
            </w:r>
          </w:p>
          <w:p w:rsidR="00703316" w:rsidRPr="00705A01" w:rsidP="1F7013FF" w14:paraId="05C9A23F" w14:textId="51A9F55F">
            <w:pPr>
              <w:jc w:val="right"/>
              <w:rPr>
                <w:rFonts w:eastAsia="Calibri"/>
                <w:szCs w:val="26"/>
              </w:rPr>
            </w:pPr>
            <w:r w:rsidRPr="00705A01">
              <w:rPr>
                <w:rFonts w:eastAsia="Calibri"/>
                <w:szCs w:val="26"/>
              </w:rPr>
              <w:t>$</w:t>
            </w:r>
            <w:r w:rsidRPr="00705A01" w:rsidR="3DAB990F">
              <w:rPr>
                <w:rFonts w:eastAsia="Calibri"/>
                <w:szCs w:val="26"/>
              </w:rPr>
              <w:t>4,896</w:t>
            </w:r>
          </w:p>
        </w:tc>
        <w:tc>
          <w:tcPr>
            <w:tcW w:w="1234" w:type="dxa"/>
          </w:tcPr>
          <w:p w:rsidR="00703316" w:rsidRPr="00705A01" w:rsidP="1F7013FF" w14:paraId="236203FC" w14:textId="1A3D43D8">
            <w:pPr>
              <w:jc w:val="right"/>
              <w:rPr>
                <w:rFonts w:eastAsia="Calibri"/>
                <w:szCs w:val="26"/>
              </w:rPr>
            </w:pPr>
            <w:r w:rsidRPr="00705A01">
              <w:rPr>
                <w:rFonts w:eastAsia="Calibri"/>
                <w:szCs w:val="26"/>
              </w:rPr>
              <w:t>$</w:t>
            </w:r>
            <w:r w:rsidRPr="00705A01" w:rsidR="21435877">
              <w:rPr>
                <w:rFonts w:eastAsia="Calibri"/>
                <w:szCs w:val="26"/>
              </w:rPr>
              <w:t>916</w:t>
            </w:r>
          </w:p>
        </w:tc>
      </w:tr>
      <w:tr w14:paraId="03FF6251" w14:textId="77777777" w:rsidTr="56C411BC">
        <w:tblPrEx>
          <w:tblW w:w="10019" w:type="dxa"/>
          <w:tblInd w:w="-72" w:type="dxa"/>
          <w:tblLayout w:type="fixed"/>
          <w:tblLook w:val="01E0"/>
        </w:tblPrEx>
        <w:trPr>
          <w:cantSplit/>
        </w:trPr>
        <w:tc>
          <w:tcPr>
            <w:tcW w:w="10019" w:type="dxa"/>
            <w:gridSpan w:val="7"/>
            <w:shd w:val="clear" w:color="auto" w:fill="D9D9D9" w:themeFill="background1" w:themeFillShade="D9"/>
          </w:tcPr>
          <w:p w:rsidR="00491C0D" w:rsidRPr="00705A01" w:rsidP="00491C0D" w14:paraId="4A60F0B6" w14:textId="5EAE00A6">
            <w:pPr>
              <w:jc w:val="center"/>
              <w:rPr>
                <w:rFonts w:eastAsia="Calibri"/>
                <w:szCs w:val="26"/>
              </w:rPr>
            </w:pPr>
            <w:r w:rsidRPr="00705A01">
              <w:rPr>
                <w:rFonts w:eastAsia="Calibri"/>
                <w:szCs w:val="26"/>
              </w:rPr>
              <w:t>Information Collection Activities to be removed</w:t>
            </w:r>
          </w:p>
        </w:tc>
      </w:tr>
      <w:tr w14:paraId="01198855" w14:textId="77777777" w:rsidTr="56C411BC">
        <w:tblPrEx>
          <w:tblW w:w="10019" w:type="dxa"/>
          <w:tblInd w:w="-72" w:type="dxa"/>
          <w:tblLayout w:type="fixed"/>
          <w:tblLook w:val="01E0"/>
        </w:tblPrEx>
        <w:trPr>
          <w:cantSplit/>
        </w:trPr>
        <w:tc>
          <w:tcPr>
            <w:tcW w:w="1620" w:type="dxa"/>
          </w:tcPr>
          <w:p w:rsidR="00703316" w:rsidRPr="00705A01" w:rsidP="549EAD48" w14:paraId="65FF9FFA" w14:textId="02BEDED7">
            <w:pPr>
              <w:rPr>
                <w:rFonts w:eastAsia="Calibri"/>
                <w:szCs w:val="26"/>
              </w:rPr>
            </w:pPr>
            <w:r w:rsidRPr="00705A01">
              <w:rPr>
                <w:rFonts w:eastAsia="Calibri"/>
                <w:szCs w:val="26"/>
              </w:rPr>
              <w:t>Tariff Provisions Compliance Filing</w:t>
            </w:r>
            <w:r w:rsidRPr="00705A01" w:rsidR="00930D33">
              <w:rPr>
                <w:rFonts w:eastAsia="Calibri"/>
                <w:szCs w:val="26"/>
              </w:rPr>
              <w:t xml:space="preserve"> (one-time)</w:t>
            </w:r>
          </w:p>
        </w:tc>
        <w:tc>
          <w:tcPr>
            <w:tcW w:w="1635" w:type="dxa"/>
          </w:tcPr>
          <w:p w:rsidR="00703316" w:rsidRPr="00705A01" w:rsidP="549EAD48" w14:paraId="1AA934EE" w14:textId="56F2CD47">
            <w:pPr>
              <w:jc w:val="right"/>
              <w:rPr>
                <w:rFonts w:eastAsia="Calibri"/>
                <w:szCs w:val="26"/>
              </w:rPr>
            </w:pPr>
            <w:r w:rsidRPr="00705A01">
              <w:rPr>
                <w:rFonts w:eastAsia="Calibri"/>
                <w:szCs w:val="26"/>
              </w:rPr>
              <w:t>6</w:t>
            </w:r>
          </w:p>
        </w:tc>
        <w:tc>
          <w:tcPr>
            <w:tcW w:w="1495" w:type="dxa"/>
          </w:tcPr>
          <w:p w:rsidR="00703316" w:rsidRPr="00705A01" w:rsidP="549EAD48" w14:paraId="686052A5" w14:textId="012FC0B1">
            <w:pPr>
              <w:jc w:val="right"/>
              <w:rPr>
                <w:rFonts w:eastAsia="Calibri"/>
                <w:szCs w:val="26"/>
              </w:rPr>
            </w:pPr>
            <w:r w:rsidRPr="00705A01">
              <w:rPr>
                <w:rFonts w:eastAsia="Calibri"/>
                <w:szCs w:val="26"/>
              </w:rPr>
              <w:t>1</w:t>
            </w:r>
          </w:p>
        </w:tc>
        <w:tc>
          <w:tcPr>
            <w:tcW w:w="1409" w:type="dxa"/>
          </w:tcPr>
          <w:p w:rsidR="00703316" w:rsidRPr="00705A01" w:rsidP="549EAD48" w14:paraId="524F6905" w14:textId="2803E8A1">
            <w:pPr>
              <w:jc w:val="right"/>
              <w:rPr>
                <w:rFonts w:eastAsia="Calibri"/>
                <w:szCs w:val="26"/>
              </w:rPr>
            </w:pPr>
            <w:r w:rsidRPr="00705A01">
              <w:rPr>
                <w:rFonts w:eastAsia="Calibri"/>
                <w:szCs w:val="26"/>
              </w:rPr>
              <w:t>6</w:t>
            </w:r>
          </w:p>
        </w:tc>
        <w:tc>
          <w:tcPr>
            <w:tcW w:w="1310" w:type="dxa"/>
          </w:tcPr>
          <w:p w:rsidR="00BC1458" w:rsidRPr="00705A01" w:rsidP="549EAD48" w14:paraId="133720DA" w14:textId="77777777">
            <w:pPr>
              <w:jc w:val="right"/>
              <w:rPr>
                <w:rFonts w:eastAsia="Calibri"/>
                <w:szCs w:val="26"/>
              </w:rPr>
            </w:pPr>
            <w:r w:rsidRPr="00705A01">
              <w:rPr>
                <w:rFonts w:eastAsia="Calibri"/>
                <w:szCs w:val="26"/>
              </w:rPr>
              <w:t xml:space="preserve">25 hrs. </w:t>
            </w:r>
          </w:p>
          <w:p w:rsidR="00703316" w:rsidRPr="00705A01" w:rsidP="1F7013FF" w14:paraId="4B7CBFEE" w14:textId="53381190">
            <w:pPr>
              <w:jc w:val="right"/>
              <w:rPr>
                <w:rFonts w:eastAsia="Calibri"/>
                <w:szCs w:val="26"/>
              </w:rPr>
            </w:pPr>
            <w:r w:rsidRPr="00705A01">
              <w:rPr>
                <w:rFonts w:eastAsia="Calibri"/>
                <w:szCs w:val="26"/>
              </w:rPr>
              <w:t>$</w:t>
            </w:r>
            <w:r w:rsidRPr="00705A01" w:rsidR="4BC4CFCA">
              <w:rPr>
                <w:rFonts w:eastAsia="Calibri"/>
                <w:szCs w:val="26"/>
              </w:rPr>
              <w:t>2,550</w:t>
            </w:r>
          </w:p>
        </w:tc>
        <w:tc>
          <w:tcPr>
            <w:tcW w:w="1316" w:type="dxa"/>
          </w:tcPr>
          <w:p w:rsidR="00FA7337" w:rsidRPr="00705A01" w:rsidP="549EAD48" w14:paraId="174382F3" w14:textId="77777777">
            <w:pPr>
              <w:jc w:val="right"/>
              <w:rPr>
                <w:rFonts w:eastAsia="Calibri"/>
                <w:szCs w:val="26"/>
              </w:rPr>
            </w:pPr>
            <w:r w:rsidRPr="00705A01">
              <w:rPr>
                <w:rFonts w:eastAsia="Calibri"/>
                <w:szCs w:val="26"/>
              </w:rPr>
              <w:t>15</w:t>
            </w:r>
            <w:r w:rsidRPr="00705A01">
              <w:rPr>
                <w:rFonts w:eastAsia="Calibri"/>
                <w:szCs w:val="26"/>
              </w:rPr>
              <w:t xml:space="preserve">0 hrs. </w:t>
            </w:r>
          </w:p>
          <w:p w:rsidR="00703316" w:rsidRPr="00705A01" w:rsidP="1F7013FF" w14:paraId="0BDBE282" w14:textId="3AB79E3B">
            <w:pPr>
              <w:jc w:val="right"/>
              <w:rPr>
                <w:rFonts w:eastAsia="Calibri"/>
                <w:szCs w:val="26"/>
              </w:rPr>
            </w:pPr>
            <w:r w:rsidRPr="00705A01">
              <w:rPr>
                <w:rFonts w:eastAsia="Calibri"/>
                <w:szCs w:val="26"/>
              </w:rPr>
              <w:t>$</w:t>
            </w:r>
            <w:r w:rsidRPr="00705A01" w:rsidR="45FDE7F4">
              <w:rPr>
                <w:rFonts w:eastAsia="Calibri"/>
                <w:szCs w:val="26"/>
              </w:rPr>
              <w:t>15,300</w:t>
            </w:r>
          </w:p>
        </w:tc>
        <w:tc>
          <w:tcPr>
            <w:tcW w:w="1234" w:type="dxa"/>
          </w:tcPr>
          <w:p w:rsidR="00703316" w:rsidRPr="00705A01" w:rsidP="1F7013FF" w14:paraId="7DF30433" w14:textId="77777777">
            <w:pPr>
              <w:jc w:val="right"/>
              <w:rPr>
                <w:rFonts w:eastAsia="Calibri"/>
                <w:szCs w:val="26"/>
              </w:rPr>
            </w:pPr>
            <w:r w:rsidRPr="00705A01">
              <w:rPr>
                <w:rFonts w:eastAsia="Calibri"/>
                <w:szCs w:val="26"/>
              </w:rPr>
              <w:t xml:space="preserve">25 hrs. </w:t>
            </w:r>
          </w:p>
          <w:p w:rsidR="00703316" w:rsidRPr="00705A01" w:rsidP="1F7013FF" w14:paraId="0D8D4EED" w14:textId="62F5D8B9">
            <w:pPr>
              <w:jc w:val="right"/>
              <w:rPr>
                <w:rFonts w:eastAsia="Calibri"/>
                <w:szCs w:val="26"/>
              </w:rPr>
            </w:pPr>
            <w:r w:rsidRPr="00705A01">
              <w:rPr>
                <w:rFonts w:eastAsia="Calibri"/>
                <w:szCs w:val="26"/>
              </w:rPr>
              <w:t>$2,550</w:t>
            </w:r>
          </w:p>
        </w:tc>
      </w:tr>
      <w:tr w14:paraId="3FE15F5C" w14:textId="77777777" w:rsidTr="56C411BC">
        <w:tblPrEx>
          <w:tblW w:w="10019" w:type="dxa"/>
          <w:tblInd w:w="-72" w:type="dxa"/>
          <w:tblLayout w:type="fixed"/>
          <w:tblLook w:val="01E0"/>
        </w:tblPrEx>
        <w:trPr>
          <w:cantSplit/>
          <w:trHeight w:val="485"/>
        </w:trPr>
        <w:tc>
          <w:tcPr>
            <w:tcW w:w="1620" w:type="dxa"/>
            <w:tcBorders>
              <w:bottom w:val="single" w:sz="4" w:space="0" w:color="auto"/>
            </w:tcBorders>
          </w:tcPr>
          <w:p w:rsidR="00696A1D" w:rsidRPr="00705A01" w:rsidP="549EAD48" w14:paraId="776B7BFD" w14:textId="77777777">
            <w:pPr>
              <w:rPr>
                <w:rFonts w:eastAsia="Calibri"/>
                <w:b/>
                <w:bCs/>
                <w:szCs w:val="26"/>
              </w:rPr>
            </w:pPr>
            <w:r w:rsidRPr="00705A01">
              <w:rPr>
                <w:rFonts w:eastAsia="Calibri"/>
                <w:b/>
                <w:bCs/>
                <w:szCs w:val="26"/>
              </w:rPr>
              <w:t>TOTAL</w:t>
            </w:r>
          </w:p>
        </w:tc>
        <w:tc>
          <w:tcPr>
            <w:tcW w:w="3130" w:type="dxa"/>
            <w:gridSpan w:val="2"/>
            <w:tcBorders>
              <w:bottom w:val="single" w:sz="4" w:space="0" w:color="auto"/>
            </w:tcBorders>
            <w:shd w:val="clear" w:color="auto" w:fill="D9D9D9" w:themeFill="background1" w:themeFillShade="D9"/>
          </w:tcPr>
          <w:p w:rsidR="00696A1D" w:rsidRPr="00705A01" w:rsidP="549EAD48" w14:paraId="71808C72" w14:textId="77777777">
            <w:pPr>
              <w:jc w:val="right"/>
              <w:rPr>
                <w:rFonts w:eastAsia="Calibri"/>
                <w:szCs w:val="26"/>
              </w:rPr>
            </w:pPr>
          </w:p>
        </w:tc>
        <w:tc>
          <w:tcPr>
            <w:tcW w:w="1409" w:type="dxa"/>
            <w:tcBorders>
              <w:bottom w:val="single" w:sz="4" w:space="0" w:color="auto"/>
            </w:tcBorders>
          </w:tcPr>
          <w:p w:rsidR="00696A1D" w:rsidRPr="00705A01" w:rsidP="1F7013FF" w14:paraId="6B98F536" w14:textId="5CCAA9C6">
            <w:pPr>
              <w:jc w:val="right"/>
              <w:rPr>
                <w:rFonts w:eastAsia="Calibri"/>
                <w:b/>
                <w:bCs/>
                <w:szCs w:val="26"/>
              </w:rPr>
            </w:pPr>
            <w:r w:rsidRPr="00705A01">
              <w:rPr>
                <w:rFonts w:eastAsia="Calibri"/>
                <w:b/>
                <w:bCs/>
                <w:szCs w:val="26"/>
              </w:rPr>
              <w:t>12</w:t>
            </w:r>
          </w:p>
        </w:tc>
        <w:tc>
          <w:tcPr>
            <w:tcW w:w="1310" w:type="dxa"/>
            <w:tcBorders>
              <w:bottom w:val="single" w:sz="4" w:space="0" w:color="auto"/>
            </w:tcBorders>
            <w:shd w:val="clear" w:color="auto" w:fill="D9D9D9" w:themeFill="background1" w:themeFillShade="D9"/>
          </w:tcPr>
          <w:p w:rsidR="00696A1D" w:rsidRPr="00705A01" w:rsidP="549EAD48" w14:paraId="660405F0" w14:textId="77777777">
            <w:pPr>
              <w:jc w:val="right"/>
              <w:rPr>
                <w:rFonts w:eastAsia="Calibri"/>
                <w:szCs w:val="26"/>
              </w:rPr>
            </w:pPr>
          </w:p>
        </w:tc>
        <w:tc>
          <w:tcPr>
            <w:tcW w:w="1316" w:type="dxa"/>
            <w:tcBorders>
              <w:bottom w:val="single" w:sz="4" w:space="0" w:color="auto"/>
            </w:tcBorders>
          </w:tcPr>
          <w:p w:rsidR="00696A1D" w:rsidRPr="00705A01" w:rsidP="1F7013FF" w14:paraId="19CF354E" w14:textId="77777777">
            <w:pPr>
              <w:jc w:val="right"/>
              <w:rPr>
                <w:rFonts w:eastAsia="Calibri"/>
                <w:b/>
                <w:bCs/>
                <w:szCs w:val="26"/>
              </w:rPr>
            </w:pPr>
            <w:r w:rsidRPr="00705A01">
              <w:rPr>
                <w:rFonts w:eastAsia="Calibri"/>
                <w:b/>
                <w:bCs/>
                <w:szCs w:val="26"/>
              </w:rPr>
              <w:t xml:space="preserve">48 hrs. </w:t>
            </w:r>
          </w:p>
          <w:p w:rsidR="00696A1D" w:rsidRPr="00705A01" w:rsidP="1F7013FF" w14:paraId="06BFB72F" w14:textId="37CCD16A">
            <w:pPr>
              <w:jc w:val="right"/>
              <w:rPr>
                <w:rFonts w:eastAsia="Calibri"/>
                <w:b/>
                <w:bCs/>
                <w:szCs w:val="26"/>
              </w:rPr>
            </w:pPr>
            <w:r w:rsidRPr="00705A01">
              <w:rPr>
                <w:rFonts w:eastAsia="Calibri"/>
                <w:b/>
                <w:bCs/>
                <w:szCs w:val="26"/>
              </w:rPr>
              <w:t>$4,896</w:t>
            </w:r>
          </w:p>
        </w:tc>
        <w:tc>
          <w:tcPr>
            <w:tcW w:w="1234" w:type="dxa"/>
            <w:tcBorders>
              <w:bottom w:val="single" w:sz="4" w:space="0" w:color="auto"/>
            </w:tcBorders>
            <w:shd w:val="clear" w:color="auto" w:fill="D9D9D9" w:themeFill="background1" w:themeFillShade="D9"/>
          </w:tcPr>
          <w:p w:rsidR="00696A1D" w:rsidRPr="00705A01" w:rsidP="1F7013FF" w14:paraId="03E33E80" w14:textId="025FC259">
            <w:pPr>
              <w:jc w:val="right"/>
              <w:rPr>
                <w:rFonts w:eastAsia="Calibri"/>
                <w:b/>
                <w:bCs/>
                <w:szCs w:val="26"/>
              </w:rPr>
            </w:pPr>
          </w:p>
        </w:tc>
      </w:tr>
    </w:tbl>
    <w:p w:rsidR="00F86890" w:rsidRPr="00705A01" w:rsidP="549EAD48" w14:paraId="4414225D" w14:textId="77777777">
      <w:pPr>
        <w:spacing w:line="480" w:lineRule="auto"/>
        <w:rPr>
          <w:szCs w:val="26"/>
        </w:rPr>
      </w:pPr>
    </w:p>
    <w:p w:rsidR="00F86890" w:rsidRPr="00705A01" w:rsidP="549EAD48" w14:paraId="537730BC" w14:textId="378F657B">
      <w:pPr>
        <w:spacing w:line="480" w:lineRule="auto"/>
        <w:rPr>
          <w:szCs w:val="26"/>
        </w:rPr>
      </w:pPr>
      <w:r w:rsidRPr="00705A01">
        <w:rPr>
          <w:i/>
          <w:iCs/>
          <w:szCs w:val="26"/>
        </w:rPr>
        <w:t>Comments:</w:t>
      </w:r>
      <w:r w:rsidRPr="00705A01" w:rsidR="00932217">
        <w:rPr>
          <w:i/>
          <w:iCs/>
          <w:szCs w:val="26"/>
        </w:rPr>
        <w:t xml:space="preserve"> </w:t>
      </w:r>
      <w:r w:rsidRPr="00705A01">
        <w:rPr>
          <w:szCs w:val="26"/>
        </w:rPr>
        <w:t>Comments are invited on:</w:t>
      </w:r>
      <w:r w:rsidRPr="00705A01" w:rsidR="00932217">
        <w:rPr>
          <w:szCs w:val="26"/>
        </w:rPr>
        <w:t xml:space="preserve"> </w:t>
      </w:r>
      <w:r w:rsidRPr="00705A01">
        <w:rPr>
          <w:szCs w:val="26"/>
        </w:rPr>
        <w:t xml:space="preserve">(1) whether the collection of information is necessary for the proper performance of the functions of the Commission, including whether the information will have practical utility; (2) the accuracy of the agency's estimate of the burden </w:t>
      </w:r>
      <w:r w:rsidRPr="00705A01" w:rsidR="009447D3">
        <w:rPr>
          <w:szCs w:val="26"/>
        </w:rPr>
        <w:t xml:space="preserve">and cost </w:t>
      </w:r>
      <w:r w:rsidRPr="00705A01">
        <w:rPr>
          <w:szCs w:val="26"/>
        </w:rPr>
        <w:t xml:space="preserve">of the collection of information, including the validity of the methodology and assumptions used; (3) ways to enhance the quality, utility and clarity of the information </w:t>
      </w:r>
      <w:r w:rsidRPr="00705A01" w:rsidR="00647B24">
        <w:rPr>
          <w:szCs w:val="26"/>
        </w:rPr>
        <w:t>collection</w:t>
      </w:r>
      <w:r w:rsidRPr="00705A01">
        <w:rPr>
          <w:szCs w:val="26"/>
        </w:rPr>
        <w:t>; and (4) ways to minimize the burden of the collection of information on those who are to respond, i</w:t>
      </w:r>
      <w:r w:rsidRPr="00705A01" w:rsidR="00647B24">
        <w:rPr>
          <w:szCs w:val="26"/>
        </w:rPr>
        <w:t xml:space="preserve">ncluding the use of </w:t>
      </w:r>
      <w:r w:rsidRPr="00705A01">
        <w:rPr>
          <w:szCs w:val="26"/>
        </w:rPr>
        <w:t>automated collection techniques or other forms of information technology.</w:t>
      </w:r>
      <w:r w:rsidRPr="00705A01" w:rsidR="00932217">
        <w:rPr>
          <w:szCs w:val="26"/>
        </w:rPr>
        <w:t xml:space="preserve"> </w:t>
      </w:r>
    </w:p>
    <w:p w:rsidR="004530E0" w:rsidRPr="00705A01" w:rsidP="549EAD48" w14:paraId="1E958C2B" w14:textId="77777777">
      <w:pPr>
        <w:spacing w:line="480" w:lineRule="auto"/>
        <w:ind w:firstLine="720"/>
        <w:rPr>
          <w:szCs w:val="26"/>
        </w:rPr>
      </w:pPr>
    </w:p>
    <w:p w:rsidR="004530E0" w:rsidRPr="00705A01" w:rsidP="549EAD48" w14:paraId="6A2F085D" w14:textId="77777777">
      <w:pPr>
        <w:rPr>
          <w:szCs w:val="26"/>
        </w:rPr>
      </w:pPr>
    </w:p>
    <w:p w:rsidR="679453F5" w:rsidRPr="00705A01" w:rsidP="549EAD48" w14:paraId="72FB0FE5" w14:textId="73974CDD">
      <w:pPr>
        <w:jc w:val="center"/>
        <w:rPr>
          <w:szCs w:val="26"/>
        </w:rPr>
      </w:pPr>
      <w:r w:rsidRPr="00705A01">
        <w:rPr>
          <w:szCs w:val="26"/>
        </w:rPr>
        <w:t>Debbie-Anne A. Reese,</w:t>
      </w:r>
      <w:r w:rsidRPr="00705A01" w:rsidR="00932217">
        <w:rPr>
          <w:szCs w:val="26"/>
        </w:rPr>
        <w:t xml:space="preserve"> </w:t>
      </w:r>
    </w:p>
    <w:p w:rsidR="0078241C" w:rsidRPr="00705A01" w:rsidP="549EAD48" w14:paraId="7FE0FDE5" w14:textId="77777777">
      <w:pPr>
        <w:jc w:val="center"/>
        <w:rPr>
          <w:szCs w:val="26"/>
        </w:rPr>
      </w:pPr>
      <w:r w:rsidRPr="00705A01">
        <w:rPr>
          <w:szCs w:val="26"/>
        </w:rPr>
        <w:t>Secretary.</w:t>
      </w:r>
    </w:p>
    <w:sectPr w:rsidSect="00EF5878">
      <w:headerReference w:type="even" r:id="rId13"/>
      <w:headerReference w:type="defaul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71AF" w14:paraId="046D269C" w14:textId="77777777">
      <w:r>
        <w:separator/>
      </w:r>
    </w:p>
  </w:footnote>
  <w:footnote w:type="continuationSeparator" w:id="1">
    <w:p w:rsidR="005671AF" w14:paraId="390F32B0" w14:textId="77777777">
      <w:r>
        <w:continuationSeparator/>
      </w:r>
    </w:p>
  </w:footnote>
  <w:footnote w:id="2">
    <w:p w:rsidR="00696A1D" w:rsidRPr="00705A01" w:rsidP="00705A01" w14:paraId="1978C3D4" w14:textId="77777777">
      <w:pPr>
        <w:pStyle w:val="FootnoteText"/>
        <w:spacing w:after="260"/>
        <w:ind w:firstLine="720"/>
        <w:rPr>
          <w:sz w:val="26"/>
          <w:szCs w:val="26"/>
        </w:rPr>
      </w:pPr>
      <w:r w:rsidRPr="00705A01">
        <w:rPr>
          <w:rStyle w:val="FootnoteReference"/>
        </w:rPr>
        <w:footnoteRef/>
      </w:r>
      <w:r w:rsidRPr="00705A01">
        <w:rPr>
          <w:sz w:val="26"/>
          <w:szCs w:val="26"/>
        </w:rPr>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3">
    <w:p w:rsidR="00696A1D" w:rsidRPr="00705A01" w:rsidP="00705A01" w14:paraId="48FD6119" w14:textId="7362DAF7">
      <w:pPr>
        <w:pStyle w:val="FootnoteText"/>
        <w:spacing w:after="260"/>
        <w:ind w:firstLine="720"/>
        <w:rPr>
          <w:sz w:val="26"/>
          <w:szCs w:val="26"/>
        </w:rPr>
      </w:pPr>
      <w:r w:rsidRPr="00705A01">
        <w:rPr>
          <w:rStyle w:val="FootnoteReference"/>
        </w:rPr>
        <w:footnoteRef/>
      </w:r>
      <w:r w:rsidRPr="00705A01">
        <w:rPr>
          <w:sz w:val="26"/>
          <w:szCs w:val="26"/>
        </w:rPr>
        <w:t xml:space="preserve"> </w:t>
      </w:r>
      <w:r w:rsidRPr="00705A01" w:rsidR="00CF49BC">
        <w:rPr>
          <w:sz w:val="26"/>
          <w:szCs w:val="26"/>
        </w:rPr>
        <w:t>The Commission staff estimates that industry is similarly situated in terms of hourly cost (for wages plus benefits). Based on the Commission’s FY (Fiscal Year) 2026 average cost (for wages plus benefits), $102/hour is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00920A1C" w14:paraId="167CFFE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D79AA" w:rsidP="005E318F" w14:paraId="54731278"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9AA" w:rsidP="1F7013FF" w14:paraId="5EB90FBC" w14:textId="77CC03C6">
    <w:pPr>
      <w:pStyle w:val="Header"/>
      <w:ind w:right="360"/>
      <w:rPr>
        <w:highlight w:val="yellow"/>
      </w:rPr>
    </w:pPr>
    <w:r>
      <w:t>Docket No. IC26-28-000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79BBF315"/>
    <w:multiLevelType w:val="hybridMultilevel"/>
    <w:tmpl w:val="DD3E2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70192992">
    <w:abstractNumId w:val="3"/>
  </w:num>
  <w:num w:numId="2" w16cid:durableId="1872111158">
    <w:abstractNumId w:val="2"/>
  </w:num>
  <w:num w:numId="3" w16cid:durableId="126822442">
    <w:abstractNumId w:val="0"/>
  </w:num>
  <w:num w:numId="4" w16cid:durableId="128334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90"/>
    <w:rsid w:val="0000007C"/>
    <w:rsid w:val="00002127"/>
    <w:rsid w:val="0000305D"/>
    <w:rsid w:val="00003A58"/>
    <w:rsid w:val="00004A34"/>
    <w:rsid w:val="00004D97"/>
    <w:rsid w:val="00004E01"/>
    <w:rsid w:val="00014E36"/>
    <w:rsid w:val="00024ECA"/>
    <w:rsid w:val="00036FEC"/>
    <w:rsid w:val="00041471"/>
    <w:rsid w:val="00043468"/>
    <w:rsid w:val="000436E9"/>
    <w:rsid w:val="0005366B"/>
    <w:rsid w:val="00055C05"/>
    <w:rsid w:val="0006335A"/>
    <w:rsid w:val="00072256"/>
    <w:rsid w:val="00072448"/>
    <w:rsid w:val="00080D5F"/>
    <w:rsid w:val="000838BE"/>
    <w:rsid w:val="000854B7"/>
    <w:rsid w:val="000919B3"/>
    <w:rsid w:val="00093E92"/>
    <w:rsid w:val="00097F33"/>
    <w:rsid w:val="000A27CA"/>
    <w:rsid w:val="000A5308"/>
    <w:rsid w:val="000A7D1F"/>
    <w:rsid w:val="000B723A"/>
    <w:rsid w:val="000C22B5"/>
    <w:rsid w:val="000C47F2"/>
    <w:rsid w:val="000C56A4"/>
    <w:rsid w:val="000D3639"/>
    <w:rsid w:val="000D5216"/>
    <w:rsid w:val="000F3E00"/>
    <w:rsid w:val="000F60BD"/>
    <w:rsid w:val="00103D50"/>
    <w:rsid w:val="00114B14"/>
    <w:rsid w:val="001240FD"/>
    <w:rsid w:val="00125F00"/>
    <w:rsid w:val="00146600"/>
    <w:rsid w:val="00146B5E"/>
    <w:rsid w:val="001470C0"/>
    <w:rsid w:val="001475FE"/>
    <w:rsid w:val="00150CA6"/>
    <w:rsid w:val="00163BBE"/>
    <w:rsid w:val="00176D66"/>
    <w:rsid w:val="00181F00"/>
    <w:rsid w:val="0019407A"/>
    <w:rsid w:val="0019691F"/>
    <w:rsid w:val="001A29CA"/>
    <w:rsid w:val="001A4577"/>
    <w:rsid w:val="001A5E0A"/>
    <w:rsid w:val="001A6B7C"/>
    <w:rsid w:val="001A7291"/>
    <w:rsid w:val="001B40FA"/>
    <w:rsid w:val="001B49BD"/>
    <w:rsid w:val="001B6B4A"/>
    <w:rsid w:val="001C3324"/>
    <w:rsid w:val="001C3703"/>
    <w:rsid w:val="001C4D3A"/>
    <w:rsid w:val="001C5D46"/>
    <w:rsid w:val="001E69DB"/>
    <w:rsid w:val="001F0B06"/>
    <w:rsid w:val="001F2664"/>
    <w:rsid w:val="001F47CB"/>
    <w:rsid w:val="002008DF"/>
    <w:rsid w:val="00204D0F"/>
    <w:rsid w:val="00215A17"/>
    <w:rsid w:val="002265E9"/>
    <w:rsid w:val="00241BFD"/>
    <w:rsid w:val="00251C88"/>
    <w:rsid w:val="00252CD0"/>
    <w:rsid w:val="002626D9"/>
    <w:rsid w:val="002677D6"/>
    <w:rsid w:val="0027273D"/>
    <w:rsid w:val="00285E62"/>
    <w:rsid w:val="0028677A"/>
    <w:rsid w:val="0029476E"/>
    <w:rsid w:val="00296592"/>
    <w:rsid w:val="002A6174"/>
    <w:rsid w:val="002B43A6"/>
    <w:rsid w:val="002B62A0"/>
    <w:rsid w:val="002C0ECB"/>
    <w:rsid w:val="002C23E9"/>
    <w:rsid w:val="00317A96"/>
    <w:rsid w:val="00321EB8"/>
    <w:rsid w:val="00323139"/>
    <w:rsid w:val="00335092"/>
    <w:rsid w:val="00341866"/>
    <w:rsid w:val="00347526"/>
    <w:rsid w:val="00356E26"/>
    <w:rsid w:val="00366669"/>
    <w:rsid w:val="00370763"/>
    <w:rsid w:val="00374409"/>
    <w:rsid w:val="00381700"/>
    <w:rsid w:val="00386BED"/>
    <w:rsid w:val="003A1D7A"/>
    <w:rsid w:val="003B4D70"/>
    <w:rsid w:val="003C1644"/>
    <w:rsid w:val="003C1F91"/>
    <w:rsid w:val="003D6813"/>
    <w:rsid w:val="003F32A9"/>
    <w:rsid w:val="00414715"/>
    <w:rsid w:val="004230B0"/>
    <w:rsid w:val="00423C49"/>
    <w:rsid w:val="0042785C"/>
    <w:rsid w:val="00430164"/>
    <w:rsid w:val="00432C41"/>
    <w:rsid w:val="0043489E"/>
    <w:rsid w:val="00445DDF"/>
    <w:rsid w:val="004530E0"/>
    <w:rsid w:val="00453F74"/>
    <w:rsid w:val="00455A33"/>
    <w:rsid w:val="00455C4D"/>
    <w:rsid w:val="00462DBE"/>
    <w:rsid w:val="00470106"/>
    <w:rsid w:val="0047321C"/>
    <w:rsid w:val="00481237"/>
    <w:rsid w:val="004855F2"/>
    <w:rsid w:val="00487256"/>
    <w:rsid w:val="00490E50"/>
    <w:rsid w:val="00491C0D"/>
    <w:rsid w:val="004A51DF"/>
    <w:rsid w:val="004A6E59"/>
    <w:rsid w:val="004B665B"/>
    <w:rsid w:val="004C36C3"/>
    <w:rsid w:val="004C3BB0"/>
    <w:rsid w:val="004C3C65"/>
    <w:rsid w:val="004D1EE5"/>
    <w:rsid w:val="004D4CD3"/>
    <w:rsid w:val="004D53C3"/>
    <w:rsid w:val="004D778A"/>
    <w:rsid w:val="004D79AA"/>
    <w:rsid w:val="004F3E67"/>
    <w:rsid w:val="0050437A"/>
    <w:rsid w:val="005105F7"/>
    <w:rsid w:val="00515CA5"/>
    <w:rsid w:val="00517B18"/>
    <w:rsid w:val="00521ABE"/>
    <w:rsid w:val="00524B22"/>
    <w:rsid w:val="00530BB4"/>
    <w:rsid w:val="005320C7"/>
    <w:rsid w:val="005346F4"/>
    <w:rsid w:val="00534B97"/>
    <w:rsid w:val="00537276"/>
    <w:rsid w:val="0054477B"/>
    <w:rsid w:val="0055161C"/>
    <w:rsid w:val="00551B13"/>
    <w:rsid w:val="005521E7"/>
    <w:rsid w:val="00556AC8"/>
    <w:rsid w:val="005665D1"/>
    <w:rsid w:val="005671AF"/>
    <w:rsid w:val="00570113"/>
    <w:rsid w:val="005701E9"/>
    <w:rsid w:val="00584568"/>
    <w:rsid w:val="0058734A"/>
    <w:rsid w:val="0058744A"/>
    <w:rsid w:val="005916D2"/>
    <w:rsid w:val="00592AD7"/>
    <w:rsid w:val="00594550"/>
    <w:rsid w:val="005953A4"/>
    <w:rsid w:val="005A02C5"/>
    <w:rsid w:val="005A6D8E"/>
    <w:rsid w:val="005B0E46"/>
    <w:rsid w:val="005D0272"/>
    <w:rsid w:val="005E318F"/>
    <w:rsid w:val="005E6B6B"/>
    <w:rsid w:val="006053EE"/>
    <w:rsid w:val="006070B9"/>
    <w:rsid w:val="00617E46"/>
    <w:rsid w:val="0062025E"/>
    <w:rsid w:val="00625882"/>
    <w:rsid w:val="006276C9"/>
    <w:rsid w:val="006400D4"/>
    <w:rsid w:val="00647B24"/>
    <w:rsid w:val="00656DF0"/>
    <w:rsid w:val="0065768D"/>
    <w:rsid w:val="00672BEA"/>
    <w:rsid w:val="0068483B"/>
    <w:rsid w:val="006902C3"/>
    <w:rsid w:val="0069142C"/>
    <w:rsid w:val="00694675"/>
    <w:rsid w:val="00695504"/>
    <w:rsid w:val="00696A1D"/>
    <w:rsid w:val="006A2074"/>
    <w:rsid w:val="006A43AD"/>
    <w:rsid w:val="006A4D89"/>
    <w:rsid w:val="006A64E7"/>
    <w:rsid w:val="006B4821"/>
    <w:rsid w:val="006C57B1"/>
    <w:rsid w:val="006D549E"/>
    <w:rsid w:val="006E6000"/>
    <w:rsid w:val="006E7FB0"/>
    <w:rsid w:val="006F4A80"/>
    <w:rsid w:val="006F77BE"/>
    <w:rsid w:val="0070048D"/>
    <w:rsid w:val="00703316"/>
    <w:rsid w:val="00703DFC"/>
    <w:rsid w:val="0070558B"/>
    <w:rsid w:val="00705A01"/>
    <w:rsid w:val="0071251E"/>
    <w:rsid w:val="00715910"/>
    <w:rsid w:val="00720B54"/>
    <w:rsid w:val="00720E07"/>
    <w:rsid w:val="00725908"/>
    <w:rsid w:val="0072643A"/>
    <w:rsid w:val="00764A91"/>
    <w:rsid w:val="00766823"/>
    <w:rsid w:val="007726D7"/>
    <w:rsid w:val="00773856"/>
    <w:rsid w:val="0078241C"/>
    <w:rsid w:val="0078412E"/>
    <w:rsid w:val="00785CF9"/>
    <w:rsid w:val="00785F9D"/>
    <w:rsid w:val="00790C19"/>
    <w:rsid w:val="00793C14"/>
    <w:rsid w:val="007957B9"/>
    <w:rsid w:val="007A46B4"/>
    <w:rsid w:val="007A5C4A"/>
    <w:rsid w:val="007D2400"/>
    <w:rsid w:val="007D4A4A"/>
    <w:rsid w:val="007E52AC"/>
    <w:rsid w:val="007E6973"/>
    <w:rsid w:val="007E699A"/>
    <w:rsid w:val="007E7573"/>
    <w:rsid w:val="007F4F94"/>
    <w:rsid w:val="007F7E3C"/>
    <w:rsid w:val="007F7FF1"/>
    <w:rsid w:val="0081326C"/>
    <w:rsid w:val="00827DA2"/>
    <w:rsid w:val="0083270A"/>
    <w:rsid w:val="00834291"/>
    <w:rsid w:val="00834B9E"/>
    <w:rsid w:val="0083507A"/>
    <w:rsid w:val="008410EA"/>
    <w:rsid w:val="00841CCE"/>
    <w:rsid w:val="00852671"/>
    <w:rsid w:val="00855434"/>
    <w:rsid w:val="0086417D"/>
    <w:rsid w:val="00865949"/>
    <w:rsid w:val="00865E72"/>
    <w:rsid w:val="0087254C"/>
    <w:rsid w:val="00880EEA"/>
    <w:rsid w:val="008814F7"/>
    <w:rsid w:val="00891E91"/>
    <w:rsid w:val="00893FB3"/>
    <w:rsid w:val="008956A4"/>
    <w:rsid w:val="008B5814"/>
    <w:rsid w:val="008D3307"/>
    <w:rsid w:val="008D7DF2"/>
    <w:rsid w:val="008E4CB7"/>
    <w:rsid w:val="008F66AB"/>
    <w:rsid w:val="0090592F"/>
    <w:rsid w:val="00906BFB"/>
    <w:rsid w:val="009124A0"/>
    <w:rsid w:val="009131BC"/>
    <w:rsid w:val="0091686D"/>
    <w:rsid w:val="00920A1C"/>
    <w:rsid w:val="00924B80"/>
    <w:rsid w:val="00930B08"/>
    <w:rsid w:val="00930D33"/>
    <w:rsid w:val="00932217"/>
    <w:rsid w:val="00937BCD"/>
    <w:rsid w:val="009447D3"/>
    <w:rsid w:val="009537F4"/>
    <w:rsid w:val="00956FF9"/>
    <w:rsid w:val="00961DAE"/>
    <w:rsid w:val="00966148"/>
    <w:rsid w:val="009679E3"/>
    <w:rsid w:val="009713C5"/>
    <w:rsid w:val="0097434D"/>
    <w:rsid w:val="00977E05"/>
    <w:rsid w:val="00991D87"/>
    <w:rsid w:val="009947B6"/>
    <w:rsid w:val="00994B38"/>
    <w:rsid w:val="009961FC"/>
    <w:rsid w:val="00997AE4"/>
    <w:rsid w:val="009A61E8"/>
    <w:rsid w:val="009B027F"/>
    <w:rsid w:val="009B4335"/>
    <w:rsid w:val="009B7DFA"/>
    <w:rsid w:val="009C2E1C"/>
    <w:rsid w:val="009D505F"/>
    <w:rsid w:val="009E1DA1"/>
    <w:rsid w:val="009F4AB4"/>
    <w:rsid w:val="009F71DC"/>
    <w:rsid w:val="00A0763E"/>
    <w:rsid w:val="00A15BF1"/>
    <w:rsid w:val="00A17794"/>
    <w:rsid w:val="00A226EE"/>
    <w:rsid w:val="00A34319"/>
    <w:rsid w:val="00A34518"/>
    <w:rsid w:val="00A35158"/>
    <w:rsid w:val="00A3726A"/>
    <w:rsid w:val="00A40B65"/>
    <w:rsid w:val="00A4355D"/>
    <w:rsid w:val="00A51FCA"/>
    <w:rsid w:val="00A536DA"/>
    <w:rsid w:val="00A56980"/>
    <w:rsid w:val="00A60681"/>
    <w:rsid w:val="00A72F11"/>
    <w:rsid w:val="00A84DE0"/>
    <w:rsid w:val="00A85DE0"/>
    <w:rsid w:val="00A86836"/>
    <w:rsid w:val="00A96311"/>
    <w:rsid w:val="00A9631E"/>
    <w:rsid w:val="00AA7819"/>
    <w:rsid w:val="00AB0A99"/>
    <w:rsid w:val="00AB20D8"/>
    <w:rsid w:val="00AB436E"/>
    <w:rsid w:val="00AC4CC5"/>
    <w:rsid w:val="00AC7480"/>
    <w:rsid w:val="00AE0995"/>
    <w:rsid w:val="00AE4572"/>
    <w:rsid w:val="00AE61E0"/>
    <w:rsid w:val="00AF4F93"/>
    <w:rsid w:val="00B018B9"/>
    <w:rsid w:val="00B1101F"/>
    <w:rsid w:val="00B2439B"/>
    <w:rsid w:val="00B3254F"/>
    <w:rsid w:val="00B33628"/>
    <w:rsid w:val="00B337D1"/>
    <w:rsid w:val="00B3547F"/>
    <w:rsid w:val="00B43366"/>
    <w:rsid w:val="00B4431A"/>
    <w:rsid w:val="00B45A81"/>
    <w:rsid w:val="00B460AF"/>
    <w:rsid w:val="00B52047"/>
    <w:rsid w:val="00B62B35"/>
    <w:rsid w:val="00B710EA"/>
    <w:rsid w:val="00B75595"/>
    <w:rsid w:val="00B806DB"/>
    <w:rsid w:val="00B81BC5"/>
    <w:rsid w:val="00B835C5"/>
    <w:rsid w:val="00B97BC8"/>
    <w:rsid w:val="00BA7702"/>
    <w:rsid w:val="00BB1C54"/>
    <w:rsid w:val="00BC1458"/>
    <w:rsid w:val="00BC1B93"/>
    <w:rsid w:val="00BD0A6B"/>
    <w:rsid w:val="00BD15D4"/>
    <w:rsid w:val="00BF0461"/>
    <w:rsid w:val="00BF144D"/>
    <w:rsid w:val="00C01B8E"/>
    <w:rsid w:val="00C0487E"/>
    <w:rsid w:val="00C056FE"/>
    <w:rsid w:val="00C05E2D"/>
    <w:rsid w:val="00C1080B"/>
    <w:rsid w:val="00C13D4D"/>
    <w:rsid w:val="00C14CA1"/>
    <w:rsid w:val="00C209EA"/>
    <w:rsid w:val="00C20BA6"/>
    <w:rsid w:val="00C211B3"/>
    <w:rsid w:val="00C3310F"/>
    <w:rsid w:val="00C33BBC"/>
    <w:rsid w:val="00C41350"/>
    <w:rsid w:val="00C446C7"/>
    <w:rsid w:val="00C4788A"/>
    <w:rsid w:val="00C53513"/>
    <w:rsid w:val="00C56512"/>
    <w:rsid w:val="00C63FEE"/>
    <w:rsid w:val="00C70D6C"/>
    <w:rsid w:val="00C71F08"/>
    <w:rsid w:val="00C7775E"/>
    <w:rsid w:val="00C856C1"/>
    <w:rsid w:val="00C936A0"/>
    <w:rsid w:val="00C950B8"/>
    <w:rsid w:val="00C9728E"/>
    <w:rsid w:val="00C97402"/>
    <w:rsid w:val="00CA5395"/>
    <w:rsid w:val="00CA582B"/>
    <w:rsid w:val="00CA5D25"/>
    <w:rsid w:val="00CB10EF"/>
    <w:rsid w:val="00CC084C"/>
    <w:rsid w:val="00CC312A"/>
    <w:rsid w:val="00CC74B4"/>
    <w:rsid w:val="00CD31E5"/>
    <w:rsid w:val="00CD743B"/>
    <w:rsid w:val="00CD787F"/>
    <w:rsid w:val="00CE0248"/>
    <w:rsid w:val="00CE0EF2"/>
    <w:rsid w:val="00CE64F2"/>
    <w:rsid w:val="00CF49BC"/>
    <w:rsid w:val="00CF5B9A"/>
    <w:rsid w:val="00D02D61"/>
    <w:rsid w:val="00D20E2B"/>
    <w:rsid w:val="00D23599"/>
    <w:rsid w:val="00D33436"/>
    <w:rsid w:val="00D43998"/>
    <w:rsid w:val="00D47828"/>
    <w:rsid w:val="00D63246"/>
    <w:rsid w:val="00D63C82"/>
    <w:rsid w:val="00D67693"/>
    <w:rsid w:val="00D70310"/>
    <w:rsid w:val="00D76D45"/>
    <w:rsid w:val="00D77890"/>
    <w:rsid w:val="00D867E0"/>
    <w:rsid w:val="00D87C24"/>
    <w:rsid w:val="00D90CBF"/>
    <w:rsid w:val="00D90F48"/>
    <w:rsid w:val="00D9166B"/>
    <w:rsid w:val="00D92CB4"/>
    <w:rsid w:val="00D93E95"/>
    <w:rsid w:val="00D94313"/>
    <w:rsid w:val="00DA2DC6"/>
    <w:rsid w:val="00DA6F3C"/>
    <w:rsid w:val="00DA7F57"/>
    <w:rsid w:val="00DB44CE"/>
    <w:rsid w:val="00DC05D3"/>
    <w:rsid w:val="00DC09DD"/>
    <w:rsid w:val="00DC0CCD"/>
    <w:rsid w:val="00DC4367"/>
    <w:rsid w:val="00DD02E8"/>
    <w:rsid w:val="00DD3E84"/>
    <w:rsid w:val="00DF281F"/>
    <w:rsid w:val="00DF3DC8"/>
    <w:rsid w:val="00DF57D1"/>
    <w:rsid w:val="00E027CE"/>
    <w:rsid w:val="00E0745C"/>
    <w:rsid w:val="00E102DA"/>
    <w:rsid w:val="00E146ED"/>
    <w:rsid w:val="00E2091C"/>
    <w:rsid w:val="00E310B1"/>
    <w:rsid w:val="00E4230F"/>
    <w:rsid w:val="00E436DC"/>
    <w:rsid w:val="00E43FF3"/>
    <w:rsid w:val="00E52021"/>
    <w:rsid w:val="00E521EB"/>
    <w:rsid w:val="00E57F5B"/>
    <w:rsid w:val="00E60318"/>
    <w:rsid w:val="00E623D5"/>
    <w:rsid w:val="00E6445A"/>
    <w:rsid w:val="00E6573E"/>
    <w:rsid w:val="00E808CB"/>
    <w:rsid w:val="00E857B8"/>
    <w:rsid w:val="00E92ACF"/>
    <w:rsid w:val="00E9701C"/>
    <w:rsid w:val="00EA07A3"/>
    <w:rsid w:val="00EA26F9"/>
    <w:rsid w:val="00EA5739"/>
    <w:rsid w:val="00EB6EE6"/>
    <w:rsid w:val="00EC0705"/>
    <w:rsid w:val="00EC402B"/>
    <w:rsid w:val="00EC4610"/>
    <w:rsid w:val="00EC4C08"/>
    <w:rsid w:val="00EC657E"/>
    <w:rsid w:val="00EC7372"/>
    <w:rsid w:val="00EE4F64"/>
    <w:rsid w:val="00EE5F32"/>
    <w:rsid w:val="00EE64A4"/>
    <w:rsid w:val="00EF4B42"/>
    <w:rsid w:val="00EF5878"/>
    <w:rsid w:val="00F02B46"/>
    <w:rsid w:val="00F04F98"/>
    <w:rsid w:val="00F05061"/>
    <w:rsid w:val="00F15EB8"/>
    <w:rsid w:val="00F17D46"/>
    <w:rsid w:val="00F2283B"/>
    <w:rsid w:val="00F239CB"/>
    <w:rsid w:val="00F252DC"/>
    <w:rsid w:val="00F30FE9"/>
    <w:rsid w:val="00F31331"/>
    <w:rsid w:val="00F33CC9"/>
    <w:rsid w:val="00F34211"/>
    <w:rsid w:val="00F4212C"/>
    <w:rsid w:val="00F42509"/>
    <w:rsid w:val="00F500B7"/>
    <w:rsid w:val="00F50EDA"/>
    <w:rsid w:val="00F567F0"/>
    <w:rsid w:val="00F619B0"/>
    <w:rsid w:val="00F62C6E"/>
    <w:rsid w:val="00F63C6E"/>
    <w:rsid w:val="00F67CA1"/>
    <w:rsid w:val="00F72A15"/>
    <w:rsid w:val="00F730F8"/>
    <w:rsid w:val="00F75289"/>
    <w:rsid w:val="00F76482"/>
    <w:rsid w:val="00F80272"/>
    <w:rsid w:val="00F81786"/>
    <w:rsid w:val="00F86890"/>
    <w:rsid w:val="00F94545"/>
    <w:rsid w:val="00F94D8A"/>
    <w:rsid w:val="00FA1560"/>
    <w:rsid w:val="00FA2A52"/>
    <w:rsid w:val="00FA39C7"/>
    <w:rsid w:val="00FA4464"/>
    <w:rsid w:val="00FA7337"/>
    <w:rsid w:val="00FB5088"/>
    <w:rsid w:val="00FC34C8"/>
    <w:rsid w:val="00FC4CD8"/>
    <w:rsid w:val="00FC5E3E"/>
    <w:rsid w:val="00FE439E"/>
    <w:rsid w:val="020BE966"/>
    <w:rsid w:val="03DB4791"/>
    <w:rsid w:val="08C81F59"/>
    <w:rsid w:val="0D4DB07B"/>
    <w:rsid w:val="0FABB530"/>
    <w:rsid w:val="104D7E1C"/>
    <w:rsid w:val="1152C664"/>
    <w:rsid w:val="12617C45"/>
    <w:rsid w:val="15C10CB8"/>
    <w:rsid w:val="1693EBD5"/>
    <w:rsid w:val="16D0AFD3"/>
    <w:rsid w:val="189D6C40"/>
    <w:rsid w:val="1BCA398C"/>
    <w:rsid w:val="1C37B84A"/>
    <w:rsid w:val="1CA84FCC"/>
    <w:rsid w:val="1E99C437"/>
    <w:rsid w:val="1F7013FF"/>
    <w:rsid w:val="21435877"/>
    <w:rsid w:val="278208E5"/>
    <w:rsid w:val="288EABE8"/>
    <w:rsid w:val="29A2266B"/>
    <w:rsid w:val="2B30F397"/>
    <w:rsid w:val="3081ADD2"/>
    <w:rsid w:val="3207E057"/>
    <w:rsid w:val="32F4337F"/>
    <w:rsid w:val="33DEA647"/>
    <w:rsid w:val="344D5BF3"/>
    <w:rsid w:val="39CE3CC3"/>
    <w:rsid w:val="3BCA4A52"/>
    <w:rsid w:val="3D4CFCA9"/>
    <w:rsid w:val="3DAB990F"/>
    <w:rsid w:val="3DC868D0"/>
    <w:rsid w:val="40E2461B"/>
    <w:rsid w:val="41F5E0E6"/>
    <w:rsid w:val="425EF7E9"/>
    <w:rsid w:val="4286D704"/>
    <w:rsid w:val="43D26730"/>
    <w:rsid w:val="4459479F"/>
    <w:rsid w:val="459C98F9"/>
    <w:rsid w:val="45FDE7F4"/>
    <w:rsid w:val="4A10BC8E"/>
    <w:rsid w:val="4BC4CFCA"/>
    <w:rsid w:val="4D6C6E60"/>
    <w:rsid w:val="4FF1D909"/>
    <w:rsid w:val="54153741"/>
    <w:rsid w:val="5430E9DB"/>
    <w:rsid w:val="549EAD48"/>
    <w:rsid w:val="56C411BC"/>
    <w:rsid w:val="5739C196"/>
    <w:rsid w:val="5D5ED243"/>
    <w:rsid w:val="5EFAF138"/>
    <w:rsid w:val="60D27727"/>
    <w:rsid w:val="638F3E8E"/>
    <w:rsid w:val="665D373A"/>
    <w:rsid w:val="66B4C88A"/>
    <w:rsid w:val="679453F5"/>
    <w:rsid w:val="69DA7D7A"/>
    <w:rsid w:val="6C3EC725"/>
    <w:rsid w:val="71F76418"/>
    <w:rsid w:val="740D4924"/>
    <w:rsid w:val="75326AD2"/>
    <w:rsid w:val="78DA6E90"/>
    <w:rsid w:val="79072298"/>
    <w:rsid w:val="7C4EEAF1"/>
    <w:rsid w:val="7E1432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21D8B7"/>
  <w15:chartTrackingRefBased/>
  <w15:docId w15:val="{14872019-AE5B-4ED1-8FDF-801AE775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2"/>
      </w:numPr>
    </w:pPr>
  </w:style>
  <w:style w:type="character" w:styleId="FootnoteReference">
    <w:name w:val="footnote reference"/>
    <w:rsid w:val="00487256"/>
    <w:rPr>
      <w:rFonts w:ascii="Times New Roman" w:hAnsi="Times New Roman"/>
      <w:b/>
      <w:sz w:val="26"/>
      <w:szCs w:val="26"/>
      <w:vertAlign w:val="superscript"/>
    </w:rPr>
  </w:style>
  <w:style w:type="paragraph" w:styleId="FootnoteText">
    <w:name w:val="footnote text"/>
    <w:basedOn w:val="Normal"/>
    <w:rsid w:val="00D20E2B"/>
    <w:rPr>
      <w:sz w:val="22"/>
      <w:szCs w:val="20"/>
    </w:rPr>
  </w:style>
  <w:style w:type="paragraph" w:styleId="Header">
    <w:name w:val="header"/>
    <w:basedOn w:val="Normal"/>
    <w:rsid w:val="005E318F"/>
    <w:pPr>
      <w:tabs>
        <w:tab w:val="center" w:pos="4320"/>
        <w:tab w:val="right" w:pos="8640"/>
      </w:tabs>
    </w:pPr>
  </w:style>
  <w:style w:type="character" w:styleId="PageNumber">
    <w:name w:val="page number"/>
    <w:basedOn w:val="DefaultParagraphFont"/>
    <w:rsid w:val="005E318F"/>
  </w:style>
  <w:style w:type="paragraph" w:styleId="Footer">
    <w:name w:val="footer"/>
    <w:basedOn w:val="Normal"/>
    <w:rsid w:val="005E318F"/>
    <w:pPr>
      <w:tabs>
        <w:tab w:val="center" w:pos="4320"/>
        <w:tab w:val="right" w:pos="8640"/>
      </w:tabs>
    </w:pPr>
  </w:style>
  <w:style w:type="character" w:styleId="Hyperlink">
    <w:name w:val="Hyperlink"/>
    <w:rsid w:val="00C56512"/>
    <w:rPr>
      <w:color w:val="0000FF"/>
      <w:u w:val="single"/>
    </w:rPr>
  </w:style>
  <w:style w:type="character" w:styleId="FollowedHyperlink">
    <w:name w:val="FollowedHyperlink"/>
    <w:rsid w:val="00F42509"/>
    <w:rPr>
      <w:color w:val="800080"/>
      <w:u w:val="single"/>
    </w:rPr>
  </w:style>
  <w:style w:type="paragraph" w:styleId="BalloonText">
    <w:name w:val="Balloon Text"/>
    <w:basedOn w:val="Normal"/>
    <w:semiHidden/>
    <w:rsid w:val="00F42509"/>
    <w:rPr>
      <w:rFonts w:ascii="Tahoma" w:hAnsi="Tahoma" w:cs="Tahoma"/>
      <w:sz w:val="16"/>
      <w:szCs w:val="16"/>
    </w:rPr>
  </w:style>
  <w:style w:type="table" w:styleId="TableGrid">
    <w:name w:val="Table Grid"/>
    <w:basedOn w:val="TableNormal"/>
    <w:rsid w:val="00215A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rsid w:val="00DC05D3"/>
    <w:pPr>
      <w:numPr>
        <w:numId w:val="4"/>
      </w:numPr>
      <w:spacing w:after="120" w:line="480" w:lineRule="auto"/>
    </w:pPr>
  </w:style>
  <w:style w:type="paragraph" w:customStyle="1" w:styleId="LegalFormat">
    <w:name w:val="Legal Format"/>
    <w:basedOn w:val="ListContinue"/>
    <w:rsid w:val="00DC05D3"/>
    <w:pPr>
      <w:spacing w:after="0"/>
      <w:ind w:left="0"/>
    </w:pPr>
    <w:rPr>
      <w:u w:val="single"/>
    </w:rPr>
  </w:style>
  <w:style w:type="paragraph" w:styleId="ListParagraph">
    <w:name w:val="List Paragraph"/>
    <w:basedOn w:val="Normal"/>
    <w:uiPriority w:val="34"/>
    <w:qFormat/>
    <w:rsid w:val="549EAD48"/>
    <w:pPr>
      <w:ind w:left="720"/>
      <w:contextualSpacing/>
    </w:pPr>
  </w:style>
  <w:style w:type="character" w:styleId="CommentReference">
    <w:name w:val="annotation reference"/>
    <w:basedOn w:val="DefaultParagraphFont"/>
    <w:rsid w:val="007F7FF1"/>
    <w:rPr>
      <w:sz w:val="16"/>
      <w:szCs w:val="16"/>
    </w:rPr>
  </w:style>
  <w:style w:type="paragraph" w:styleId="CommentText">
    <w:name w:val="annotation text"/>
    <w:basedOn w:val="Normal"/>
    <w:link w:val="CommentTextChar"/>
    <w:rsid w:val="007F7FF1"/>
    <w:rPr>
      <w:sz w:val="20"/>
      <w:szCs w:val="20"/>
    </w:rPr>
  </w:style>
  <w:style w:type="character" w:customStyle="1" w:styleId="CommentTextChar">
    <w:name w:val="Comment Text Char"/>
    <w:basedOn w:val="DefaultParagraphFont"/>
    <w:link w:val="CommentText"/>
    <w:rsid w:val="007F7FF1"/>
  </w:style>
  <w:style w:type="paragraph" w:styleId="CommentSubject">
    <w:name w:val="annotation subject"/>
    <w:basedOn w:val="CommentText"/>
    <w:next w:val="CommentText"/>
    <w:link w:val="CommentSubjectChar"/>
    <w:rsid w:val="007F7FF1"/>
    <w:rPr>
      <w:b/>
      <w:bCs/>
    </w:rPr>
  </w:style>
  <w:style w:type="character" w:customStyle="1" w:styleId="CommentSubjectChar">
    <w:name w:val="Comment Subject Char"/>
    <w:basedOn w:val="CommentTextChar"/>
    <w:link w:val="CommentSubject"/>
    <w:rsid w:val="007F7F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mailto:DataClearance@FERC.gov" TargetMode="External" /><Relationship Id="rId12" Type="http://schemas.openxmlformats.org/officeDocument/2006/relationships/hyperlink" Target="https://elibrary.ferc.gov/eLibrary/search"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E502A652-F07C-4057-9DEF-C6AA7646F8CA}">
  <ds:schemaRefs>
    <ds:schemaRef ds:uri="http://schemas.microsoft.com/sharepoint/v3/contenttype/forms"/>
  </ds:schemaRefs>
</ds:datastoreItem>
</file>

<file path=customXml/itemProps2.xml><?xml version="1.0" encoding="utf-8"?>
<ds:datastoreItem xmlns:ds="http://schemas.openxmlformats.org/officeDocument/2006/customXml" ds:itemID="{9EF03387-B5F2-40F4-BE1A-A59A9C0BD037}">
  <ds:schemaRefs>
    <ds:schemaRef ds:uri="http://schemas.openxmlformats.org/officeDocument/2006/bibliography"/>
  </ds:schemaRefs>
</ds:datastoreItem>
</file>

<file path=customXml/itemProps3.xml><?xml version="1.0" encoding="utf-8"?>
<ds:datastoreItem xmlns:ds="http://schemas.openxmlformats.org/officeDocument/2006/customXml" ds:itemID="{83635E72-12EC-4467-99E0-8E9F9D9D068A}">
  <ds:schemaRefs>
    <ds:schemaRef ds:uri="Microsoft.SharePoint.Taxonomy.ContentTypeSync"/>
  </ds:schemaRefs>
</ds:datastoreItem>
</file>

<file path=customXml/itemProps4.xml><?xml version="1.0" encoding="utf-8"?>
<ds:datastoreItem xmlns:ds="http://schemas.openxmlformats.org/officeDocument/2006/customXml" ds:itemID="{9639A898-D585-476A-903D-61F3484A9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372C71-564C-4169-9E7C-D65FFE42DA54}">
  <ds:schemaRefs>
    <ds:schemaRef ds:uri="http://schemas.microsoft.com/office/2006/metadata/longProperties"/>
  </ds:schemaRefs>
</ds:datastoreItem>
</file>

<file path=customXml/itemProps6.xml><?xml version="1.0" encoding="utf-8"?>
<ds:datastoreItem xmlns:ds="http://schemas.openxmlformats.org/officeDocument/2006/customXml" ds:itemID="{1238E832-110B-4A4B-9991-5C2CC4D01FD9}">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7</TotalTime>
  <Pages>4</Pages>
  <Words>663</Words>
  <Characters>3962</Characters>
  <Application>Microsoft Office Word</Application>
  <DocSecurity>0</DocSecurity>
  <Lines>136</Lines>
  <Paragraphs>72</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2011-07-29T15:17:00Z</cp:lastPrinted>
  <dcterms:created xsi:type="dcterms:W3CDTF">2025-08-28T19:57:00Z</dcterms:created>
  <dcterms:modified xsi:type="dcterms:W3CDTF">2026-03-26T20:42:00Z</dcterms:modified>
</cp:coreProperties>
</file>