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CD5FDB" w:rsidP="549EAD48" w14:paraId="1D3AF36B" w14:textId="77777777">
      <w:pPr>
        <w:jc w:val="center"/>
        <w:rPr>
          <w:szCs w:val="26"/>
        </w:rPr>
      </w:pPr>
      <w:r w:rsidRPr="00CD5FDB">
        <w:rPr>
          <w:szCs w:val="26"/>
        </w:rPr>
        <w:t>UNITED STATES OF AMERICA</w:t>
      </w:r>
    </w:p>
    <w:p w:rsidR="00F86890" w:rsidRPr="00CD5FDB" w:rsidP="549EAD48" w14:paraId="79992091" w14:textId="77777777">
      <w:pPr>
        <w:jc w:val="center"/>
        <w:rPr>
          <w:szCs w:val="26"/>
        </w:rPr>
      </w:pPr>
      <w:r w:rsidRPr="00CD5FDB">
        <w:rPr>
          <w:szCs w:val="26"/>
        </w:rPr>
        <w:t>FEDERAL ENERGY REGULATORY COMMISSION</w:t>
      </w:r>
    </w:p>
    <w:p w:rsidR="00F86890" w:rsidRPr="00CD5FDB" w:rsidP="549EAD48" w14:paraId="02834C92" w14:textId="77777777">
      <w:pPr>
        <w:rPr>
          <w:szCs w:val="26"/>
        </w:rPr>
      </w:pPr>
    </w:p>
    <w:p w:rsidR="00F86890" w:rsidRPr="00CD5FDB" w:rsidP="1F7013FF" w14:paraId="021D341E" w14:textId="34653D93">
      <w:pPr>
        <w:jc w:val="center"/>
        <w:rPr>
          <w:szCs w:val="26"/>
        </w:rPr>
      </w:pPr>
      <w:r w:rsidRPr="00CD5FDB">
        <w:rPr>
          <w:szCs w:val="26"/>
        </w:rPr>
        <w:t xml:space="preserve">[Docket No. </w:t>
      </w:r>
      <w:r w:rsidRPr="00CD5FDB" w:rsidR="00462DBE">
        <w:rPr>
          <w:szCs w:val="26"/>
        </w:rPr>
        <w:t>IC</w:t>
      </w:r>
      <w:r w:rsidRPr="00CD5FDB" w:rsidR="3D4CFCA9">
        <w:rPr>
          <w:szCs w:val="26"/>
        </w:rPr>
        <w:t>26-28</w:t>
      </w:r>
      <w:r w:rsidRPr="00CD5FDB">
        <w:rPr>
          <w:szCs w:val="26"/>
        </w:rPr>
        <w:t>-000]</w:t>
      </w:r>
    </w:p>
    <w:p w:rsidR="00F86890" w:rsidRPr="00CD5FDB" w:rsidP="549EAD48" w14:paraId="3565036C" w14:textId="77777777">
      <w:pPr>
        <w:rPr>
          <w:szCs w:val="26"/>
        </w:rPr>
      </w:pPr>
    </w:p>
    <w:p w:rsidR="00F86890" w:rsidRPr="00CD5FDB" w:rsidP="549EAD48" w14:paraId="7F410A43" w14:textId="05FAB977">
      <w:pPr>
        <w:jc w:val="center"/>
        <w:rPr>
          <w:szCs w:val="26"/>
        </w:rPr>
      </w:pPr>
      <w:r w:rsidRPr="00CD5FDB">
        <w:rPr>
          <w:szCs w:val="26"/>
        </w:rPr>
        <w:t>COMMISSION INFORMATION COLLECTION ACTIVITIES (FERC-</w:t>
      </w:r>
      <w:r w:rsidRPr="00CD5FDB" w:rsidR="00C7775E">
        <w:rPr>
          <w:szCs w:val="26"/>
        </w:rPr>
        <w:t>1005</w:t>
      </w:r>
      <w:r w:rsidRPr="00CD5FDB">
        <w:rPr>
          <w:szCs w:val="26"/>
        </w:rPr>
        <w:t>);</w:t>
      </w:r>
    </w:p>
    <w:p w:rsidR="00F86890" w:rsidRPr="00CD5FDB" w:rsidP="549EAD48" w14:paraId="7D33A233" w14:textId="77777777">
      <w:pPr>
        <w:jc w:val="center"/>
        <w:rPr>
          <w:szCs w:val="26"/>
        </w:rPr>
      </w:pPr>
      <w:r w:rsidRPr="00CD5FDB">
        <w:rPr>
          <w:szCs w:val="26"/>
        </w:rPr>
        <w:t>COMMENT REQUEST; EXTENSION</w:t>
      </w:r>
    </w:p>
    <w:p w:rsidR="00F86890" w:rsidRPr="00CD5FDB" w:rsidP="549EAD48" w14:paraId="40E27417" w14:textId="77777777">
      <w:pPr>
        <w:rPr>
          <w:szCs w:val="26"/>
        </w:rPr>
      </w:pPr>
    </w:p>
    <w:p w:rsidR="00F86890" w:rsidRPr="00CD5FDB" w:rsidP="549EAD48" w14:paraId="4A8C700B" w14:textId="355BF368">
      <w:pPr>
        <w:spacing w:line="480" w:lineRule="auto"/>
        <w:jc w:val="center"/>
        <w:rPr>
          <w:szCs w:val="26"/>
        </w:rPr>
      </w:pPr>
      <w:r w:rsidRPr="00CD5FDB">
        <w:rPr>
          <w:szCs w:val="26"/>
        </w:rPr>
        <w:t>June 10, 2026</w:t>
      </w:r>
    </w:p>
    <w:p w:rsidR="00F86890" w:rsidRPr="00CD5FDB" w:rsidP="3D5AAB50" w14:paraId="08B34019" w14:textId="75D65F2D">
      <w:pPr>
        <w:spacing w:line="480" w:lineRule="auto"/>
        <w:rPr>
          <w:szCs w:val="26"/>
        </w:rPr>
      </w:pPr>
      <w:r w:rsidRPr="00CD5FDB">
        <w:rPr>
          <w:b/>
          <w:bCs/>
          <w:szCs w:val="26"/>
        </w:rPr>
        <w:t>AGENCY</w:t>
      </w:r>
      <w:r w:rsidRPr="00CD5FDB">
        <w:rPr>
          <w:b/>
          <w:bCs/>
          <w:szCs w:val="26"/>
        </w:rPr>
        <w:t>:</w:t>
      </w:r>
      <w:r w:rsidRPr="00CD5FDB" w:rsidR="00932217">
        <w:rPr>
          <w:szCs w:val="26"/>
        </w:rPr>
        <w:t xml:space="preserve"> </w:t>
      </w:r>
      <w:r w:rsidRPr="00CD5FDB" w:rsidR="19902A7E">
        <w:rPr>
          <w:szCs w:val="26"/>
        </w:rPr>
        <w:t xml:space="preserve"> </w:t>
      </w:r>
      <w:r w:rsidRPr="00CD5FDB">
        <w:rPr>
          <w:szCs w:val="26"/>
        </w:rPr>
        <w:t>Federal</w:t>
      </w:r>
      <w:r w:rsidRPr="00CD5FDB">
        <w:rPr>
          <w:szCs w:val="26"/>
        </w:rPr>
        <w:t xml:space="preserve"> Energy Regulatory Commission.</w:t>
      </w:r>
    </w:p>
    <w:p w:rsidR="00F86890" w:rsidRPr="00CD5FDB" w:rsidP="3D5AAB50" w14:paraId="5FAEBA59" w14:textId="4BFCEE3F">
      <w:pPr>
        <w:spacing w:line="480" w:lineRule="auto"/>
        <w:rPr>
          <w:szCs w:val="26"/>
        </w:rPr>
      </w:pPr>
      <w:r w:rsidRPr="00CD5FDB">
        <w:rPr>
          <w:b/>
          <w:bCs/>
          <w:szCs w:val="26"/>
        </w:rPr>
        <w:t>ACTION</w:t>
      </w:r>
      <w:r w:rsidRPr="00CD5FDB">
        <w:rPr>
          <w:b/>
          <w:bCs/>
          <w:szCs w:val="26"/>
        </w:rPr>
        <w:t>:</w:t>
      </w:r>
      <w:r w:rsidRPr="00CD5FDB" w:rsidR="00932217">
        <w:rPr>
          <w:szCs w:val="26"/>
        </w:rPr>
        <w:t xml:space="preserve"> </w:t>
      </w:r>
      <w:r w:rsidRPr="00CD5FDB" w:rsidR="19902A7E">
        <w:rPr>
          <w:szCs w:val="26"/>
        </w:rPr>
        <w:t xml:space="preserve"> </w:t>
      </w:r>
      <w:r w:rsidRPr="00CD5FDB">
        <w:rPr>
          <w:szCs w:val="26"/>
        </w:rPr>
        <w:t>Notice</w:t>
      </w:r>
      <w:r w:rsidRPr="00CD5FDB">
        <w:rPr>
          <w:szCs w:val="26"/>
        </w:rPr>
        <w:t xml:space="preserve"> of information collection and request for comments.</w:t>
      </w:r>
    </w:p>
    <w:p w:rsidR="00F86890" w:rsidRPr="00CD5FDB" w:rsidP="59CB70EE" w14:paraId="4D2FDC2C" w14:textId="372C4C98">
      <w:pPr>
        <w:spacing w:line="480" w:lineRule="auto"/>
        <w:rPr>
          <w:szCs w:val="26"/>
        </w:rPr>
      </w:pPr>
      <w:r w:rsidRPr="00CD5FDB">
        <w:rPr>
          <w:b/>
          <w:bCs/>
          <w:szCs w:val="26"/>
        </w:rPr>
        <w:t>SUMMARY:</w:t>
      </w:r>
      <w:r w:rsidRPr="00CD5FDB" w:rsidR="00932217">
        <w:rPr>
          <w:szCs w:val="26"/>
        </w:rPr>
        <w:t xml:space="preserve"> </w:t>
      </w:r>
      <w:r w:rsidRPr="00CD5FDB" w:rsidR="5ACC2226">
        <w:rPr>
          <w:szCs w:val="26"/>
        </w:rPr>
        <w:t xml:space="preserve"> </w:t>
      </w:r>
      <w:r w:rsidRPr="00CD5FDB" w:rsidR="001D4A7F">
        <w:rPr>
          <w:szCs w:val="26"/>
        </w:rPr>
        <w:t>In compliance with the requirements of the Paperwork Reduction Act of 1995, 44 USC 3507(a)(1)(D), the Federal Energy Regulatory Commission (Commission or FERC) is submitting its information collection FERC-1005:</w:t>
      </w:r>
      <w:r w:rsidRPr="00CD5FDB" w:rsidR="06CD2A97">
        <w:rPr>
          <w:szCs w:val="26"/>
        </w:rPr>
        <w:t xml:space="preserve"> </w:t>
      </w:r>
      <w:r w:rsidRPr="00CD5FDB" w:rsidR="29814597">
        <w:rPr>
          <w:szCs w:val="26"/>
        </w:rPr>
        <w:t xml:space="preserve"> </w:t>
      </w:r>
      <w:r w:rsidRPr="00CD5FDB" w:rsidR="001D4A7F">
        <w:rPr>
          <w:szCs w:val="26"/>
        </w:rPr>
        <w:t>Credit Related Information Sharing Between RTOs/ISOs to the Office of Management and Budget (OMB) for review of the information collection requirements.</w:t>
      </w:r>
      <w:r w:rsidRPr="00CD5FDB" w:rsidR="3F75A840">
        <w:rPr>
          <w:szCs w:val="26"/>
        </w:rPr>
        <w:t xml:space="preserve"> </w:t>
      </w:r>
      <w:r w:rsidRPr="00CD5FDB" w:rsidR="00F81960">
        <w:rPr>
          <w:szCs w:val="26"/>
        </w:rPr>
        <w:t xml:space="preserve"> </w:t>
      </w:r>
      <w:r w:rsidRPr="00CD5FDB" w:rsidR="6C3EC725">
        <w:rPr>
          <w:color w:val="000000" w:themeColor="text1"/>
          <w:szCs w:val="26"/>
        </w:rPr>
        <w:t xml:space="preserve">There are no proposed changes to the </w:t>
      </w:r>
      <w:r w:rsidRPr="00CD5FDB" w:rsidR="00097F33">
        <w:rPr>
          <w:color w:val="000000" w:themeColor="text1"/>
          <w:szCs w:val="26"/>
        </w:rPr>
        <w:t>information sharing</w:t>
      </w:r>
      <w:r w:rsidRPr="00CD5FDB" w:rsidR="6C3EC725">
        <w:rPr>
          <w:color w:val="000000" w:themeColor="text1"/>
          <w:szCs w:val="26"/>
        </w:rPr>
        <w:t xml:space="preserve"> requirement</w:t>
      </w:r>
      <w:r w:rsidRPr="00CD5FDB" w:rsidR="00097F33">
        <w:rPr>
          <w:color w:val="000000" w:themeColor="text1"/>
          <w:szCs w:val="26"/>
        </w:rPr>
        <w:t xml:space="preserve">, but the Commission is removing </w:t>
      </w:r>
      <w:r w:rsidRPr="00CD5FDB" w:rsidR="0078412E">
        <w:rPr>
          <w:color w:val="000000" w:themeColor="text1"/>
          <w:szCs w:val="26"/>
        </w:rPr>
        <w:t>a one-time information collection that has been completed.</w:t>
      </w:r>
      <w:r w:rsidRPr="00CD5FDB" w:rsidR="68CB2AB8">
        <w:rPr>
          <w:color w:val="000000" w:themeColor="text1"/>
          <w:szCs w:val="26"/>
        </w:rPr>
        <w:t xml:space="preserve"> </w:t>
      </w:r>
      <w:r w:rsidRPr="00CD5FDB" w:rsidR="0078412E">
        <w:rPr>
          <w:color w:val="000000" w:themeColor="text1"/>
          <w:szCs w:val="26"/>
        </w:rPr>
        <w:t xml:space="preserve"> </w:t>
      </w:r>
      <w:r w:rsidRPr="00CD5FDB" w:rsidR="7E9EFC63">
        <w:rPr>
          <w:color w:val="000000" w:themeColor="text1"/>
          <w:szCs w:val="26"/>
        </w:rPr>
        <w:t>There were no comments on the 60-day Federal Register Notice.</w:t>
      </w:r>
    </w:p>
    <w:p w:rsidR="740D4924" w:rsidRPr="00CD5FDB" w:rsidP="3D5AAB50" w14:paraId="6F41C539" w14:textId="55A9F326">
      <w:pPr>
        <w:spacing w:line="480" w:lineRule="auto"/>
        <w:rPr>
          <w:color w:val="000000" w:themeColor="text1"/>
          <w:szCs w:val="26"/>
        </w:rPr>
      </w:pPr>
      <w:r w:rsidRPr="00CD5FDB">
        <w:rPr>
          <w:b/>
          <w:bCs/>
          <w:color w:val="000000" w:themeColor="text1"/>
          <w:szCs w:val="26"/>
        </w:rPr>
        <w:t>DATES</w:t>
      </w:r>
      <w:r w:rsidRPr="00CD5FDB">
        <w:rPr>
          <w:b/>
          <w:bCs/>
          <w:color w:val="000000" w:themeColor="text1"/>
          <w:szCs w:val="26"/>
        </w:rPr>
        <w:t>:</w:t>
      </w:r>
      <w:r w:rsidRPr="00CD5FDB" w:rsidR="00932217">
        <w:rPr>
          <w:color w:val="000000" w:themeColor="text1"/>
          <w:szCs w:val="26"/>
        </w:rPr>
        <w:t xml:space="preserve"> </w:t>
      </w:r>
      <w:r w:rsidRPr="00CD5FDB" w:rsidR="49201353">
        <w:rPr>
          <w:color w:val="000000" w:themeColor="text1"/>
          <w:szCs w:val="26"/>
        </w:rPr>
        <w:t xml:space="preserve"> </w:t>
      </w:r>
      <w:r w:rsidRPr="00CD5FDB">
        <w:rPr>
          <w:color w:val="000000" w:themeColor="text1"/>
          <w:szCs w:val="26"/>
        </w:rPr>
        <w:t>Comments</w:t>
      </w:r>
      <w:r w:rsidRPr="00CD5FDB">
        <w:rPr>
          <w:color w:val="000000" w:themeColor="text1"/>
          <w:szCs w:val="26"/>
        </w:rPr>
        <w:t xml:space="preserve"> on the collections of information are due [</w:t>
      </w:r>
      <w:r w:rsidRPr="00CD5FDB">
        <w:rPr>
          <w:b/>
          <w:bCs/>
          <w:color w:val="000000" w:themeColor="text1"/>
          <w:szCs w:val="26"/>
        </w:rPr>
        <w:t xml:space="preserve">INSERT DATE </w:t>
      </w:r>
      <w:r w:rsidRPr="00CD5FDB" w:rsidR="00245DFB">
        <w:rPr>
          <w:b/>
          <w:bCs/>
          <w:color w:val="000000" w:themeColor="text1"/>
          <w:szCs w:val="26"/>
        </w:rPr>
        <w:t>3</w:t>
      </w:r>
      <w:r w:rsidRPr="00CD5FDB">
        <w:rPr>
          <w:b/>
          <w:bCs/>
          <w:color w:val="000000" w:themeColor="text1"/>
          <w:szCs w:val="26"/>
        </w:rPr>
        <w:t>0 DAYS AFTER DATE OF PUBLICATION IN THE FEDERAL REGISTER</w:t>
      </w:r>
      <w:r w:rsidRPr="00CD5FDB">
        <w:rPr>
          <w:color w:val="000000" w:themeColor="text1"/>
          <w:szCs w:val="26"/>
        </w:rPr>
        <w:t xml:space="preserve">]. </w:t>
      </w:r>
    </w:p>
    <w:p w:rsidR="00245DFB" w:rsidRPr="00CD5FDB" w:rsidP="59CB70EE" w14:paraId="4CF5EB60" w14:textId="6F77689C">
      <w:pPr>
        <w:spacing w:line="480" w:lineRule="auto"/>
        <w:rPr>
          <w:color w:val="000000" w:themeColor="text1"/>
          <w:szCs w:val="26"/>
        </w:rPr>
      </w:pPr>
      <w:r w:rsidRPr="00CD5FDB">
        <w:rPr>
          <w:b/>
          <w:bCs/>
          <w:color w:val="000000" w:themeColor="text1"/>
          <w:szCs w:val="26"/>
        </w:rPr>
        <w:t>ADDRESSES:</w:t>
      </w:r>
      <w:r w:rsidRPr="00CD5FDB" w:rsidR="00932217">
        <w:rPr>
          <w:color w:val="000000" w:themeColor="text1"/>
          <w:szCs w:val="26"/>
        </w:rPr>
        <w:t xml:space="preserve"> </w:t>
      </w:r>
      <w:r w:rsidRPr="00CD5FDB" w:rsidR="1245C591">
        <w:rPr>
          <w:color w:val="000000" w:themeColor="text1"/>
          <w:szCs w:val="26"/>
        </w:rPr>
        <w:t xml:space="preserve"> </w:t>
      </w:r>
      <w:r w:rsidRPr="00CD5FDB">
        <w:rPr>
          <w:color w:val="000000" w:themeColor="text1"/>
          <w:szCs w:val="26"/>
        </w:rPr>
        <w:t>Send written comments on FERC-1005 to OMB through </w:t>
      </w:r>
      <w:hyperlink r:id="rId11" w:history="1">
        <w:r w:rsidRPr="00CD5FDB">
          <w:rPr>
            <w:rStyle w:val="Hyperlink"/>
            <w:szCs w:val="26"/>
          </w:rPr>
          <w:t>https://www.reginfo.gov/public/do/PRA/icrPublicCommentRequest?ref_nbr=</w:t>
        </w:r>
        <w:r w:rsidRPr="00CD5FDB" w:rsidR="000753F9">
          <w:rPr>
            <w:rStyle w:val="Hyperlink"/>
            <w:szCs w:val="26"/>
            <w:shd w:val="clear" w:color="auto" w:fill="FFFFFF"/>
          </w:rPr>
          <w:t xml:space="preserve"> </w:t>
        </w:r>
        <w:r w:rsidRPr="00CD5FDB" w:rsidR="000753F9">
          <w:rPr>
            <w:rStyle w:val="Hyperlink"/>
            <w:szCs w:val="26"/>
          </w:rPr>
          <w:t>202604-1902-004</w:t>
        </w:r>
        <w:r w:rsidRPr="00CD5FDB" w:rsidR="0C70C202">
          <w:rPr>
            <w:rStyle w:val="Hyperlink"/>
            <w:szCs w:val="26"/>
          </w:rPr>
          <w:t>.</w:t>
        </w:r>
      </w:hyperlink>
      <w:r w:rsidRPr="00CD5FDB">
        <w:rPr>
          <w:color w:val="000000" w:themeColor="text1"/>
          <w:szCs w:val="26"/>
        </w:rPr>
        <w:t xml:space="preserve"> </w:t>
      </w:r>
      <w:r w:rsidRPr="00CD5FDB" w:rsidR="1CB1AE92">
        <w:rPr>
          <w:color w:val="000000" w:themeColor="text1"/>
          <w:szCs w:val="26"/>
        </w:rPr>
        <w:t xml:space="preserve"> </w:t>
      </w:r>
      <w:r w:rsidRPr="00CD5FDB">
        <w:rPr>
          <w:color w:val="000000" w:themeColor="text1"/>
          <w:szCs w:val="26"/>
        </w:rPr>
        <w:t>You can also visit </w:t>
      </w:r>
      <w:hyperlink r:id="rId12">
        <w:r w:rsidRPr="00CD5FDB">
          <w:rPr>
            <w:rStyle w:val="Hyperlink"/>
            <w:szCs w:val="26"/>
          </w:rPr>
          <w:t>https://www.reginfo.gov/public/do/PRAMain</w:t>
        </w:r>
      </w:hyperlink>
      <w:r w:rsidRPr="00CD5FDB">
        <w:rPr>
          <w:color w:val="000000" w:themeColor="text1"/>
          <w:szCs w:val="26"/>
        </w:rPr>
        <w:t xml:space="preserve"> and use the drop-down under “Currently under Review” to select the “Federal Energy </w:t>
      </w:r>
      <w:r w:rsidRPr="00CD5FDB">
        <w:rPr>
          <w:color w:val="000000" w:themeColor="text1"/>
          <w:szCs w:val="26"/>
        </w:rPr>
        <w:t>Regulatory Commission” where you can see the open opportunities to provide comments.</w:t>
      </w:r>
      <w:r w:rsidRPr="00CD5FDB" w:rsidR="075EFE9E">
        <w:rPr>
          <w:color w:val="000000" w:themeColor="text1"/>
          <w:szCs w:val="26"/>
        </w:rPr>
        <w:t xml:space="preserve"> </w:t>
      </w:r>
      <w:r w:rsidRPr="00CD5FDB">
        <w:rPr>
          <w:color w:val="000000" w:themeColor="text1"/>
          <w:szCs w:val="26"/>
        </w:rPr>
        <w:t xml:space="preserve"> Comments should be sent within 30 days of publication of this notice. </w:t>
      </w:r>
    </w:p>
    <w:p w:rsidR="00245DFB" w:rsidRPr="00CD5FDB" w:rsidP="3D5AAB50" w14:paraId="11538D08" w14:textId="78312CF9">
      <w:pPr>
        <w:numPr>
          <w:ilvl w:val="0"/>
          <w:numId w:val="6"/>
        </w:numPr>
        <w:tabs>
          <w:tab w:val="clear" w:pos="720"/>
        </w:tabs>
        <w:spacing w:line="480" w:lineRule="auto"/>
        <w:rPr>
          <w:color w:val="000000" w:themeColor="text1"/>
          <w:szCs w:val="26"/>
        </w:rPr>
      </w:pPr>
      <w:r w:rsidRPr="00CD5FDB">
        <w:rPr>
          <w:color w:val="000000" w:themeColor="text1"/>
          <w:szCs w:val="26"/>
        </w:rPr>
        <w:t>Please submit a copy of your comments to the Commission via email to </w:t>
      </w:r>
      <w:hyperlink r:id="rId13">
        <w:r w:rsidRPr="00CD5FDB">
          <w:rPr>
            <w:rStyle w:val="Hyperlink"/>
            <w:szCs w:val="26"/>
          </w:rPr>
          <w:t>DataClearance@FERC.gov</w:t>
        </w:r>
      </w:hyperlink>
      <w:r w:rsidRPr="00CD5FDB">
        <w:rPr>
          <w:color w:val="000000" w:themeColor="text1"/>
          <w:szCs w:val="26"/>
        </w:rPr>
        <w:t>.</w:t>
      </w:r>
      <w:r w:rsidRPr="00CD5FDB" w:rsidR="0C095F57">
        <w:rPr>
          <w:color w:val="000000" w:themeColor="text1"/>
          <w:szCs w:val="26"/>
        </w:rPr>
        <w:t xml:space="preserve"> </w:t>
      </w:r>
      <w:r w:rsidRPr="00CD5FDB">
        <w:rPr>
          <w:color w:val="000000" w:themeColor="text1"/>
          <w:szCs w:val="26"/>
        </w:rPr>
        <w:t xml:space="preserve"> You must specify </w:t>
      </w:r>
      <w:r w:rsidRPr="00CD5FDB">
        <w:rPr>
          <w:color w:val="000000" w:themeColor="text1"/>
          <w:szCs w:val="26"/>
        </w:rPr>
        <w:t>the Docket</w:t>
      </w:r>
      <w:r w:rsidRPr="00CD5FDB">
        <w:rPr>
          <w:color w:val="000000" w:themeColor="text1"/>
          <w:szCs w:val="26"/>
        </w:rPr>
        <w:t xml:space="preserve"> No. (</w:t>
      </w:r>
      <w:r w:rsidRPr="00CD5FDB" w:rsidR="000A0BCF">
        <w:rPr>
          <w:szCs w:val="26"/>
        </w:rPr>
        <w:t>IC26-28-000</w:t>
      </w:r>
      <w:r w:rsidRPr="00CD5FDB">
        <w:rPr>
          <w:color w:val="000000" w:themeColor="text1"/>
          <w:szCs w:val="26"/>
        </w:rPr>
        <w:t>) and the FERC Information Collection number (FERC-1</w:t>
      </w:r>
      <w:r w:rsidRPr="00CD5FDB" w:rsidR="000A0BCF">
        <w:rPr>
          <w:color w:val="000000" w:themeColor="text1"/>
          <w:szCs w:val="26"/>
        </w:rPr>
        <w:t>005</w:t>
      </w:r>
      <w:r w:rsidRPr="00CD5FDB">
        <w:rPr>
          <w:color w:val="000000" w:themeColor="text1"/>
          <w:szCs w:val="26"/>
        </w:rPr>
        <w:t xml:space="preserve">) in your email. </w:t>
      </w:r>
      <w:r w:rsidRPr="00CD5FDB" w:rsidR="22BB2A40">
        <w:rPr>
          <w:color w:val="000000" w:themeColor="text1"/>
          <w:szCs w:val="26"/>
        </w:rPr>
        <w:t xml:space="preserve"> </w:t>
      </w:r>
      <w:r w:rsidRPr="00CD5FDB">
        <w:rPr>
          <w:color w:val="000000" w:themeColor="text1"/>
          <w:szCs w:val="26"/>
        </w:rPr>
        <w:t>If you are unable to file electronically, comments may be filed by USPS mail or by hand (including courier) delivery: </w:t>
      </w:r>
    </w:p>
    <w:p w:rsidR="00245DFB" w:rsidRPr="00CD5FDB" w:rsidP="3D5AAB50" w14:paraId="4D562680" w14:textId="463F74A9">
      <w:pPr>
        <w:numPr>
          <w:ilvl w:val="0"/>
          <w:numId w:val="5"/>
        </w:numPr>
        <w:spacing w:line="480" w:lineRule="auto"/>
        <w:rPr>
          <w:color w:val="000000" w:themeColor="text1"/>
          <w:szCs w:val="26"/>
        </w:rPr>
      </w:pPr>
      <w:r w:rsidRPr="00CD5FDB">
        <w:rPr>
          <w:color w:val="000000" w:themeColor="text1"/>
          <w:szCs w:val="26"/>
        </w:rPr>
        <w:t xml:space="preserve">Mail via U.S. Postal Service Only: </w:t>
      </w:r>
      <w:r w:rsidRPr="00CD5FDB" w:rsidR="371FC614">
        <w:rPr>
          <w:color w:val="000000" w:themeColor="text1"/>
          <w:szCs w:val="26"/>
        </w:rPr>
        <w:t xml:space="preserve"> </w:t>
      </w:r>
      <w:r w:rsidRPr="00CD5FDB">
        <w:rPr>
          <w:color w:val="000000" w:themeColor="text1"/>
          <w:szCs w:val="26"/>
        </w:rPr>
        <w:t>Federal Energy Regulatory Commission, Secretary of the Commission, 888 First Street, N.E., Washington, DC 20426. </w:t>
      </w:r>
    </w:p>
    <w:p w:rsidR="740D4924" w:rsidRPr="00CD5FDB" w:rsidP="3D5AAB50" w14:paraId="16D4AAD1" w14:textId="53323B2D">
      <w:pPr>
        <w:numPr>
          <w:ilvl w:val="0"/>
          <w:numId w:val="6"/>
        </w:numPr>
        <w:spacing w:line="480" w:lineRule="auto"/>
        <w:rPr>
          <w:color w:val="000000" w:themeColor="text1"/>
          <w:szCs w:val="26"/>
        </w:rPr>
      </w:pPr>
      <w:r w:rsidRPr="00CD5FDB">
        <w:rPr>
          <w:color w:val="000000" w:themeColor="text1"/>
          <w:szCs w:val="26"/>
        </w:rPr>
        <w:t>All other delivery methods</w:t>
      </w:r>
      <w:r w:rsidRPr="00CD5FDB">
        <w:rPr>
          <w:color w:val="000000" w:themeColor="text1"/>
          <w:szCs w:val="26"/>
        </w:rPr>
        <w:t>:</w:t>
      </w:r>
      <w:r w:rsidRPr="00CD5FDB" w:rsidR="4F845063">
        <w:rPr>
          <w:color w:val="000000" w:themeColor="text1"/>
          <w:szCs w:val="26"/>
        </w:rPr>
        <w:t xml:space="preserve"> </w:t>
      </w:r>
      <w:r w:rsidRPr="00CD5FDB">
        <w:rPr>
          <w:color w:val="000000" w:themeColor="text1"/>
          <w:szCs w:val="26"/>
        </w:rPr>
        <w:t xml:space="preserve"> Federal</w:t>
      </w:r>
      <w:r w:rsidRPr="00CD5FDB">
        <w:rPr>
          <w:color w:val="000000" w:themeColor="text1"/>
          <w:szCs w:val="26"/>
        </w:rPr>
        <w:t xml:space="preserve"> Energy Regulatory Commission, Secretary of the Commission, 12225 Wilkins Avenue, Rockville, MD 20852. </w:t>
      </w:r>
    </w:p>
    <w:p w:rsidR="740D4924" w:rsidRPr="00CD5FDB" w:rsidP="3D5AAB50" w14:paraId="6A9D81C1" w14:textId="55247AB2">
      <w:pPr>
        <w:spacing w:line="480" w:lineRule="auto"/>
        <w:rPr>
          <w:color w:val="000000" w:themeColor="text1"/>
          <w:szCs w:val="26"/>
        </w:rPr>
      </w:pPr>
      <w:r w:rsidRPr="00CD5FDB">
        <w:rPr>
          <w:i/>
          <w:iCs/>
          <w:color w:val="000000" w:themeColor="text1"/>
          <w:szCs w:val="26"/>
        </w:rPr>
        <w:t>Docket:</w:t>
      </w:r>
      <w:r w:rsidRPr="00CD5FDB" w:rsidR="00932217">
        <w:rPr>
          <w:color w:val="000000" w:themeColor="text1"/>
          <w:szCs w:val="26"/>
        </w:rPr>
        <w:t xml:space="preserve"> </w:t>
      </w:r>
      <w:r w:rsidRPr="00CD5FDB" w:rsidR="4D5A3131">
        <w:rPr>
          <w:color w:val="000000" w:themeColor="text1"/>
          <w:szCs w:val="26"/>
        </w:rPr>
        <w:t xml:space="preserve"> </w:t>
      </w:r>
      <w:r w:rsidRPr="00CD5FDB">
        <w:rPr>
          <w:color w:val="000000" w:themeColor="text1"/>
          <w:szCs w:val="26"/>
        </w:rPr>
        <w:t xml:space="preserve">To view comments and issuances in this docket, please visit </w:t>
      </w:r>
      <w:hyperlink r:id="rId14">
        <w:r w:rsidRPr="00CD5FDB">
          <w:rPr>
            <w:rStyle w:val="Hyperlink"/>
            <w:szCs w:val="26"/>
          </w:rPr>
          <w:t>https://elibrary.ferc.gov/eLibrary/search</w:t>
        </w:r>
      </w:hyperlink>
      <w:r w:rsidRPr="00CD5FDB">
        <w:rPr>
          <w:color w:val="000000" w:themeColor="text1"/>
          <w:szCs w:val="26"/>
        </w:rPr>
        <w:t>.</w:t>
      </w:r>
    </w:p>
    <w:p w:rsidR="740D4924" w:rsidRPr="00CD5FDB" w:rsidP="3D5AAB50" w14:paraId="6720A0BA" w14:textId="5B4CC2B1">
      <w:pPr>
        <w:spacing w:line="480" w:lineRule="auto"/>
        <w:rPr>
          <w:color w:val="000000" w:themeColor="text1"/>
          <w:szCs w:val="26"/>
        </w:rPr>
      </w:pPr>
      <w:r w:rsidRPr="00CD5FDB">
        <w:rPr>
          <w:b/>
          <w:bCs/>
          <w:color w:val="000000" w:themeColor="text1"/>
          <w:szCs w:val="26"/>
        </w:rPr>
        <w:t>FOR FURTHER INFORMATION:</w:t>
      </w:r>
      <w:r w:rsidRPr="00CD5FDB" w:rsidR="00932217">
        <w:rPr>
          <w:color w:val="000000" w:themeColor="text1"/>
          <w:szCs w:val="26"/>
        </w:rPr>
        <w:t xml:space="preserve"> </w:t>
      </w:r>
      <w:r w:rsidRPr="00CD5FDB" w:rsidR="113308A1">
        <w:rPr>
          <w:color w:val="000000" w:themeColor="text1"/>
          <w:szCs w:val="26"/>
        </w:rPr>
        <w:t xml:space="preserve"> </w:t>
      </w:r>
      <w:r w:rsidRPr="00CD5FDB">
        <w:rPr>
          <w:color w:val="000000" w:themeColor="text1"/>
          <w:szCs w:val="26"/>
        </w:rPr>
        <w:t xml:space="preserve">Kayla Williams may be reached by e-mail at </w:t>
      </w:r>
      <w:hyperlink r:id="rId13">
        <w:r w:rsidRPr="00CD5FDB">
          <w:rPr>
            <w:rStyle w:val="Hyperlink"/>
            <w:szCs w:val="26"/>
          </w:rPr>
          <w:t>DataClearance@FERC.gov</w:t>
        </w:r>
      </w:hyperlink>
      <w:r w:rsidRPr="00CD5FDB">
        <w:rPr>
          <w:color w:val="000000" w:themeColor="text1"/>
          <w:szCs w:val="26"/>
        </w:rPr>
        <w:t>, or by telephone at (202)502-6468.</w:t>
      </w:r>
    </w:p>
    <w:p w:rsidR="00C056FE" w:rsidRPr="00CD5FDB" w:rsidP="549EAD48" w14:paraId="20207DF2" w14:textId="78C344BB">
      <w:pPr>
        <w:spacing w:line="480" w:lineRule="auto"/>
        <w:rPr>
          <w:szCs w:val="26"/>
        </w:rPr>
      </w:pPr>
      <w:r w:rsidRPr="00CD5FDB">
        <w:rPr>
          <w:szCs w:val="26"/>
        </w:rPr>
        <w:t xml:space="preserve"> </w:t>
      </w:r>
      <w:r w:rsidRPr="00CD5FDB">
        <w:rPr>
          <w:b/>
          <w:bCs/>
          <w:szCs w:val="26"/>
        </w:rPr>
        <w:t>SUPPLEMENTARY INFORMATION:</w:t>
      </w:r>
      <w:r w:rsidRPr="00CD5FDB" w:rsidR="00932217">
        <w:rPr>
          <w:szCs w:val="26"/>
        </w:rPr>
        <w:t xml:space="preserve"> </w:t>
      </w:r>
    </w:p>
    <w:p w:rsidR="00C056FE" w:rsidRPr="00CD5FDB" w:rsidP="3D5AAB50" w14:paraId="198C6D21" w14:textId="3EE259E2">
      <w:pPr>
        <w:spacing w:line="480" w:lineRule="auto"/>
        <w:rPr>
          <w:i/>
          <w:iCs/>
          <w:szCs w:val="26"/>
        </w:rPr>
      </w:pPr>
      <w:r w:rsidRPr="00CD5FDB">
        <w:rPr>
          <w:i/>
          <w:iCs/>
          <w:szCs w:val="26"/>
        </w:rPr>
        <w:t>Title</w:t>
      </w:r>
      <w:r w:rsidRPr="00CD5FDB">
        <w:rPr>
          <w:i/>
          <w:iCs/>
          <w:szCs w:val="26"/>
        </w:rPr>
        <w:t>:</w:t>
      </w:r>
      <w:r w:rsidRPr="00CD5FDB" w:rsidR="00932217">
        <w:rPr>
          <w:i/>
          <w:iCs/>
          <w:szCs w:val="26"/>
        </w:rPr>
        <w:t xml:space="preserve"> </w:t>
      </w:r>
      <w:r w:rsidRPr="00CD5FDB" w:rsidR="40556873">
        <w:rPr>
          <w:i/>
          <w:iCs/>
          <w:szCs w:val="26"/>
        </w:rPr>
        <w:t xml:space="preserve"> </w:t>
      </w:r>
      <w:r w:rsidRPr="00CD5FDB" w:rsidR="00E857B8">
        <w:rPr>
          <w:szCs w:val="26"/>
        </w:rPr>
        <w:t>Credit</w:t>
      </w:r>
      <w:r w:rsidRPr="00CD5FDB" w:rsidR="00E857B8">
        <w:rPr>
          <w:szCs w:val="26"/>
        </w:rPr>
        <w:t xml:space="preserve"> Related Information Sharing Between RTOs/ISOs</w:t>
      </w:r>
    </w:p>
    <w:p w:rsidR="00C056FE" w:rsidRPr="00CD5FDB" w:rsidP="3D5AAB50" w14:paraId="3B435804" w14:textId="333EA133">
      <w:pPr>
        <w:spacing w:line="480" w:lineRule="auto"/>
        <w:rPr>
          <w:szCs w:val="26"/>
        </w:rPr>
      </w:pPr>
      <w:r w:rsidRPr="00CD5FDB">
        <w:rPr>
          <w:i/>
          <w:iCs/>
          <w:szCs w:val="26"/>
        </w:rPr>
        <w:t>OMB Control No.</w:t>
      </w:r>
      <w:r w:rsidRPr="00CD5FDB">
        <w:rPr>
          <w:i/>
          <w:iCs/>
          <w:szCs w:val="26"/>
        </w:rPr>
        <w:t>:</w:t>
      </w:r>
      <w:r w:rsidRPr="00CD5FDB" w:rsidR="00932217">
        <w:rPr>
          <w:szCs w:val="26"/>
        </w:rPr>
        <w:t xml:space="preserve"> </w:t>
      </w:r>
      <w:r w:rsidRPr="00CD5FDB" w:rsidR="40556873">
        <w:rPr>
          <w:szCs w:val="26"/>
        </w:rPr>
        <w:t xml:space="preserve"> </w:t>
      </w:r>
      <w:r w:rsidRPr="00CD5FDB" w:rsidR="00B3547F">
        <w:rPr>
          <w:szCs w:val="26"/>
        </w:rPr>
        <w:t>1902</w:t>
      </w:r>
      <w:r w:rsidRPr="00CD5FDB" w:rsidR="00B3547F">
        <w:rPr>
          <w:szCs w:val="26"/>
        </w:rPr>
        <w:t>-0325</w:t>
      </w:r>
    </w:p>
    <w:p w:rsidR="00C056FE" w:rsidRPr="00CD5FDB" w:rsidP="3D5AAB50" w14:paraId="219460CE" w14:textId="7471E700">
      <w:pPr>
        <w:spacing w:line="480" w:lineRule="auto"/>
        <w:rPr>
          <w:szCs w:val="26"/>
        </w:rPr>
      </w:pPr>
      <w:r w:rsidRPr="00CD5FDB">
        <w:rPr>
          <w:i/>
          <w:iCs/>
          <w:szCs w:val="26"/>
        </w:rPr>
        <w:t>Type of Request</w:t>
      </w:r>
      <w:r w:rsidRPr="00CD5FDB">
        <w:rPr>
          <w:i/>
          <w:iCs/>
          <w:szCs w:val="26"/>
        </w:rPr>
        <w:t>:</w:t>
      </w:r>
      <w:r w:rsidRPr="00CD5FDB" w:rsidR="00932217">
        <w:rPr>
          <w:szCs w:val="26"/>
        </w:rPr>
        <w:t xml:space="preserve"> </w:t>
      </w:r>
      <w:r w:rsidRPr="00CD5FDB" w:rsidR="41908E33">
        <w:rPr>
          <w:szCs w:val="26"/>
        </w:rPr>
        <w:t xml:space="preserve"> </w:t>
      </w:r>
      <w:r w:rsidRPr="00CD5FDB">
        <w:rPr>
          <w:szCs w:val="26"/>
        </w:rPr>
        <w:t>Three</w:t>
      </w:r>
      <w:r w:rsidRPr="00CD5FDB">
        <w:rPr>
          <w:szCs w:val="26"/>
        </w:rPr>
        <w:t>-year extension of the FERC-</w:t>
      </w:r>
      <w:r w:rsidRPr="00CD5FDB" w:rsidR="00B3547F">
        <w:rPr>
          <w:szCs w:val="26"/>
        </w:rPr>
        <w:t>1005</w:t>
      </w:r>
      <w:r w:rsidRPr="00CD5FDB">
        <w:rPr>
          <w:szCs w:val="26"/>
        </w:rPr>
        <w:t xml:space="preserve"> information collection </w:t>
      </w:r>
      <w:r w:rsidRPr="00CD5FDB" w:rsidR="009447D3">
        <w:rPr>
          <w:szCs w:val="26"/>
        </w:rPr>
        <w:t xml:space="preserve">requirements with no changes to the </w:t>
      </w:r>
      <w:r w:rsidRPr="00CD5FDB" w:rsidR="4459479F">
        <w:rPr>
          <w:szCs w:val="26"/>
        </w:rPr>
        <w:t xml:space="preserve">on-going </w:t>
      </w:r>
      <w:r w:rsidRPr="00CD5FDB" w:rsidR="009447D3">
        <w:rPr>
          <w:szCs w:val="26"/>
        </w:rPr>
        <w:t xml:space="preserve">reporting requirements. </w:t>
      </w:r>
    </w:p>
    <w:p w:rsidR="00C54034" w:rsidRPr="00CD5FDB" w:rsidP="59CB70EE" w14:paraId="020FA0E8" w14:textId="1BD8E5B4">
      <w:pPr>
        <w:spacing w:line="480" w:lineRule="auto"/>
        <w:rPr>
          <w:szCs w:val="26"/>
        </w:rPr>
      </w:pPr>
      <w:r w:rsidRPr="00CD5FDB">
        <w:rPr>
          <w:i/>
          <w:iCs/>
          <w:szCs w:val="26"/>
        </w:rPr>
        <w:t>Abstract</w:t>
      </w:r>
      <w:r w:rsidRPr="00CD5FDB">
        <w:rPr>
          <w:i/>
          <w:iCs/>
          <w:szCs w:val="26"/>
        </w:rPr>
        <w:t>:</w:t>
      </w:r>
      <w:r w:rsidRPr="00CD5FDB" w:rsidR="00932217">
        <w:rPr>
          <w:i/>
          <w:iCs/>
          <w:szCs w:val="26"/>
        </w:rPr>
        <w:t xml:space="preserve"> </w:t>
      </w:r>
      <w:r w:rsidRPr="00CD5FDB" w:rsidR="1281FCA3">
        <w:rPr>
          <w:i/>
          <w:iCs/>
          <w:szCs w:val="26"/>
        </w:rPr>
        <w:t xml:space="preserve"> </w:t>
      </w:r>
      <w:r w:rsidRPr="00CD5FDB" w:rsidR="00930B08">
        <w:rPr>
          <w:szCs w:val="26"/>
        </w:rPr>
        <w:t>In</w:t>
      </w:r>
      <w:r w:rsidRPr="00CD5FDB" w:rsidR="00930B08">
        <w:rPr>
          <w:szCs w:val="26"/>
        </w:rPr>
        <w:t xml:space="preserve"> 202</w:t>
      </w:r>
      <w:r w:rsidRPr="00CD5FDB" w:rsidR="00D867E0">
        <w:rPr>
          <w:szCs w:val="26"/>
        </w:rPr>
        <w:t>3,</w:t>
      </w:r>
      <w:r w:rsidRPr="00CD5FDB" w:rsidR="00D867E0">
        <w:rPr>
          <w:i/>
          <w:iCs/>
          <w:szCs w:val="26"/>
        </w:rPr>
        <w:t xml:space="preserve"> </w:t>
      </w:r>
      <w:r w:rsidRPr="00CD5FDB" w:rsidR="00930B08">
        <w:rPr>
          <w:szCs w:val="26"/>
        </w:rPr>
        <w:t>FERC issued the Final Rule in Docket No. RM22-13-000 for RTOs/ISOs to share credit</w:t>
      </w:r>
      <w:r w:rsidRPr="00CD5FDB" w:rsidR="000508FA">
        <w:rPr>
          <w:szCs w:val="26"/>
        </w:rPr>
        <w:t>-</w:t>
      </w:r>
      <w:r w:rsidRPr="00CD5FDB" w:rsidR="00930B08">
        <w:rPr>
          <w:szCs w:val="26"/>
        </w:rPr>
        <w:t xml:space="preserve">related information with each other to </w:t>
      </w:r>
      <w:r w:rsidRPr="00CD5FDB" w:rsidR="00E27E54">
        <w:rPr>
          <w:szCs w:val="26"/>
        </w:rPr>
        <w:t xml:space="preserve">improve their ability to </w:t>
      </w:r>
      <w:r w:rsidRPr="00CD5FDB" w:rsidR="00E27E54">
        <w:rPr>
          <w:szCs w:val="26"/>
        </w:rPr>
        <w:t xml:space="preserve">accurately assess market participants' credit exposure and risks related to their activities across organized wholesale electric markets. </w:t>
      </w:r>
      <w:r w:rsidRPr="00CD5FDB" w:rsidR="77190921">
        <w:rPr>
          <w:szCs w:val="26"/>
        </w:rPr>
        <w:t xml:space="preserve"> </w:t>
      </w:r>
      <w:r w:rsidRPr="00CD5FDB" w:rsidR="00E27E54">
        <w:rPr>
          <w:szCs w:val="26"/>
        </w:rPr>
        <w:t>The ability to share such information also enable</w:t>
      </w:r>
      <w:r w:rsidRPr="00CD5FDB" w:rsidR="00737CBA">
        <w:rPr>
          <w:szCs w:val="26"/>
        </w:rPr>
        <w:t>s</w:t>
      </w:r>
      <w:r w:rsidRPr="00CD5FDB" w:rsidR="00E27E54">
        <w:rPr>
          <w:szCs w:val="26"/>
        </w:rPr>
        <w:t xml:space="preserve"> RTOs/ISOs to respond to credit events more quickly and effectively, minimizing the overall credit-related risks of unexpected defaults by market participants in organized wholesale electric markets</w:t>
      </w:r>
      <w:r w:rsidRPr="00CD5FDB" w:rsidR="003B524D">
        <w:rPr>
          <w:szCs w:val="26"/>
        </w:rPr>
        <w:t>.</w:t>
      </w:r>
      <w:r w:rsidRPr="00CD5FDB" w:rsidR="00932217">
        <w:rPr>
          <w:szCs w:val="26"/>
        </w:rPr>
        <w:t xml:space="preserve"> </w:t>
      </w:r>
      <w:r w:rsidRPr="00CD5FDB" w:rsidR="002C44F5">
        <w:rPr>
          <w:szCs w:val="26"/>
        </w:rPr>
        <w:t xml:space="preserve">Examples of </w:t>
      </w:r>
      <w:r w:rsidRPr="00CD5FDB" w:rsidR="00A55CCE">
        <w:rPr>
          <w:szCs w:val="26"/>
        </w:rPr>
        <w:t xml:space="preserve">the types of information RTOs/ISOs are allowed include: </w:t>
      </w:r>
      <w:r w:rsidRPr="00CD5FDB" w:rsidR="03E9AA87">
        <w:rPr>
          <w:szCs w:val="26"/>
        </w:rPr>
        <w:t xml:space="preserve"> </w:t>
      </w:r>
      <w:r w:rsidRPr="00CD5FDB" w:rsidR="00A55CCE">
        <w:rPr>
          <w:szCs w:val="26"/>
        </w:rPr>
        <w:t>(1) lists of market participants with positions in that market; (2) reports and metrics around risk and credit exposures; (3) disclosure that a market participant or affiliate has defaulted on any of its financial or contractual obligations, failed to pay invoices on a timely basis, or failed to meet a collateral call; (4) information regarding a market participant's or its affiliate's unresolved credit/collateral issues; (5) information indicating that a market participant or its affiliate has an increased risk of default, such as instances where a market participant or its affiliate has experienced a material adverse condition or material adverse change under an RTO/ISO OATT or related agreement; and (6) any other information on a market participant or its affiliate that indicates a possible material adverse change in creditworthiness or financial status or an unreasonable credit risk.</w:t>
      </w:r>
      <w:r w:rsidRPr="00CD5FDB" w:rsidR="001F5544">
        <w:rPr>
          <w:szCs w:val="26"/>
        </w:rPr>
        <w:t xml:space="preserve"> </w:t>
      </w:r>
    </w:p>
    <w:p w:rsidR="00F50EDA" w:rsidRPr="00CD5FDB" w:rsidP="001A5D2B" w14:paraId="54528006" w14:textId="6C7E0158">
      <w:pPr>
        <w:spacing w:line="480" w:lineRule="auto"/>
        <w:ind w:firstLine="720"/>
        <w:rPr>
          <w:szCs w:val="26"/>
        </w:rPr>
      </w:pPr>
      <w:r w:rsidRPr="00CD5FDB">
        <w:rPr>
          <w:szCs w:val="26"/>
        </w:rPr>
        <w:t>The rule d</w:t>
      </w:r>
      <w:r w:rsidRPr="00CD5FDB" w:rsidR="00D17D20">
        <w:rPr>
          <w:szCs w:val="26"/>
        </w:rPr>
        <w:t>id</w:t>
      </w:r>
      <w:r w:rsidRPr="00CD5FDB">
        <w:rPr>
          <w:szCs w:val="26"/>
        </w:rPr>
        <w:t xml:space="preserve"> not create an information collection that is submitted to FERC, rather it permits RTOs/ISOs</w:t>
      </w:r>
      <w:r w:rsidRPr="00CD5FDB" w:rsidR="005A6969">
        <w:rPr>
          <w:szCs w:val="26"/>
        </w:rPr>
        <w:t xml:space="preserve"> to share information</w:t>
      </w:r>
      <w:r w:rsidRPr="00CD5FDB">
        <w:rPr>
          <w:szCs w:val="26"/>
        </w:rPr>
        <w:t xml:space="preserve"> and direct</w:t>
      </w:r>
      <w:r w:rsidRPr="00CD5FDB" w:rsidR="005A6969">
        <w:rPr>
          <w:szCs w:val="26"/>
        </w:rPr>
        <w:t>ed</w:t>
      </w:r>
      <w:r w:rsidRPr="00CD5FDB">
        <w:rPr>
          <w:szCs w:val="26"/>
        </w:rPr>
        <w:t xml:space="preserve"> RTOs/ISOs to update their tariff provisions</w:t>
      </w:r>
      <w:r w:rsidRPr="00CD5FDB" w:rsidR="00D867E0">
        <w:rPr>
          <w:szCs w:val="26"/>
        </w:rPr>
        <w:t xml:space="preserve"> </w:t>
      </w:r>
      <w:r w:rsidRPr="00CD5FDB" w:rsidR="00FA39C7">
        <w:rPr>
          <w:szCs w:val="26"/>
        </w:rPr>
        <w:t>to include processes and procedures to do so</w:t>
      </w:r>
      <w:r w:rsidRPr="00CD5FDB">
        <w:rPr>
          <w:szCs w:val="26"/>
        </w:rPr>
        <w:t>.</w:t>
      </w:r>
      <w:r w:rsidRPr="00CD5FDB" w:rsidR="31954E2E">
        <w:rPr>
          <w:szCs w:val="26"/>
        </w:rPr>
        <w:t xml:space="preserve"> </w:t>
      </w:r>
      <w:r w:rsidRPr="00CD5FDB" w:rsidR="00932217">
        <w:rPr>
          <w:szCs w:val="26"/>
        </w:rPr>
        <w:t xml:space="preserve"> </w:t>
      </w:r>
      <w:r w:rsidRPr="00CD5FDB" w:rsidR="00FA39C7">
        <w:rPr>
          <w:szCs w:val="26"/>
        </w:rPr>
        <w:t xml:space="preserve">This process has been completed, which is why the Commission is removing the </w:t>
      </w:r>
      <w:r w:rsidRPr="00CD5FDB" w:rsidR="0055161C">
        <w:rPr>
          <w:szCs w:val="26"/>
        </w:rPr>
        <w:t>burden related to this action.</w:t>
      </w:r>
      <w:r w:rsidRPr="00CD5FDB" w:rsidR="00932217">
        <w:rPr>
          <w:szCs w:val="26"/>
        </w:rPr>
        <w:t xml:space="preserve"> </w:t>
      </w:r>
      <w:r w:rsidRPr="00CD5FDB" w:rsidR="61A072D3">
        <w:rPr>
          <w:szCs w:val="26"/>
        </w:rPr>
        <w:t xml:space="preserve"> </w:t>
      </w:r>
      <w:r w:rsidRPr="00CD5FDB">
        <w:rPr>
          <w:szCs w:val="26"/>
        </w:rPr>
        <w:t xml:space="preserve">The </w:t>
      </w:r>
      <w:r w:rsidRPr="00CD5FDB" w:rsidR="002626D9">
        <w:rPr>
          <w:szCs w:val="26"/>
        </w:rPr>
        <w:t xml:space="preserve">remaining burden is </w:t>
      </w:r>
      <w:r w:rsidRPr="00CD5FDB">
        <w:rPr>
          <w:szCs w:val="26"/>
        </w:rPr>
        <w:t>associated with facilitating the information sharing between entities</w:t>
      </w:r>
      <w:r w:rsidRPr="00CD5FDB" w:rsidR="002626D9">
        <w:rPr>
          <w:szCs w:val="26"/>
        </w:rPr>
        <w:t xml:space="preserve"> in accordance </w:t>
      </w:r>
      <w:r w:rsidRPr="00CD5FDB" w:rsidR="3207E057">
        <w:rPr>
          <w:szCs w:val="26"/>
        </w:rPr>
        <w:t>with</w:t>
      </w:r>
      <w:r w:rsidRPr="00CD5FDB" w:rsidR="002626D9">
        <w:rPr>
          <w:szCs w:val="26"/>
        </w:rPr>
        <w:t xml:space="preserve"> each RTO</w:t>
      </w:r>
      <w:r w:rsidRPr="00CD5FDB" w:rsidR="00932217">
        <w:rPr>
          <w:szCs w:val="26"/>
        </w:rPr>
        <w:t>’</w:t>
      </w:r>
      <w:r w:rsidRPr="00CD5FDB" w:rsidR="00EC402B">
        <w:rPr>
          <w:szCs w:val="26"/>
        </w:rPr>
        <w:t>s/ISO</w:t>
      </w:r>
      <w:r w:rsidRPr="00CD5FDB" w:rsidR="00932217">
        <w:rPr>
          <w:szCs w:val="26"/>
        </w:rPr>
        <w:t>’</w:t>
      </w:r>
      <w:r w:rsidRPr="00CD5FDB" w:rsidR="00EC402B">
        <w:rPr>
          <w:szCs w:val="26"/>
        </w:rPr>
        <w:t>s processes and procedures</w:t>
      </w:r>
      <w:r w:rsidRPr="00CD5FDB">
        <w:rPr>
          <w:szCs w:val="26"/>
        </w:rPr>
        <w:t>.</w:t>
      </w:r>
    </w:p>
    <w:p w:rsidR="009679E3" w:rsidRPr="00CD5FDB" w:rsidP="3D5AAB50" w14:paraId="7C064110" w14:textId="73BA10A5">
      <w:pPr>
        <w:spacing w:line="480" w:lineRule="auto"/>
        <w:rPr>
          <w:szCs w:val="26"/>
        </w:rPr>
      </w:pPr>
      <w:r w:rsidRPr="00CD5FDB">
        <w:rPr>
          <w:i/>
          <w:iCs/>
          <w:szCs w:val="26"/>
        </w:rPr>
        <w:t>Type of Respondents</w:t>
      </w:r>
      <w:r w:rsidRPr="00CD5FDB">
        <w:rPr>
          <w:i/>
          <w:iCs/>
          <w:szCs w:val="26"/>
        </w:rPr>
        <w:t>:</w:t>
      </w:r>
      <w:r w:rsidRPr="00CD5FDB" w:rsidR="00932217">
        <w:rPr>
          <w:i/>
          <w:iCs/>
          <w:szCs w:val="26"/>
        </w:rPr>
        <w:t xml:space="preserve"> </w:t>
      </w:r>
      <w:r w:rsidRPr="00CD5FDB" w:rsidR="463875D4">
        <w:rPr>
          <w:i/>
          <w:iCs/>
          <w:szCs w:val="26"/>
        </w:rPr>
        <w:t xml:space="preserve"> </w:t>
      </w:r>
      <w:r w:rsidRPr="00CD5FDB" w:rsidR="00703316">
        <w:rPr>
          <w:szCs w:val="26"/>
        </w:rPr>
        <w:t>RTOs</w:t>
      </w:r>
      <w:r w:rsidRPr="00CD5FDB" w:rsidR="00703316">
        <w:rPr>
          <w:szCs w:val="26"/>
        </w:rPr>
        <w:t>/ISOs</w:t>
      </w:r>
      <w:r w:rsidRPr="00CD5FDB">
        <w:rPr>
          <w:szCs w:val="26"/>
        </w:rPr>
        <w:t xml:space="preserve"> </w:t>
      </w:r>
    </w:p>
    <w:p w:rsidR="00696A1D" w:rsidRPr="00CD5FDB" w:rsidP="3D5AAB50" w14:paraId="16FB0FAE" w14:textId="0ED2713B">
      <w:pPr>
        <w:spacing w:line="480" w:lineRule="auto"/>
        <w:rPr>
          <w:szCs w:val="26"/>
        </w:rPr>
      </w:pPr>
      <w:r w:rsidRPr="00CD5FDB">
        <w:rPr>
          <w:i/>
          <w:iCs/>
          <w:szCs w:val="26"/>
        </w:rPr>
        <w:t>Estimate of Annual Burden</w:t>
      </w:r>
      <w:r>
        <w:rPr>
          <w:rStyle w:val="FootnoteReference"/>
          <w:i/>
          <w:iCs/>
        </w:rPr>
        <w:footnoteReference w:id="2"/>
      </w:r>
      <w:r w:rsidRPr="00CD5FDB">
        <w:rPr>
          <w:i/>
          <w:iCs/>
          <w:szCs w:val="26"/>
        </w:rPr>
        <w:t>:</w:t>
      </w:r>
      <w:r w:rsidRPr="00CD5FDB" w:rsidR="00932217">
        <w:rPr>
          <w:i/>
          <w:iCs/>
          <w:szCs w:val="26"/>
        </w:rPr>
        <w:t xml:space="preserve"> </w:t>
      </w:r>
      <w:r w:rsidRPr="00CD5FDB" w:rsidR="3CE4074C">
        <w:rPr>
          <w:i/>
          <w:iCs/>
          <w:szCs w:val="26"/>
        </w:rPr>
        <w:t xml:space="preserve"> </w:t>
      </w:r>
      <w:r w:rsidRPr="00CD5FDB">
        <w:rPr>
          <w:szCs w:val="26"/>
        </w:rPr>
        <w:t>The Commission estimates the annual public reporting burden for the information collection as:</w:t>
      </w:r>
    </w:p>
    <w:tbl>
      <w:tblPr>
        <w:tblW w:w="100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35"/>
        <w:gridCol w:w="1495"/>
        <w:gridCol w:w="1409"/>
        <w:gridCol w:w="1310"/>
        <w:gridCol w:w="1316"/>
        <w:gridCol w:w="1234"/>
      </w:tblGrid>
      <w:tr w14:paraId="5BA79F99" w14:textId="77777777" w:rsidTr="56C411BC">
        <w:tblPrEx>
          <w:tblW w:w="100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620" w:type="dxa"/>
            <w:shd w:val="clear" w:color="auto" w:fill="D9D9D9" w:themeFill="background1" w:themeFillShade="D9"/>
          </w:tcPr>
          <w:p w:rsidR="00696A1D" w:rsidRPr="00CD5FDB" w:rsidP="549EAD48" w14:paraId="3D1C5CF2" w14:textId="77777777">
            <w:pPr>
              <w:jc w:val="center"/>
              <w:rPr>
                <w:rFonts w:eastAsia="Calibri"/>
                <w:b/>
                <w:bCs/>
                <w:szCs w:val="26"/>
              </w:rPr>
            </w:pPr>
          </w:p>
        </w:tc>
        <w:tc>
          <w:tcPr>
            <w:tcW w:w="1635" w:type="dxa"/>
            <w:shd w:val="clear" w:color="auto" w:fill="D9D9D9" w:themeFill="background1" w:themeFillShade="D9"/>
            <w:vAlign w:val="bottom"/>
          </w:tcPr>
          <w:p w:rsidR="00696A1D" w:rsidRPr="00CD5FDB" w:rsidP="549EAD48" w14:paraId="04268E54" w14:textId="77777777">
            <w:pPr>
              <w:jc w:val="center"/>
              <w:rPr>
                <w:rFonts w:eastAsia="Calibri"/>
                <w:b/>
                <w:bCs/>
                <w:szCs w:val="26"/>
              </w:rPr>
            </w:pPr>
            <w:r w:rsidRPr="00CD5FDB">
              <w:rPr>
                <w:rFonts w:eastAsia="Calibri"/>
                <w:b/>
                <w:bCs/>
                <w:szCs w:val="26"/>
              </w:rPr>
              <w:t>Number of Respondents</w:t>
            </w:r>
            <w:r w:rsidRPr="00CD5FDB">
              <w:rPr>
                <w:szCs w:val="26"/>
              </w:rPr>
              <w:br/>
            </w:r>
            <w:r w:rsidRPr="00CD5FDB">
              <w:rPr>
                <w:rFonts w:eastAsia="Calibri"/>
                <w:b/>
                <w:bCs/>
                <w:szCs w:val="26"/>
              </w:rPr>
              <w:t>(1)</w:t>
            </w:r>
          </w:p>
        </w:tc>
        <w:tc>
          <w:tcPr>
            <w:tcW w:w="1495" w:type="dxa"/>
            <w:shd w:val="clear" w:color="auto" w:fill="D9D9D9" w:themeFill="background1" w:themeFillShade="D9"/>
            <w:vAlign w:val="bottom"/>
          </w:tcPr>
          <w:p w:rsidR="00696A1D" w:rsidRPr="00CD5FDB" w:rsidP="549EAD48" w14:paraId="562EDAE5" w14:textId="77777777">
            <w:pPr>
              <w:jc w:val="center"/>
              <w:rPr>
                <w:rFonts w:eastAsia="Calibri"/>
                <w:b/>
                <w:bCs/>
                <w:szCs w:val="26"/>
              </w:rPr>
            </w:pPr>
            <w:r w:rsidRPr="00CD5FDB">
              <w:rPr>
                <w:rFonts w:eastAsia="Calibri"/>
                <w:b/>
                <w:bCs/>
                <w:szCs w:val="26"/>
              </w:rPr>
              <w:t>Annual Number of Responses per Respondent</w:t>
            </w:r>
          </w:p>
          <w:p w:rsidR="00696A1D" w:rsidRPr="00CD5FDB" w:rsidP="549EAD48" w14:paraId="5E906DBD" w14:textId="77777777">
            <w:pPr>
              <w:jc w:val="center"/>
              <w:rPr>
                <w:rFonts w:eastAsia="Calibri"/>
                <w:b/>
                <w:bCs/>
                <w:szCs w:val="26"/>
              </w:rPr>
            </w:pPr>
            <w:r w:rsidRPr="00CD5FDB">
              <w:rPr>
                <w:rFonts w:eastAsia="Calibri"/>
                <w:b/>
                <w:bCs/>
                <w:szCs w:val="26"/>
              </w:rPr>
              <w:t>(2)</w:t>
            </w:r>
          </w:p>
        </w:tc>
        <w:tc>
          <w:tcPr>
            <w:tcW w:w="1409" w:type="dxa"/>
            <w:shd w:val="clear" w:color="auto" w:fill="D9D9D9" w:themeFill="background1" w:themeFillShade="D9"/>
            <w:vAlign w:val="bottom"/>
          </w:tcPr>
          <w:p w:rsidR="00696A1D" w:rsidRPr="00CD5FDB" w:rsidP="549EAD48" w14:paraId="65CED0BD" w14:textId="77777777">
            <w:pPr>
              <w:jc w:val="center"/>
              <w:rPr>
                <w:rFonts w:eastAsia="Calibri"/>
                <w:b/>
                <w:bCs/>
                <w:szCs w:val="26"/>
              </w:rPr>
            </w:pPr>
            <w:r w:rsidRPr="00CD5FDB">
              <w:rPr>
                <w:rFonts w:eastAsia="Calibri"/>
                <w:b/>
                <w:bCs/>
                <w:szCs w:val="26"/>
              </w:rPr>
              <w:t>Total Number of Responses (</w:t>
            </w:r>
            <w:r w:rsidRPr="00CD5FDB">
              <w:rPr>
                <w:rFonts w:eastAsia="Calibri"/>
                <w:b/>
                <w:bCs/>
                <w:szCs w:val="26"/>
              </w:rPr>
              <w:t>1)*</w:t>
            </w:r>
            <w:r w:rsidRPr="00CD5FDB">
              <w:rPr>
                <w:rFonts w:eastAsia="Calibri"/>
                <w:b/>
                <w:bCs/>
                <w:szCs w:val="26"/>
              </w:rPr>
              <w:t>(</w:t>
            </w:r>
            <w:r w:rsidRPr="00CD5FDB">
              <w:rPr>
                <w:rFonts w:eastAsia="Calibri"/>
                <w:b/>
                <w:bCs/>
                <w:szCs w:val="26"/>
              </w:rPr>
              <w:t>2)=</w:t>
            </w:r>
            <w:r w:rsidRPr="00CD5FDB">
              <w:rPr>
                <w:rFonts w:eastAsia="Calibri"/>
                <w:b/>
                <w:bCs/>
                <w:szCs w:val="26"/>
              </w:rPr>
              <w:t>(3)</w:t>
            </w:r>
          </w:p>
        </w:tc>
        <w:tc>
          <w:tcPr>
            <w:tcW w:w="1310" w:type="dxa"/>
            <w:shd w:val="clear" w:color="auto" w:fill="D9D9D9" w:themeFill="background1" w:themeFillShade="D9"/>
            <w:vAlign w:val="bottom"/>
          </w:tcPr>
          <w:p w:rsidR="00696A1D" w:rsidRPr="00CD5FDB" w:rsidP="549EAD48" w14:paraId="4A2ABDC6" w14:textId="77777777">
            <w:pPr>
              <w:jc w:val="center"/>
              <w:rPr>
                <w:rFonts w:eastAsia="Calibri"/>
                <w:b/>
                <w:bCs/>
                <w:szCs w:val="26"/>
              </w:rPr>
            </w:pPr>
            <w:r w:rsidRPr="00CD5FDB">
              <w:rPr>
                <w:rFonts w:eastAsia="Calibri"/>
                <w:b/>
                <w:bCs/>
                <w:szCs w:val="26"/>
              </w:rPr>
              <w:t>Average Burden &amp; Cost Per Response</w:t>
            </w:r>
            <w:r>
              <w:rPr>
                <w:rFonts w:eastAsia="Calibri"/>
                <w:b/>
                <w:bCs/>
                <w:szCs w:val="26"/>
                <w:vertAlign w:val="superscript"/>
              </w:rPr>
              <w:footnoteReference w:id="3"/>
            </w:r>
          </w:p>
          <w:p w:rsidR="00696A1D" w:rsidRPr="00CD5FDB" w:rsidP="549EAD48" w14:paraId="64BF29F9" w14:textId="77777777">
            <w:pPr>
              <w:jc w:val="center"/>
              <w:rPr>
                <w:rFonts w:eastAsia="Calibri"/>
                <w:b/>
                <w:bCs/>
                <w:szCs w:val="26"/>
              </w:rPr>
            </w:pPr>
            <w:r w:rsidRPr="00CD5FDB">
              <w:rPr>
                <w:rFonts w:eastAsia="Calibri"/>
                <w:b/>
                <w:bCs/>
                <w:szCs w:val="26"/>
              </w:rPr>
              <w:t>(4)</w:t>
            </w:r>
          </w:p>
        </w:tc>
        <w:tc>
          <w:tcPr>
            <w:tcW w:w="1316" w:type="dxa"/>
            <w:shd w:val="clear" w:color="auto" w:fill="D9D9D9" w:themeFill="background1" w:themeFillShade="D9"/>
            <w:vAlign w:val="bottom"/>
          </w:tcPr>
          <w:p w:rsidR="00696A1D" w:rsidRPr="00CD5FDB" w:rsidP="549EAD48" w14:paraId="14BA1585" w14:textId="77777777">
            <w:pPr>
              <w:jc w:val="center"/>
              <w:rPr>
                <w:rFonts w:eastAsia="Calibri"/>
                <w:b/>
                <w:bCs/>
                <w:szCs w:val="26"/>
              </w:rPr>
            </w:pPr>
            <w:r w:rsidRPr="00CD5FDB">
              <w:rPr>
                <w:rFonts w:eastAsia="Calibri"/>
                <w:b/>
                <w:bCs/>
                <w:szCs w:val="26"/>
              </w:rPr>
              <w:t>Total Annual Burden Hours &amp; Total Annual Cost</w:t>
            </w:r>
          </w:p>
          <w:p w:rsidR="00696A1D" w:rsidRPr="00CD5FDB" w:rsidP="549EAD48" w14:paraId="41D83D8C" w14:textId="77777777">
            <w:pPr>
              <w:jc w:val="center"/>
              <w:rPr>
                <w:rFonts w:eastAsia="Calibri"/>
                <w:b/>
                <w:bCs/>
                <w:szCs w:val="26"/>
              </w:rPr>
            </w:pPr>
            <w:r w:rsidRPr="00CD5FDB">
              <w:rPr>
                <w:rFonts w:eastAsia="Calibri"/>
                <w:b/>
                <w:bCs/>
                <w:szCs w:val="26"/>
              </w:rPr>
              <w:t>(</w:t>
            </w:r>
            <w:r w:rsidRPr="00CD5FDB">
              <w:rPr>
                <w:rFonts w:eastAsia="Calibri"/>
                <w:b/>
                <w:bCs/>
                <w:szCs w:val="26"/>
              </w:rPr>
              <w:t>3)*</w:t>
            </w:r>
            <w:r w:rsidRPr="00CD5FDB">
              <w:rPr>
                <w:rFonts w:eastAsia="Calibri"/>
                <w:b/>
                <w:bCs/>
                <w:szCs w:val="26"/>
              </w:rPr>
              <w:t>(</w:t>
            </w:r>
            <w:r w:rsidRPr="00CD5FDB">
              <w:rPr>
                <w:rFonts w:eastAsia="Calibri"/>
                <w:b/>
                <w:bCs/>
                <w:szCs w:val="26"/>
              </w:rPr>
              <w:t>4)=</w:t>
            </w:r>
            <w:r w:rsidRPr="00CD5FDB">
              <w:rPr>
                <w:rFonts w:eastAsia="Calibri"/>
                <w:b/>
                <w:bCs/>
                <w:szCs w:val="26"/>
              </w:rPr>
              <w:t>(5)</w:t>
            </w:r>
          </w:p>
        </w:tc>
        <w:tc>
          <w:tcPr>
            <w:tcW w:w="1234" w:type="dxa"/>
            <w:shd w:val="clear" w:color="auto" w:fill="D9D9D9" w:themeFill="background1" w:themeFillShade="D9"/>
            <w:vAlign w:val="bottom"/>
          </w:tcPr>
          <w:p w:rsidR="00696A1D" w:rsidRPr="00CD5FDB" w:rsidP="549EAD48" w14:paraId="1FBE0079" w14:textId="77777777">
            <w:pPr>
              <w:jc w:val="center"/>
              <w:rPr>
                <w:rFonts w:eastAsia="Calibri"/>
                <w:b/>
                <w:bCs/>
                <w:szCs w:val="26"/>
              </w:rPr>
            </w:pPr>
            <w:r w:rsidRPr="00CD5FDB">
              <w:rPr>
                <w:rFonts w:eastAsia="Calibri"/>
                <w:b/>
                <w:bCs/>
                <w:szCs w:val="26"/>
              </w:rPr>
              <w:t>Cost per Respondent</w:t>
            </w:r>
          </w:p>
          <w:p w:rsidR="00696A1D" w:rsidRPr="00CD5FDB" w:rsidP="549EAD48" w14:paraId="5724E8EA" w14:textId="77777777">
            <w:pPr>
              <w:jc w:val="center"/>
              <w:rPr>
                <w:rFonts w:eastAsia="Calibri"/>
                <w:b/>
                <w:bCs/>
                <w:szCs w:val="26"/>
              </w:rPr>
            </w:pPr>
            <w:r w:rsidRPr="00CD5FDB">
              <w:rPr>
                <w:rFonts w:eastAsia="Calibri"/>
                <w:b/>
                <w:bCs/>
                <w:szCs w:val="26"/>
              </w:rPr>
              <w:t xml:space="preserve"> ($)</w:t>
            </w:r>
          </w:p>
          <w:p w:rsidR="00696A1D" w:rsidRPr="00CD5FDB" w:rsidP="549EAD48" w14:paraId="3E08335F" w14:textId="77777777">
            <w:pPr>
              <w:jc w:val="center"/>
              <w:rPr>
                <w:rFonts w:eastAsia="Calibri"/>
                <w:b/>
                <w:bCs/>
                <w:szCs w:val="26"/>
              </w:rPr>
            </w:pPr>
            <w:r w:rsidRPr="00CD5FDB">
              <w:rPr>
                <w:rFonts w:eastAsia="Calibri"/>
                <w:b/>
                <w:bCs/>
                <w:szCs w:val="26"/>
              </w:rPr>
              <w:t>(</w:t>
            </w:r>
            <w:r w:rsidRPr="00CD5FDB">
              <w:rPr>
                <w:rFonts w:eastAsia="Calibri"/>
                <w:b/>
                <w:bCs/>
                <w:szCs w:val="26"/>
              </w:rPr>
              <w:t>5)÷</w:t>
            </w:r>
            <w:r w:rsidRPr="00CD5FDB">
              <w:rPr>
                <w:rFonts w:eastAsia="Calibri"/>
                <w:b/>
                <w:bCs/>
                <w:szCs w:val="26"/>
              </w:rPr>
              <w:t>(1)</w:t>
            </w:r>
          </w:p>
        </w:tc>
      </w:tr>
      <w:tr w14:paraId="023F9DC3" w14:textId="77777777" w:rsidTr="56C411BC">
        <w:tblPrEx>
          <w:tblW w:w="10019" w:type="dxa"/>
          <w:tblInd w:w="-72" w:type="dxa"/>
          <w:tblLayout w:type="fixed"/>
          <w:tblLook w:val="01E0"/>
        </w:tblPrEx>
        <w:trPr>
          <w:cantSplit/>
        </w:trPr>
        <w:tc>
          <w:tcPr>
            <w:tcW w:w="1620" w:type="dxa"/>
          </w:tcPr>
          <w:p w:rsidR="00703316" w:rsidRPr="00CD5FDB" w:rsidP="549EAD48" w14:paraId="336AD7FF" w14:textId="49F30345">
            <w:pPr>
              <w:rPr>
                <w:rFonts w:eastAsia="Calibri"/>
                <w:szCs w:val="26"/>
              </w:rPr>
            </w:pPr>
            <w:r w:rsidRPr="00CD5FDB">
              <w:rPr>
                <w:rFonts w:eastAsia="Calibri"/>
                <w:szCs w:val="26"/>
              </w:rPr>
              <w:t>Cre</w:t>
            </w:r>
            <w:r w:rsidRPr="00CD5FDB" w:rsidR="00570113">
              <w:rPr>
                <w:rFonts w:eastAsia="Calibri"/>
                <w:szCs w:val="26"/>
              </w:rPr>
              <w:t>dit Related Information Sharing (ongoing)</w:t>
            </w:r>
          </w:p>
        </w:tc>
        <w:tc>
          <w:tcPr>
            <w:tcW w:w="1635" w:type="dxa"/>
          </w:tcPr>
          <w:p w:rsidR="00703316" w:rsidRPr="00CD5FDB" w:rsidP="549EAD48" w14:paraId="24ED2AA7" w14:textId="74AC1AC1">
            <w:pPr>
              <w:jc w:val="right"/>
              <w:rPr>
                <w:rFonts w:eastAsia="Calibri"/>
                <w:szCs w:val="26"/>
              </w:rPr>
            </w:pPr>
            <w:r w:rsidRPr="00CD5FDB">
              <w:rPr>
                <w:rFonts w:eastAsia="Calibri"/>
                <w:szCs w:val="26"/>
              </w:rPr>
              <w:t>6</w:t>
            </w:r>
          </w:p>
        </w:tc>
        <w:tc>
          <w:tcPr>
            <w:tcW w:w="1495" w:type="dxa"/>
          </w:tcPr>
          <w:p w:rsidR="00703316" w:rsidRPr="00CD5FDB" w:rsidP="1F7013FF" w14:paraId="398A1A6A" w14:textId="7EAC17B0">
            <w:pPr>
              <w:jc w:val="right"/>
              <w:rPr>
                <w:rFonts w:eastAsia="Calibri"/>
                <w:szCs w:val="26"/>
              </w:rPr>
            </w:pPr>
            <w:r w:rsidRPr="00CD5FDB">
              <w:rPr>
                <w:rFonts w:eastAsia="Calibri"/>
                <w:szCs w:val="26"/>
              </w:rPr>
              <w:t>2</w:t>
            </w:r>
          </w:p>
        </w:tc>
        <w:tc>
          <w:tcPr>
            <w:tcW w:w="1409" w:type="dxa"/>
          </w:tcPr>
          <w:p w:rsidR="00703316" w:rsidRPr="00CD5FDB" w:rsidP="549EAD48" w14:paraId="022434DF" w14:textId="79F51CF5">
            <w:pPr>
              <w:jc w:val="right"/>
              <w:rPr>
                <w:rFonts w:eastAsia="Calibri"/>
                <w:szCs w:val="26"/>
              </w:rPr>
            </w:pPr>
            <w:r w:rsidRPr="00CD5FDB">
              <w:rPr>
                <w:rFonts w:eastAsia="Calibri"/>
                <w:szCs w:val="26"/>
              </w:rPr>
              <w:t>12</w:t>
            </w:r>
          </w:p>
        </w:tc>
        <w:tc>
          <w:tcPr>
            <w:tcW w:w="1310" w:type="dxa"/>
          </w:tcPr>
          <w:p w:rsidR="005105F7" w:rsidRPr="00CD5FDB" w:rsidP="1F7013FF" w14:paraId="4D0B4D6D" w14:textId="77777777">
            <w:pPr>
              <w:jc w:val="right"/>
              <w:rPr>
                <w:rFonts w:eastAsia="Calibri"/>
                <w:szCs w:val="26"/>
              </w:rPr>
            </w:pPr>
            <w:r w:rsidRPr="00CD5FDB">
              <w:rPr>
                <w:rFonts w:eastAsia="Calibri"/>
                <w:szCs w:val="26"/>
              </w:rPr>
              <w:t xml:space="preserve">4 hrs. </w:t>
            </w:r>
          </w:p>
          <w:p w:rsidR="00703316" w:rsidRPr="00CD5FDB" w:rsidP="1F7013FF" w14:paraId="420CF2C1" w14:textId="4556F17E">
            <w:pPr>
              <w:jc w:val="right"/>
              <w:rPr>
                <w:rFonts w:eastAsia="Calibri"/>
                <w:szCs w:val="26"/>
              </w:rPr>
            </w:pPr>
            <w:r w:rsidRPr="00CD5FDB">
              <w:rPr>
                <w:rFonts w:eastAsia="Calibri"/>
                <w:szCs w:val="26"/>
              </w:rPr>
              <w:t>$</w:t>
            </w:r>
            <w:r w:rsidRPr="00CD5FDB" w:rsidR="4286D704">
              <w:rPr>
                <w:rFonts w:eastAsia="Calibri"/>
                <w:szCs w:val="26"/>
              </w:rPr>
              <w:t>408</w:t>
            </w:r>
          </w:p>
        </w:tc>
        <w:tc>
          <w:tcPr>
            <w:tcW w:w="1316" w:type="dxa"/>
          </w:tcPr>
          <w:p w:rsidR="00CD743B" w:rsidRPr="00CD5FDB" w:rsidP="549EAD48" w14:paraId="3DC60B07" w14:textId="77777777">
            <w:pPr>
              <w:jc w:val="right"/>
              <w:rPr>
                <w:rFonts w:eastAsia="Calibri"/>
                <w:szCs w:val="26"/>
              </w:rPr>
            </w:pPr>
            <w:r w:rsidRPr="00CD5FDB">
              <w:rPr>
                <w:rFonts w:eastAsia="Calibri"/>
                <w:szCs w:val="26"/>
              </w:rPr>
              <w:t xml:space="preserve">48 hrs. </w:t>
            </w:r>
          </w:p>
          <w:p w:rsidR="00703316" w:rsidRPr="00CD5FDB" w:rsidP="1F7013FF" w14:paraId="05C9A23F" w14:textId="51A9F55F">
            <w:pPr>
              <w:jc w:val="right"/>
              <w:rPr>
                <w:rFonts w:eastAsia="Calibri"/>
                <w:szCs w:val="26"/>
              </w:rPr>
            </w:pPr>
            <w:r w:rsidRPr="00CD5FDB">
              <w:rPr>
                <w:rFonts w:eastAsia="Calibri"/>
                <w:szCs w:val="26"/>
              </w:rPr>
              <w:t>$</w:t>
            </w:r>
            <w:r w:rsidRPr="00CD5FDB" w:rsidR="3DAB990F">
              <w:rPr>
                <w:rFonts w:eastAsia="Calibri"/>
                <w:szCs w:val="26"/>
              </w:rPr>
              <w:t>4,896</w:t>
            </w:r>
          </w:p>
        </w:tc>
        <w:tc>
          <w:tcPr>
            <w:tcW w:w="1234" w:type="dxa"/>
          </w:tcPr>
          <w:p w:rsidR="00703316" w:rsidRPr="00CD5FDB" w:rsidP="1F7013FF" w14:paraId="236203FC" w14:textId="1A3D43D8">
            <w:pPr>
              <w:jc w:val="right"/>
              <w:rPr>
                <w:rFonts w:eastAsia="Calibri"/>
                <w:szCs w:val="26"/>
              </w:rPr>
            </w:pPr>
            <w:r w:rsidRPr="00CD5FDB">
              <w:rPr>
                <w:rFonts w:eastAsia="Calibri"/>
                <w:szCs w:val="26"/>
              </w:rPr>
              <w:t>$</w:t>
            </w:r>
            <w:r w:rsidRPr="00CD5FDB" w:rsidR="21435877">
              <w:rPr>
                <w:rFonts w:eastAsia="Calibri"/>
                <w:szCs w:val="26"/>
              </w:rPr>
              <w:t>916</w:t>
            </w:r>
          </w:p>
        </w:tc>
      </w:tr>
      <w:tr w14:paraId="03FF6251" w14:textId="77777777" w:rsidTr="56C411BC">
        <w:tblPrEx>
          <w:tblW w:w="10019" w:type="dxa"/>
          <w:tblInd w:w="-72" w:type="dxa"/>
          <w:tblLayout w:type="fixed"/>
          <w:tblLook w:val="01E0"/>
        </w:tblPrEx>
        <w:trPr>
          <w:cantSplit/>
        </w:trPr>
        <w:tc>
          <w:tcPr>
            <w:tcW w:w="10019" w:type="dxa"/>
            <w:gridSpan w:val="7"/>
            <w:shd w:val="clear" w:color="auto" w:fill="D9D9D9" w:themeFill="background1" w:themeFillShade="D9"/>
          </w:tcPr>
          <w:p w:rsidR="00491C0D" w:rsidRPr="00CD5FDB" w:rsidP="00491C0D" w14:paraId="4A60F0B6" w14:textId="5EAE00A6">
            <w:pPr>
              <w:jc w:val="center"/>
              <w:rPr>
                <w:rFonts w:eastAsia="Calibri"/>
                <w:szCs w:val="26"/>
              </w:rPr>
            </w:pPr>
            <w:r w:rsidRPr="00CD5FDB">
              <w:rPr>
                <w:rFonts w:eastAsia="Calibri"/>
                <w:szCs w:val="26"/>
              </w:rPr>
              <w:t>Information Collection Activities to be removed</w:t>
            </w:r>
          </w:p>
        </w:tc>
      </w:tr>
      <w:tr w14:paraId="01198855" w14:textId="77777777" w:rsidTr="56C411BC">
        <w:tblPrEx>
          <w:tblW w:w="10019" w:type="dxa"/>
          <w:tblInd w:w="-72" w:type="dxa"/>
          <w:tblLayout w:type="fixed"/>
          <w:tblLook w:val="01E0"/>
        </w:tblPrEx>
        <w:trPr>
          <w:cantSplit/>
        </w:trPr>
        <w:tc>
          <w:tcPr>
            <w:tcW w:w="1620" w:type="dxa"/>
          </w:tcPr>
          <w:p w:rsidR="00703316" w:rsidRPr="00CD5FDB" w:rsidP="549EAD48" w14:paraId="65FF9FFA" w14:textId="02BEDED7">
            <w:pPr>
              <w:rPr>
                <w:rFonts w:eastAsia="Calibri"/>
                <w:szCs w:val="26"/>
              </w:rPr>
            </w:pPr>
            <w:r w:rsidRPr="00CD5FDB">
              <w:rPr>
                <w:rFonts w:eastAsia="Calibri"/>
                <w:szCs w:val="26"/>
              </w:rPr>
              <w:t>Tariff Provisions Compliance Filing</w:t>
            </w:r>
            <w:r w:rsidRPr="00CD5FDB" w:rsidR="00930D33">
              <w:rPr>
                <w:rFonts w:eastAsia="Calibri"/>
                <w:szCs w:val="26"/>
              </w:rPr>
              <w:t xml:space="preserve"> (one-time)</w:t>
            </w:r>
          </w:p>
        </w:tc>
        <w:tc>
          <w:tcPr>
            <w:tcW w:w="1635" w:type="dxa"/>
          </w:tcPr>
          <w:p w:rsidR="00703316" w:rsidRPr="00CD5FDB" w:rsidP="549EAD48" w14:paraId="1AA934EE" w14:textId="56F2CD47">
            <w:pPr>
              <w:jc w:val="right"/>
              <w:rPr>
                <w:rFonts w:eastAsia="Calibri"/>
                <w:szCs w:val="26"/>
              </w:rPr>
            </w:pPr>
            <w:r w:rsidRPr="00CD5FDB">
              <w:rPr>
                <w:rFonts w:eastAsia="Calibri"/>
                <w:szCs w:val="26"/>
              </w:rPr>
              <w:t>6</w:t>
            </w:r>
          </w:p>
        </w:tc>
        <w:tc>
          <w:tcPr>
            <w:tcW w:w="1495" w:type="dxa"/>
          </w:tcPr>
          <w:p w:rsidR="00703316" w:rsidRPr="00CD5FDB" w:rsidP="549EAD48" w14:paraId="686052A5" w14:textId="012FC0B1">
            <w:pPr>
              <w:jc w:val="right"/>
              <w:rPr>
                <w:rFonts w:eastAsia="Calibri"/>
                <w:szCs w:val="26"/>
              </w:rPr>
            </w:pPr>
            <w:r w:rsidRPr="00CD5FDB">
              <w:rPr>
                <w:rFonts w:eastAsia="Calibri"/>
                <w:szCs w:val="26"/>
              </w:rPr>
              <w:t>1</w:t>
            </w:r>
          </w:p>
        </w:tc>
        <w:tc>
          <w:tcPr>
            <w:tcW w:w="1409" w:type="dxa"/>
          </w:tcPr>
          <w:p w:rsidR="00703316" w:rsidRPr="00CD5FDB" w:rsidP="549EAD48" w14:paraId="524F6905" w14:textId="2803E8A1">
            <w:pPr>
              <w:jc w:val="right"/>
              <w:rPr>
                <w:rFonts w:eastAsia="Calibri"/>
                <w:szCs w:val="26"/>
              </w:rPr>
            </w:pPr>
            <w:r w:rsidRPr="00CD5FDB">
              <w:rPr>
                <w:rFonts w:eastAsia="Calibri"/>
                <w:szCs w:val="26"/>
              </w:rPr>
              <w:t>6</w:t>
            </w:r>
          </w:p>
        </w:tc>
        <w:tc>
          <w:tcPr>
            <w:tcW w:w="1310" w:type="dxa"/>
          </w:tcPr>
          <w:p w:rsidR="00BC1458" w:rsidRPr="00CD5FDB" w:rsidP="549EAD48" w14:paraId="133720DA" w14:textId="77777777">
            <w:pPr>
              <w:jc w:val="right"/>
              <w:rPr>
                <w:rFonts w:eastAsia="Calibri"/>
                <w:szCs w:val="26"/>
              </w:rPr>
            </w:pPr>
            <w:r w:rsidRPr="00CD5FDB">
              <w:rPr>
                <w:rFonts w:eastAsia="Calibri"/>
                <w:szCs w:val="26"/>
              </w:rPr>
              <w:t xml:space="preserve">25 hrs. </w:t>
            </w:r>
          </w:p>
          <w:p w:rsidR="00703316" w:rsidRPr="00CD5FDB" w:rsidP="1F7013FF" w14:paraId="4B7CBFEE" w14:textId="53381190">
            <w:pPr>
              <w:jc w:val="right"/>
              <w:rPr>
                <w:rFonts w:eastAsia="Calibri"/>
                <w:szCs w:val="26"/>
              </w:rPr>
            </w:pPr>
            <w:r w:rsidRPr="00CD5FDB">
              <w:rPr>
                <w:rFonts w:eastAsia="Calibri"/>
                <w:szCs w:val="26"/>
              </w:rPr>
              <w:t>$</w:t>
            </w:r>
            <w:r w:rsidRPr="00CD5FDB" w:rsidR="4BC4CFCA">
              <w:rPr>
                <w:rFonts w:eastAsia="Calibri"/>
                <w:szCs w:val="26"/>
              </w:rPr>
              <w:t>2,550</w:t>
            </w:r>
          </w:p>
        </w:tc>
        <w:tc>
          <w:tcPr>
            <w:tcW w:w="1316" w:type="dxa"/>
          </w:tcPr>
          <w:p w:rsidR="00FA7337" w:rsidRPr="00CD5FDB" w:rsidP="549EAD48" w14:paraId="174382F3" w14:textId="77777777">
            <w:pPr>
              <w:jc w:val="right"/>
              <w:rPr>
                <w:rFonts w:eastAsia="Calibri"/>
                <w:szCs w:val="26"/>
              </w:rPr>
            </w:pPr>
            <w:r w:rsidRPr="00CD5FDB">
              <w:rPr>
                <w:rFonts w:eastAsia="Calibri"/>
                <w:szCs w:val="26"/>
              </w:rPr>
              <w:t>15</w:t>
            </w:r>
            <w:r w:rsidRPr="00CD5FDB">
              <w:rPr>
                <w:rFonts w:eastAsia="Calibri"/>
                <w:szCs w:val="26"/>
              </w:rPr>
              <w:t xml:space="preserve">0 hrs. </w:t>
            </w:r>
          </w:p>
          <w:p w:rsidR="00703316" w:rsidRPr="00CD5FDB" w:rsidP="1F7013FF" w14:paraId="0BDBE282" w14:textId="3AB79E3B">
            <w:pPr>
              <w:jc w:val="right"/>
              <w:rPr>
                <w:rFonts w:eastAsia="Calibri"/>
                <w:szCs w:val="26"/>
              </w:rPr>
            </w:pPr>
            <w:r w:rsidRPr="00CD5FDB">
              <w:rPr>
                <w:rFonts w:eastAsia="Calibri"/>
                <w:szCs w:val="26"/>
              </w:rPr>
              <w:t>$</w:t>
            </w:r>
            <w:r w:rsidRPr="00CD5FDB" w:rsidR="45FDE7F4">
              <w:rPr>
                <w:rFonts w:eastAsia="Calibri"/>
                <w:szCs w:val="26"/>
              </w:rPr>
              <w:t>15,300</w:t>
            </w:r>
          </w:p>
        </w:tc>
        <w:tc>
          <w:tcPr>
            <w:tcW w:w="1234" w:type="dxa"/>
          </w:tcPr>
          <w:p w:rsidR="00703316" w:rsidRPr="00CD5FDB" w:rsidP="1F7013FF" w14:paraId="7DF30433" w14:textId="77777777">
            <w:pPr>
              <w:jc w:val="right"/>
              <w:rPr>
                <w:rFonts w:eastAsia="Calibri"/>
                <w:szCs w:val="26"/>
              </w:rPr>
            </w:pPr>
            <w:r w:rsidRPr="00CD5FDB">
              <w:rPr>
                <w:rFonts w:eastAsia="Calibri"/>
                <w:szCs w:val="26"/>
              </w:rPr>
              <w:t xml:space="preserve">25 hrs. </w:t>
            </w:r>
          </w:p>
          <w:p w:rsidR="00703316" w:rsidRPr="00CD5FDB" w:rsidP="1F7013FF" w14:paraId="0D8D4EED" w14:textId="62F5D8B9">
            <w:pPr>
              <w:jc w:val="right"/>
              <w:rPr>
                <w:rFonts w:eastAsia="Calibri"/>
                <w:szCs w:val="26"/>
              </w:rPr>
            </w:pPr>
            <w:r w:rsidRPr="00CD5FDB">
              <w:rPr>
                <w:rFonts w:eastAsia="Calibri"/>
                <w:szCs w:val="26"/>
              </w:rPr>
              <w:t>$2,550</w:t>
            </w:r>
          </w:p>
        </w:tc>
      </w:tr>
      <w:tr w14:paraId="3FE15F5C" w14:textId="77777777" w:rsidTr="56C411BC">
        <w:tblPrEx>
          <w:tblW w:w="10019" w:type="dxa"/>
          <w:tblInd w:w="-72" w:type="dxa"/>
          <w:tblLayout w:type="fixed"/>
          <w:tblLook w:val="01E0"/>
        </w:tblPrEx>
        <w:trPr>
          <w:cantSplit/>
          <w:trHeight w:val="485"/>
        </w:trPr>
        <w:tc>
          <w:tcPr>
            <w:tcW w:w="1620" w:type="dxa"/>
            <w:tcBorders>
              <w:bottom w:val="single" w:sz="4" w:space="0" w:color="auto"/>
            </w:tcBorders>
          </w:tcPr>
          <w:p w:rsidR="00696A1D" w:rsidRPr="00CD5FDB" w:rsidP="549EAD48" w14:paraId="776B7BFD" w14:textId="77777777">
            <w:pPr>
              <w:rPr>
                <w:rFonts w:eastAsia="Calibri"/>
                <w:b/>
                <w:bCs/>
                <w:szCs w:val="26"/>
              </w:rPr>
            </w:pPr>
            <w:r w:rsidRPr="00CD5FDB">
              <w:rPr>
                <w:rFonts w:eastAsia="Calibri"/>
                <w:b/>
                <w:bCs/>
                <w:szCs w:val="26"/>
              </w:rPr>
              <w:t>TOTAL</w:t>
            </w:r>
          </w:p>
        </w:tc>
        <w:tc>
          <w:tcPr>
            <w:tcW w:w="3130" w:type="dxa"/>
            <w:gridSpan w:val="2"/>
            <w:tcBorders>
              <w:bottom w:val="single" w:sz="4" w:space="0" w:color="auto"/>
            </w:tcBorders>
            <w:shd w:val="clear" w:color="auto" w:fill="D9D9D9" w:themeFill="background1" w:themeFillShade="D9"/>
          </w:tcPr>
          <w:p w:rsidR="00696A1D" w:rsidRPr="00CD5FDB" w:rsidP="549EAD48" w14:paraId="71808C72" w14:textId="77777777">
            <w:pPr>
              <w:jc w:val="right"/>
              <w:rPr>
                <w:rFonts w:eastAsia="Calibri"/>
                <w:szCs w:val="26"/>
              </w:rPr>
            </w:pPr>
          </w:p>
        </w:tc>
        <w:tc>
          <w:tcPr>
            <w:tcW w:w="1409" w:type="dxa"/>
            <w:tcBorders>
              <w:bottom w:val="single" w:sz="4" w:space="0" w:color="auto"/>
            </w:tcBorders>
          </w:tcPr>
          <w:p w:rsidR="00696A1D" w:rsidRPr="00CD5FDB" w:rsidP="1F7013FF" w14:paraId="6B98F536" w14:textId="5CCAA9C6">
            <w:pPr>
              <w:jc w:val="right"/>
              <w:rPr>
                <w:rFonts w:eastAsia="Calibri"/>
                <w:b/>
                <w:bCs/>
                <w:szCs w:val="26"/>
              </w:rPr>
            </w:pPr>
            <w:r w:rsidRPr="00CD5FDB">
              <w:rPr>
                <w:rFonts w:eastAsia="Calibri"/>
                <w:b/>
                <w:bCs/>
                <w:szCs w:val="26"/>
              </w:rPr>
              <w:t>12</w:t>
            </w:r>
          </w:p>
        </w:tc>
        <w:tc>
          <w:tcPr>
            <w:tcW w:w="1310" w:type="dxa"/>
            <w:tcBorders>
              <w:bottom w:val="single" w:sz="4" w:space="0" w:color="auto"/>
            </w:tcBorders>
            <w:shd w:val="clear" w:color="auto" w:fill="D9D9D9" w:themeFill="background1" w:themeFillShade="D9"/>
          </w:tcPr>
          <w:p w:rsidR="00696A1D" w:rsidRPr="00CD5FDB" w:rsidP="549EAD48" w14:paraId="660405F0" w14:textId="77777777">
            <w:pPr>
              <w:jc w:val="right"/>
              <w:rPr>
                <w:rFonts w:eastAsia="Calibri"/>
                <w:szCs w:val="26"/>
              </w:rPr>
            </w:pPr>
          </w:p>
        </w:tc>
        <w:tc>
          <w:tcPr>
            <w:tcW w:w="1316" w:type="dxa"/>
            <w:tcBorders>
              <w:bottom w:val="single" w:sz="4" w:space="0" w:color="auto"/>
            </w:tcBorders>
          </w:tcPr>
          <w:p w:rsidR="00696A1D" w:rsidRPr="00CD5FDB" w:rsidP="1F7013FF" w14:paraId="19CF354E" w14:textId="77777777">
            <w:pPr>
              <w:jc w:val="right"/>
              <w:rPr>
                <w:rFonts w:eastAsia="Calibri"/>
                <w:b/>
                <w:bCs/>
                <w:szCs w:val="26"/>
              </w:rPr>
            </w:pPr>
            <w:r w:rsidRPr="00CD5FDB">
              <w:rPr>
                <w:rFonts w:eastAsia="Calibri"/>
                <w:b/>
                <w:bCs/>
                <w:szCs w:val="26"/>
              </w:rPr>
              <w:t xml:space="preserve">48 hrs. </w:t>
            </w:r>
          </w:p>
          <w:p w:rsidR="00696A1D" w:rsidRPr="00CD5FDB" w:rsidP="1F7013FF" w14:paraId="06BFB72F" w14:textId="37CCD16A">
            <w:pPr>
              <w:jc w:val="right"/>
              <w:rPr>
                <w:rFonts w:eastAsia="Calibri"/>
                <w:b/>
                <w:bCs/>
                <w:szCs w:val="26"/>
              </w:rPr>
            </w:pPr>
            <w:r w:rsidRPr="00CD5FDB">
              <w:rPr>
                <w:rFonts w:eastAsia="Calibri"/>
                <w:b/>
                <w:bCs/>
                <w:szCs w:val="26"/>
              </w:rPr>
              <w:t>$4,896</w:t>
            </w:r>
          </w:p>
        </w:tc>
        <w:tc>
          <w:tcPr>
            <w:tcW w:w="1234" w:type="dxa"/>
            <w:tcBorders>
              <w:bottom w:val="single" w:sz="4" w:space="0" w:color="auto"/>
            </w:tcBorders>
            <w:shd w:val="clear" w:color="auto" w:fill="D9D9D9" w:themeFill="background1" w:themeFillShade="D9"/>
          </w:tcPr>
          <w:p w:rsidR="00696A1D" w:rsidRPr="00CD5FDB" w:rsidP="1F7013FF" w14:paraId="03E33E80" w14:textId="025FC259">
            <w:pPr>
              <w:jc w:val="right"/>
              <w:rPr>
                <w:rFonts w:eastAsia="Calibri"/>
                <w:b/>
                <w:bCs/>
                <w:szCs w:val="26"/>
              </w:rPr>
            </w:pPr>
          </w:p>
        </w:tc>
      </w:tr>
    </w:tbl>
    <w:p w:rsidR="00F86890" w:rsidRPr="00CD5FDB" w:rsidP="549EAD48" w14:paraId="4414225D" w14:textId="77777777">
      <w:pPr>
        <w:spacing w:line="480" w:lineRule="auto"/>
        <w:rPr>
          <w:szCs w:val="26"/>
        </w:rPr>
      </w:pPr>
    </w:p>
    <w:p w:rsidR="00F86890" w:rsidRPr="00CD5FDB" w:rsidP="3D5AAB50" w14:paraId="537730BC" w14:textId="46CE5571">
      <w:pPr>
        <w:spacing w:line="480" w:lineRule="auto"/>
        <w:rPr>
          <w:szCs w:val="26"/>
        </w:rPr>
      </w:pPr>
      <w:r w:rsidRPr="00CD5FDB">
        <w:rPr>
          <w:i/>
          <w:iCs/>
          <w:szCs w:val="26"/>
        </w:rPr>
        <w:t>Comments:</w:t>
      </w:r>
      <w:r w:rsidRPr="00CD5FDB" w:rsidR="00932217">
        <w:rPr>
          <w:i/>
          <w:iCs/>
          <w:szCs w:val="26"/>
        </w:rPr>
        <w:t xml:space="preserve"> </w:t>
      </w:r>
      <w:r w:rsidRPr="00CD5FDB" w:rsidR="2B2910A5">
        <w:rPr>
          <w:i/>
          <w:iCs/>
          <w:szCs w:val="26"/>
        </w:rPr>
        <w:t xml:space="preserve"> </w:t>
      </w:r>
      <w:r w:rsidRPr="00CD5FDB">
        <w:rPr>
          <w:szCs w:val="26"/>
        </w:rPr>
        <w:t>Comments are invited on:</w:t>
      </w:r>
      <w:r w:rsidRPr="00CD5FDB" w:rsidR="00932217">
        <w:rPr>
          <w:szCs w:val="26"/>
        </w:rPr>
        <w:t xml:space="preserve"> </w:t>
      </w:r>
      <w:r w:rsidRPr="00CD5FDB" w:rsidR="338300F7">
        <w:rPr>
          <w:szCs w:val="26"/>
        </w:rPr>
        <w:t xml:space="preserve"> </w:t>
      </w:r>
      <w:r w:rsidRPr="00CD5FDB">
        <w:rPr>
          <w:szCs w:val="26"/>
        </w:rPr>
        <w:t xml:space="preserve">(1) whether the collection of information is necessary for the proper performance of the functions of the Commission, including whether the information will have practical utility; (2) the accuracy of the agency's estimate of the burden </w:t>
      </w:r>
      <w:r w:rsidRPr="00CD5FDB" w:rsidR="009447D3">
        <w:rPr>
          <w:szCs w:val="26"/>
        </w:rPr>
        <w:t xml:space="preserve">and cost </w:t>
      </w:r>
      <w:r w:rsidRPr="00CD5FDB">
        <w:rPr>
          <w:szCs w:val="26"/>
        </w:rPr>
        <w:t xml:space="preserve">of the collection of information, including the validity of the methodology and assumptions used; (3) ways to enhance the quality, utility and clarity of the information </w:t>
      </w:r>
      <w:r w:rsidRPr="00CD5FDB" w:rsidR="00647B24">
        <w:rPr>
          <w:szCs w:val="26"/>
        </w:rPr>
        <w:t>collection</w:t>
      </w:r>
      <w:r w:rsidRPr="00CD5FDB">
        <w:rPr>
          <w:szCs w:val="26"/>
        </w:rPr>
        <w:t>; and (4) ways to minimize the burden of the collection of information on those who are to respond, i</w:t>
      </w:r>
      <w:r w:rsidRPr="00CD5FDB" w:rsidR="00647B24">
        <w:rPr>
          <w:szCs w:val="26"/>
        </w:rPr>
        <w:t xml:space="preserve">ncluding the use of </w:t>
      </w:r>
      <w:r w:rsidRPr="00CD5FDB">
        <w:rPr>
          <w:szCs w:val="26"/>
        </w:rPr>
        <w:t>automated collection techniques or other forms of information technology.</w:t>
      </w:r>
      <w:r w:rsidRPr="00CD5FDB" w:rsidR="00932217">
        <w:rPr>
          <w:szCs w:val="26"/>
        </w:rPr>
        <w:t xml:space="preserve"> </w:t>
      </w:r>
    </w:p>
    <w:p w:rsidR="004530E0" w:rsidRPr="00CD5FDB" w:rsidP="549EAD48" w14:paraId="1E958C2B" w14:textId="77777777">
      <w:pPr>
        <w:spacing w:line="480" w:lineRule="auto"/>
        <w:ind w:firstLine="720"/>
        <w:rPr>
          <w:szCs w:val="26"/>
        </w:rPr>
      </w:pPr>
    </w:p>
    <w:p w:rsidR="004530E0" w:rsidRPr="00CD5FDB" w:rsidP="549EAD48" w14:paraId="6A2F085D" w14:textId="77777777">
      <w:pPr>
        <w:rPr>
          <w:szCs w:val="26"/>
        </w:rPr>
      </w:pPr>
    </w:p>
    <w:p w:rsidR="679453F5" w:rsidRPr="00CD5FDB" w:rsidP="549EAD48" w14:paraId="72FB0FE5" w14:textId="73974CDD">
      <w:pPr>
        <w:jc w:val="center"/>
        <w:rPr>
          <w:szCs w:val="26"/>
        </w:rPr>
      </w:pPr>
      <w:r w:rsidRPr="00CD5FDB">
        <w:rPr>
          <w:szCs w:val="26"/>
        </w:rPr>
        <w:t>Debbie-Anne A. Reese,</w:t>
      </w:r>
      <w:r w:rsidRPr="00CD5FDB" w:rsidR="00932217">
        <w:rPr>
          <w:szCs w:val="26"/>
        </w:rPr>
        <w:t xml:space="preserve"> </w:t>
      </w:r>
    </w:p>
    <w:p w:rsidR="0078241C" w:rsidRPr="00CD5FDB" w:rsidP="549EAD48" w14:paraId="7FE0FDE5" w14:textId="77777777">
      <w:pPr>
        <w:jc w:val="center"/>
        <w:rPr>
          <w:szCs w:val="26"/>
        </w:rPr>
      </w:pPr>
      <w:r w:rsidRPr="00CD5FDB">
        <w:rPr>
          <w:szCs w:val="26"/>
        </w:rPr>
        <w:t>Secretary.</w:t>
      </w:r>
    </w:p>
    <w:sectPr w:rsidSect="00EF5878">
      <w:headerReference w:type="even" r:id="rId15"/>
      <w:headerReference w:type="defaul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5383" w14:paraId="0557382A" w14:textId="77777777">
      <w:r>
        <w:separator/>
      </w:r>
    </w:p>
  </w:footnote>
  <w:footnote w:type="continuationSeparator" w:id="1">
    <w:p w:rsidR="00F75383" w14:paraId="1FF82315" w14:textId="77777777">
      <w:r>
        <w:continuationSeparator/>
      </w:r>
    </w:p>
  </w:footnote>
  <w:footnote w:id="2">
    <w:p w:rsidR="00696A1D" w:rsidRPr="00CD5FDB" w:rsidP="00CD5FDB" w14:paraId="1978C3D4" w14:textId="77777777">
      <w:pPr>
        <w:pStyle w:val="FootnoteText"/>
        <w:spacing w:after="260"/>
        <w:ind w:firstLine="720"/>
        <w:rPr>
          <w:sz w:val="26"/>
          <w:szCs w:val="26"/>
        </w:rPr>
      </w:pPr>
      <w:r w:rsidRPr="00CD5FDB">
        <w:rPr>
          <w:rStyle w:val="FootnoteReference"/>
        </w:rPr>
        <w:footnoteRef/>
      </w:r>
      <w:r w:rsidRPr="00CD5FDB">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rsidR="00696A1D" w:rsidRPr="00F56BED" w:rsidP="00CD5FDB" w14:paraId="48FD6119" w14:textId="7362DAF7">
      <w:pPr>
        <w:pStyle w:val="FootnoteText"/>
        <w:spacing w:after="260"/>
        <w:ind w:firstLine="720"/>
        <w:rPr>
          <w:sz w:val="20"/>
        </w:rPr>
      </w:pPr>
      <w:r w:rsidRPr="00CD5FDB">
        <w:rPr>
          <w:rStyle w:val="FootnoteReference"/>
        </w:rPr>
        <w:footnoteRef/>
      </w:r>
      <w:r w:rsidRPr="00CD5FDB">
        <w:rPr>
          <w:sz w:val="26"/>
          <w:szCs w:val="26"/>
        </w:rPr>
        <w:t xml:space="preserve"> </w:t>
      </w:r>
      <w:r w:rsidRPr="00CD5FDB" w:rsidR="00CF49BC">
        <w:rPr>
          <w:sz w:val="26"/>
          <w:szCs w:val="26"/>
        </w:rPr>
        <w:t>The Commission staff estimates that industry is similarly situated in terms of hourly cost (for wages plus benefits). Based on the Commission’s FY (Fiscal Year) 2026 average cost (for wages plus benefits), $102/hour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1F7013FF" w14:paraId="5EB90FBC" w14:textId="77CC03C6">
    <w:pPr>
      <w:pStyle w:val="Header"/>
      <w:ind w:right="360"/>
      <w:rPr>
        <w:highlight w:val="yellow"/>
      </w:rPr>
    </w:pPr>
    <w:r>
      <w:t>Docket No. IC26-28-000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60420C9"/>
    <w:multiLevelType w:val="multilevel"/>
    <w:tmpl w:val="E74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C6F250A"/>
    <w:multiLevelType w:val="multilevel"/>
    <w:tmpl w:val="6C78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BBF315"/>
    <w:multiLevelType w:val="hybridMultilevel"/>
    <w:tmpl w:val="DD3E2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0192992">
    <w:abstractNumId w:val="5"/>
  </w:num>
  <w:num w:numId="2" w16cid:durableId="1872111158">
    <w:abstractNumId w:val="3"/>
  </w:num>
  <w:num w:numId="3" w16cid:durableId="126822442">
    <w:abstractNumId w:val="0"/>
  </w:num>
  <w:num w:numId="4" w16cid:durableId="1283345169">
    <w:abstractNumId w:val="1"/>
  </w:num>
  <w:num w:numId="5" w16cid:durableId="680475757">
    <w:abstractNumId w:val="4"/>
  </w:num>
  <w:num w:numId="6" w16cid:durableId="520364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0689"/>
    <w:rsid w:val="00041471"/>
    <w:rsid w:val="00043468"/>
    <w:rsid w:val="000436E9"/>
    <w:rsid w:val="0004680E"/>
    <w:rsid w:val="000508FA"/>
    <w:rsid w:val="0005366B"/>
    <w:rsid w:val="00055C05"/>
    <w:rsid w:val="00057074"/>
    <w:rsid w:val="0006335A"/>
    <w:rsid w:val="00072256"/>
    <w:rsid w:val="00072448"/>
    <w:rsid w:val="000753F9"/>
    <w:rsid w:val="00080D5F"/>
    <w:rsid w:val="000838BE"/>
    <w:rsid w:val="000854B7"/>
    <w:rsid w:val="000919B3"/>
    <w:rsid w:val="00093E92"/>
    <w:rsid w:val="00097F33"/>
    <w:rsid w:val="000A0BCF"/>
    <w:rsid w:val="000A27CA"/>
    <w:rsid w:val="000A5308"/>
    <w:rsid w:val="000A5CDE"/>
    <w:rsid w:val="000A7D1F"/>
    <w:rsid w:val="000B723A"/>
    <w:rsid w:val="000C22B5"/>
    <w:rsid w:val="000C47F2"/>
    <w:rsid w:val="000C56A4"/>
    <w:rsid w:val="000D3639"/>
    <w:rsid w:val="000D5216"/>
    <w:rsid w:val="000F3E00"/>
    <w:rsid w:val="000F60BD"/>
    <w:rsid w:val="00103D50"/>
    <w:rsid w:val="001066C9"/>
    <w:rsid w:val="00114B14"/>
    <w:rsid w:val="001240FD"/>
    <w:rsid w:val="00124C97"/>
    <w:rsid w:val="00125F00"/>
    <w:rsid w:val="00146600"/>
    <w:rsid w:val="00146B5E"/>
    <w:rsid w:val="001470C0"/>
    <w:rsid w:val="001475FE"/>
    <w:rsid w:val="00150CA6"/>
    <w:rsid w:val="00163BBE"/>
    <w:rsid w:val="00173690"/>
    <w:rsid w:val="00176D66"/>
    <w:rsid w:val="00181F00"/>
    <w:rsid w:val="0019407A"/>
    <w:rsid w:val="0019691F"/>
    <w:rsid w:val="001A29CA"/>
    <w:rsid w:val="001A4577"/>
    <w:rsid w:val="001A5D2B"/>
    <w:rsid w:val="001A5E0A"/>
    <w:rsid w:val="001A6B7C"/>
    <w:rsid w:val="001A7291"/>
    <w:rsid w:val="001B40FA"/>
    <w:rsid w:val="001B49BD"/>
    <w:rsid w:val="001B6B4A"/>
    <w:rsid w:val="001C0744"/>
    <w:rsid w:val="001C3324"/>
    <w:rsid w:val="001C3703"/>
    <w:rsid w:val="001C4D3A"/>
    <w:rsid w:val="001C5D46"/>
    <w:rsid w:val="001D4A7F"/>
    <w:rsid w:val="001E69DB"/>
    <w:rsid w:val="001F0B06"/>
    <w:rsid w:val="001F2664"/>
    <w:rsid w:val="001F47CB"/>
    <w:rsid w:val="001F5544"/>
    <w:rsid w:val="002008DF"/>
    <w:rsid w:val="00204D0F"/>
    <w:rsid w:val="002128B8"/>
    <w:rsid w:val="00215A17"/>
    <w:rsid w:val="002265E9"/>
    <w:rsid w:val="00241BFD"/>
    <w:rsid w:val="00245DFB"/>
    <w:rsid w:val="00251C88"/>
    <w:rsid w:val="00252CD0"/>
    <w:rsid w:val="00255A87"/>
    <w:rsid w:val="002626D9"/>
    <w:rsid w:val="002677D6"/>
    <w:rsid w:val="0027273D"/>
    <w:rsid w:val="00285E62"/>
    <w:rsid w:val="0028677A"/>
    <w:rsid w:val="0029476E"/>
    <w:rsid w:val="00296592"/>
    <w:rsid w:val="00296D17"/>
    <w:rsid w:val="002A6174"/>
    <w:rsid w:val="002B43A6"/>
    <w:rsid w:val="002B62A0"/>
    <w:rsid w:val="002C0ECB"/>
    <w:rsid w:val="002C23E9"/>
    <w:rsid w:val="002C44F5"/>
    <w:rsid w:val="00317A96"/>
    <w:rsid w:val="00321EB8"/>
    <w:rsid w:val="00323139"/>
    <w:rsid w:val="00335092"/>
    <w:rsid w:val="00341866"/>
    <w:rsid w:val="00347526"/>
    <w:rsid w:val="00356E26"/>
    <w:rsid w:val="00366669"/>
    <w:rsid w:val="00367DE4"/>
    <w:rsid w:val="00370763"/>
    <w:rsid w:val="00372A8A"/>
    <w:rsid w:val="00374409"/>
    <w:rsid w:val="00381700"/>
    <w:rsid w:val="00386BED"/>
    <w:rsid w:val="003A1D7A"/>
    <w:rsid w:val="003A5D8F"/>
    <w:rsid w:val="003A5DF8"/>
    <w:rsid w:val="003B4D70"/>
    <w:rsid w:val="003B524D"/>
    <w:rsid w:val="003C1644"/>
    <w:rsid w:val="003C1F91"/>
    <w:rsid w:val="003D6813"/>
    <w:rsid w:val="003F32A9"/>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81237"/>
    <w:rsid w:val="004855F2"/>
    <w:rsid w:val="00487256"/>
    <w:rsid w:val="00490E50"/>
    <w:rsid w:val="00491C0D"/>
    <w:rsid w:val="004A51DF"/>
    <w:rsid w:val="004A5BB4"/>
    <w:rsid w:val="004A6E59"/>
    <w:rsid w:val="004B665B"/>
    <w:rsid w:val="004C36C3"/>
    <w:rsid w:val="004C3BB0"/>
    <w:rsid w:val="004C3C65"/>
    <w:rsid w:val="004D1EE5"/>
    <w:rsid w:val="004D4CD3"/>
    <w:rsid w:val="004D53C3"/>
    <w:rsid w:val="004D778A"/>
    <w:rsid w:val="004D79AA"/>
    <w:rsid w:val="004F3E67"/>
    <w:rsid w:val="0050437A"/>
    <w:rsid w:val="005105F7"/>
    <w:rsid w:val="00515CA5"/>
    <w:rsid w:val="00517B18"/>
    <w:rsid w:val="00521ABE"/>
    <w:rsid w:val="00524B22"/>
    <w:rsid w:val="00530BB4"/>
    <w:rsid w:val="005320C7"/>
    <w:rsid w:val="005346F4"/>
    <w:rsid w:val="00534B97"/>
    <w:rsid w:val="0053683D"/>
    <w:rsid w:val="00537276"/>
    <w:rsid w:val="0054477B"/>
    <w:rsid w:val="005452D2"/>
    <w:rsid w:val="0055161C"/>
    <w:rsid w:val="00551B13"/>
    <w:rsid w:val="005521E7"/>
    <w:rsid w:val="00556AC8"/>
    <w:rsid w:val="005665D1"/>
    <w:rsid w:val="005671AF"/>
    <w:rsid w:val="00570113"/>
    <w:rsid w:val="005701E9"/>
    <w:rsid w:val="00583F6E"/>
    <w:rsid w:val="00584568"/>
    <w:rsid w:val="0058734A"/>
    <w:rsid w:val="0058744A"/>
    <w:rsid w:val="005916D2"/>
    <w:rsid w:val="00592AD7"/>
    <w:rsid w:val="00594550"/>
    <w:rsid w:val="005953A4"/>
    <w:rsid w:val="005A02C5"/>
    <w:rsid w:val="005A6969"/>
    <w:rsid w:val="005A6D8E"/>
    <w:rsid w:val="005B0E46"/>
    <w:rsid w:val="005D0272"/>
    <w:rsid w:val="005E318F"/>
    <w:rsid w:val="005E6B6B"/>
    <w:rsid w:val="006053EE"/>
    <w:rsid w:val="006070B9"/>
    <w:rsid w:val="00617E46"/>
    <w:rsid w:val="0062025E"/>
    <w:rsid w:val="00625882"/>
    <w:rsid w:val="006276C9"/>
    <w:rsid w:val="006400D4"/>
    <w:rsid w:val="00647B24"/>
    <w:rsid w:val="00656DF0"/>
    <w:rsid w:val="0065768D"/>
    <w:rsid w:val="0066305C"/>
    <w:rsid w:val="00672BEA"/>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316"/>
    <w:rsid w:val="00703DFC"/>
    <w:rsid w:val="0070558B"/>
    <w:rsid w:val="0071251E"/>
    <w:rsid w:val="00715910"/>
    <w:rsid w:val="00720B54"/>
    <w:rsid w:val="00720E07"/>
    <w:rsid w:val="00725908"/>
    <w:rsid w:val="0072643A"/>
    <w:rsid w:val="00737CBA"/>
    <w:rsid w:val="00764A91"/>
    <w:rsid w:val="00766823"/>
    <w:rsid w:val="007726D7"/>
    <w:rsid w:val="00773856"/>
    <w:rsid w:val="00777888"/>
    <w:rsid w:val="007802C3"/>
    <w:rsid w:val="0078241C"/>
    <w:rsid w:val="0078412E"/>
    <w:rsid w:val="00785CF9"/>
    <w:rsid w:val="00785F9D"/>
    <w:rsid w:val="0078775E"/>
    <w:rsid w:val="00790C19"/>
    <w:rsid w:val="00793C14"/>
    <w:rsid w:val="007957B9"/>
    <w:rsid w:val="007A46B4"/>
    <w:rsid w:val="007A5C4A"/>
    <w:rsid w:val="007A77D7"/>
    <w:rsid w:val="007B021E"/>
    <w:rsid w:val="007D2400"/>
    <w:rsid w:val="007D4A4A"/>
    <w:rsid w:val="007E52AC"/>
    <w:rsid w:val="007E6973"/>
    <w:rsid w:val="007E699A"/>
    <w:rsid w:val="007E7573"/>
    <w:rsid w:val="007F4F94"/>
    <w:rsid w:val="007F7E3C"/>
    <w:rsid w:val="007F7FF1"/>
    <w:rsid w:val="0081326C"/>
    <w:rsid w:val="00827DA2"/>
    <w:rsid w:val="0083270A"/>
    <w:rsid w:val="00834291"/>
    <w:rsid w:val="00834B9E"/>
    <w:rsid w:val="0083507A"/>
    <w:rsid w:val="008410EA"/>
    <w:rsid w:val="00841CCE"/>
    <w:rsid w:val="00852671"/>
    <w:rsid w:val="00855434"/>
    <w:rsid w:val="00855CCF"/>
    <w:rsid w:val="0086417D"/>
    <w:rsid w:val="00865949"/>
    <w:rsid w:val="00865E72"/>
    <w:rsid w:val="0087254C"/>
    <w:rsid w:val="00880EEA"/>
    <w:rsid w:val="008814F7"/>
    <w:rsid w:val="00891E91"/>
    <w:rsid w:val="00893FB3"/>
    <w:rsid w:val="008956A4"/>
    <w:rsid w:val="008B5814"/>
    <w:rsid w:val="008D3307"/>
    <w:rsid w:val="008D7DF2"/>
    <w:rsid w:val="008E4CB7"/>
    <w:rsid w:val="008F66AB"/>
    <w:rsid w:val="0090592F"/>
    <w:rsid w:val="00906BFB"/>
    <w:rsid w:val="009124A0"/>
    <w:rsid w:val="009131BC"/>
    <w:rsid w:val="0091686D"/>
    <w:rsid w:val="00920A1C"/>
    <w:rsid w:val="00924B80"/>
    <w:rsid w:val="00930B08"/>
    <w:rsid w:val="00930D33"/>
    <w:rsid w:val="00932217"/>
    <w:rsid w:val="00937BCD"/>
    <w:rsid w:val="009447D3"/>
    <w:rsid w:val="009537F4"/>
    <w:rsid w:val="00956FF9"/>
    <w:rsid w:val="00961DAE"/>
    <w:rsid w:val="00966148"/>
    <w:rsid w:val="009679E3"/>
    <w:rsid w:val="009713C5"/>
    <w:rsid w:val="0097434D"/>
    <w:rsid w:val="00977E05"/>
    <w:rsid w:val="00991D87"/>
    <w:rsid w:val="009947B6"/>
    <w:rsid w:val="00994B38"/>
    <w:rsid w:val="009961FC"/>
    <w:rsid w:val="00997AE4"/>
    <w:rsid w:val="009A13D0"/>
    <w:rsid w:val="009A61E8"/>
    <w:rsid w:val="009B027F"/>
    <w:rsid w:val="009B4335"/>
    <w:rsid w:val="009B7DFA"/>
    <w:rsid w:val="009C2E1C"/>
    <w:rsid w:val="009D505F"/>
    <w:rsid w:val="009E1DA1"/>
    <w:rsid w:val="009F4AB4"/>
    <w:rsid w:val="009F71DC"/>
    <w:rsid w:val="00A0763E"/>
    <w:rsid w:val="00A128BF"/>
    <w:rsid w:val="00A15BF1"/>
    <w:rsid w:val="00A17794"/>
    <w:rsid w:val="00A226EE"/>
    <w:rsid w:val="00A34319"/>
    <w:rsid w:val="00A34518"/>
    <w:rsid w:val="00A35158"/>
    <w:rsid w:val="00A3726A"/>
    <w:rsid w:val="00A40B65"/>
    <w:rsid w:val="00A4355D"/>
    <w:rsid w:val="00A51FCA"/>
    <w:rsid w:val="00A536DA"/>
    <w:rsid w:val="00A55CCE"/>
    <w:rsid w:val="00A56980"/>
    <w:rsid w:val="00A60681"/>
    <w:rsid w:val="00A72F11"/>
    <w:rsid w:val="00A84DE0"/>
    <w:rsid w:val="00A85DE0"/>
    <w:rsid w:val="00A86836"/>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2439B"/>
    <w:rsid w:val="00B3254F"/>
    <w:rsid w:val="00B33628"/>
    <w:rsid w:val="00B337D1"/>
    <w:rsid w:val="00B3547F"/>
    <w:rsid w:val="00B43366"/>
    <w:rsid w:val="00B4431A"/>
    <w:rsid w:val="00B45A81"/>
    <w:rsid w:val="00B460AF"/>
    <w:rsid w:val="00B52047"/>
    <w:rsid w:val="00B62B35"/>
    <w:rsid w:val="00B710EA"/>
    <w:rsid w:val="00B75595"/>
    <w:rsid w:val="00B77208"/>
    <w:rsid w:val="00B806DB"/>
    <w:rsid w:val="00B81BC5"/>
    <w:rsid w:val="00B835C5"/>
    <w:rsid w:val="00B97BC8"/>
    <w:rsid w:val="00BA6814"/>
    <w:rsid w:val="00BA6DCF"/>
    <w:rsid w:val="00BA7702"/>
    <w:rsid w:val="00BB1C54"/>
    <w:rsid w:val="00BB4AB7"/>
    <w:rsid w:val="00BC1458"/>
    <w:rsid w:val="00BC1B93"/>
    <w:rsid w:val="00BD0A6B"/>
    <w:rsid w:val="00BD15D4"/>
    <w:rsid w:val="00BE46A2"/>
    <w:rsid w:val="00BF0461"/>
    <w:rsid w:val="00BF144D"/>
    <w:rsid w:val="00BF4DCB"/>
    <w:rsid w:val="00C01B8E"/>
    <w:rsid w:val="00C0487E"/>
    <w:rsid w:val="00C056FE"/>
    <w:rsid w:val="00C05E2D"/>
    <w:rsid w:val="00C1080B"/>
    <w:rsid w:val="00C13D4D"/>
    <w:rsid w:val="00C14CA1"/>
    <w:rsid w:val="00C209EA"/>
    <w:rsid w:val="00C20BA6"/>
    <w:rsid w:val="00C211B3"/>
    <w:rsid w:val="00C3310F"/>
    <w:rsid w:val="00C33BBC"/>
    <w:rsid w:val="00C353AA"/>
    <w:rsid w:val="00C41350"/>
    <w:rsid w:val="00C44266"/>
    <w:rsid w:val="00C446C7"/>
    <w:rsid w:val="00C4788A"/>
    <w:rsid w:val="00C52DB5"/>
    <w:rsid w:val="00C53513"/>
    <w:rsid w:val="00C54034"/>
    <w:rsid w:val="00C56512"/>
    <w:rsid w:val="00C63FEE"/>
    <w:rsid w:val="00C70D6C"/>
    <w:rsid w:val="00C71F08"/>
    <w:rsid w:val="00C7775E"/>
    <w:rsid w:val="00C856C1"/>
    <w:rsid w:val="00C936A0"/>
    <w:rsid w:val="00C950B8"/>
    <w:rsid w:val="00C9728E"/>
    <w:rsid w:val="00C97402"/>
    <w:rsid w:val="00CA5395"/>
    <w:rsid w:val="00CA582B"/>
    <w:rsid w:val="00CA5D25"/>
    <w:rsid w:val="00CB10EF"/>
    <w:rsid w:val="00CB7A74"/>
    <w:rsid w:val="00CC084C"/>
    <w:rsid w:val="00CC312A"/>
    <w:rsid w:val="00CC74B4"/>
    <w:rsid w:val="00CD31E5"/>
    <w:rsid w:val="00CD5FDB"/>
    <w:rsid w:val="00CD743B"/>
    <w:rsid w:val="00CD787F"/>
    <w:rsid w:val="00CE0248"/>
    <w:rsid w:val="00CE0EF2"/>
    <w:rsid w:val="00CE64F2"/>
    <w:rsid w:val="00CF49BC"/>
    <w:rsid w:val="00CF5B9A"/>
    <w:rsid w:val="00D02D61"/>
    <w:rsid w:val="00D071DB"/>
    <w:rsid w:val="00D17D20"/>
    <w:rsid w:val="00D20E2B"/>
    <w:rsid w:val="00D23599"/>
    <w:rsid w:val="00D33436"/>
    <w:rsid w:val="00D43998"/>
    <w:rsid w:val="00D47828"/>
    <w:rsid w:val="00D63246"/>
    <w:rsid w:val="00D63C82"/>
    <w:rsid w:val="00D67693"/>
    <w:rsid w:val="00D70310"/>
    <w:rsid w:val="00D76D45"/>
    <w:rsid w:val="00D77890"/>
    <w:rsid w:val="00D867E0"/>
    <w:rsid w:val="00D87C24"/>
    <w:rsid w:val="00D90CBF"/>
    <w:rsid w:val="00D90F48"/>
    <w:rsid w:val="00D9166B"/>
    <w:rsid w:val="00D92CB4"/>
    <w:rsid w:val="00D93E95"/>
    <w:rsid w:val="00D94313"/>
    <w:rsid w:val="00DA2DC6"/>
    <w:rsid w:val="00DA6F3C"/>
    <w:rsid w:val="00DA7F57"/>
    <w:rsid w:val="00DB44CE"/>
    <w:rsid w:val="00DB4D48"/>
    <w:rsid w:val="00DC05D3"/>
    <w:rsid w:val="00DC09DD"/>
    <w:rsid w:val="00DC0CCD"/>
    <w:rsid w:val="00DC4367"/>
    <w:rsid w:val="00DD02E8"/>
    <w:rsid w:val="00DD3E84"/>
    <w:rsid w:val="00DD46CD"/>
    <w:rsid w:val="00DF281F"/>
    <w:rsid w:val="00DF3DC8"/>
    <w:rsid w:val="00DF57D1"/>
    <w:rsid w:val="00E027CE"/>
    <w:rsid w:val="00E0745C"/>
    <w:rsid w:val="00E102DA"/>
    <w:rsid w:val="00E146ED"/>
    <w:rsid w:val="00E2091C"/>
    <w:rsid w:val="00E27E54"/>
    <w:rsid w:val="00E310B1"/>
    <w:rsid w:val="00E4230F"/>
    <w:rsid w:val="00E436DC"/>
    <w:rsid w:val="00E43FF3"/>
    <w:rsid w:val="00E52021"/>
    <w:rsid w:val="00E521EB"/>
    <w:rsid w:val="00E57F5B"/>
    <w:rsid w:val="00E60318"/>
    <w:rsid w:val="00E623D5"/>
    <w:rsid w:val="00E6445A"/>
    <w:rsid w:val="00E6573E"/>
    <w:rsid w:val="00E808CB"/>
    <w:rsid w:val="00E857B8"/>
    <w:rsid w:val="00E91B2F"/>
    <w:rsid w:val="00E92ACF"/>
    <w:rsid w:val="00E9701C"/>
    <w:rsid w:val="00EA07A3"/>
    <w:rsid w:val="00EA26F9"/>
    <w:rsid w:val="00EA5739"/>
    <w:rsid w:val="00EB6EE6"/>
    <w:rsid w:val="00EC0705"/>
    <w:rsid w:val="00EC402B"/>
    <w:rsid w:val="00EC4610"/>
    <w:rsid w:val="00EC4C08"/>
    <w:rsid w:val="00EC657E"/>
    <w:rsid w:val="00EC7372"/>
    <w:rsid w:val="00EE4F64"/>
    <w:rsid w:val="00EE5F32"/>
    <w:rsid w:val="00EE64A4"/>
    <w:rsid w:val="00EF4B42"/>
    <w:rsid w:val="00EF5878"/>
    <w:rsid w:val="00F02B46"/>
    <w:rsid w:val="00F04F98"/>
    <w:rsid w:val="00F05061"/>
    <w:rsid w:val="00F06BE5"/>
    <w:rsid w:val="00F15EB8"/>
    <w:rsid w:val="00F17D46"/>
    <w:rsid w:val="00F2283B"/>
    <w:rsid w:val="00F239CB"/>
    <w:rsid w:val="00F252DC"/>
    <w:rsid w:val="00F27EC2"/>
    <w:rsid w:val="00F30FE9"/>
    <w:rsid w:val="00F31331"/>
    <w:rsid w:val="00F33CC9"/>
    <w:rsid w:val="00F34211"/>
    <w:rsid w:val="00F4212C"/>
    <w:rsid w:val="00F42509"/>
    <w:rsid w:val="00F500B7"/>
    <w:rsid w:val="00F50EDA"/>
    <w:rsid w:val="00F567F0"/>
    <w:rsid w:val="00F56BED"/>
    <w:rsid w:val="00F619B0"/>
    <w:rsid w:val="00F62C6E"/>
    <w:rsid w:val="00F63C6E"/>
    <w:rsid w:val="00F67CA1"/>
    <w:rsid w:val="00F72A15"/>
    <w:rsid w:val="00F730F8"/>
    <w:rsid w:val="00F75289"/>
    <w:rsid w:val="00F75383"/>
    <w:rsid w:val="00F76482"/>
    <w:rsid w:val="00F80272"/>
    <w:rsid w:val="00F81786"/>
    <w:rsid w:val="00F81960"/>
    <w:rsid w:val="00F86890"/>
    <w:rsid w:val="00F94545"/>
    <w:rsid w:val="00F94D8A"/>
    <w:rsid w:val="00FA1560"/>
    <w:rsid w:val="00FA2A52"/>
    <w:rsid w:val="00FA39C7"/>
    <w:rsid w:val="00FA4464"/>
    <w:rsid w:val="00FA7337"/>
    <w:rsid w:val="00FB5088"/>
    <w:rsid w:val="00FC34C8"/>
    <w:rsid w:val="00FC4CD8"/>
    <w:rsid w:val="00FC51FD"/>
    <w:rsid w:val="00FC5E3E"/>
    <w:rsid w:val="00FE439E"/>
    <w:rsid w:val="020BE966"/>
    <w:rsid w:val="03DB4791"/>
    <w:rsid w:val="03E9AA87"/>
    <w:rsid w:val="0595F074"/>
    <w:rsid w:val="06CD2A97"/>
    <w:rsid w:val="075EFE9E"/>
    <w:rsid w:val="08C81F59"/>
    <w:rsid w:val="0C095F57"/>
    <w:rsid w:val="0C70C202"/>
    <w:rsid w:val="0D4DB07B"/>
    <w:rsid w:val="0EA83914"/>
    <w:rsid w:val="0FABB530"/>
    <w:rsid w:val="104D7E1C"/>
    <w:rsid w:val="113308A1"/>
    <w:rsid w:val="1152C664"/>
    <w:rsid w:val="1245C591"/>
    <w:rsid w:val="12617C45"/>
    <w:rsid w:val="1281FCA3"/>
    <w:rsid w:val="15C10CB8"/>
    <w:rsid w:val="1693EBD5"/>
    <w:rsid w:val="16D0AFD3"/>
    <w:rsid w:val="189D6C40"/>
    <w:rsid w:val="19902A7E"/>
    <w:rsid w:val="1BCA398C"/>
    <w:rsid w:val="1C37B84A"/>
    <w:rsid w:val="1CA84FCC"/>
    <w:rsid w:val="1CB1AE92"/>
    <w:rsid w:val="1E99C437"/>
    <w:rsid w:val="1F7013FF"/>
    <w:rsid w:val="21435877"/>
    <w:rsid w:val="22BB2A40"/>
    <w:rsid w:val="27336678"/>
    <w:rsid w:val="278208E5"/>
    <w:rsid w:val="288EABE8"/>
    <w:rsid w:val="29814597"/>
    <w:rsid w:val="29A2266B"/>
    <w:rsid w:val="2B2910A5"/>
    <w:rsid w:val="2B30F397"/>
    <w:rsid w:val="3081ADD2"/>
    <w:rsid w:val="31954E2E"/>
    <w:rsid w:val="3207E057"/>
    <w:rsid w:val="32F4337F"/>
    <w:rsid w:val="338300F7"/>
    <w:rsid w:val="33DEA647"/>
    <w:rsid w:val="344D5BF3"/>
    <w:rsid w:val="371FC614"/>
    <w:rsid w:val="39CE3CC3"/>
    <w:rsid w:val="3BCA4A52"/>
    <w:rsid w:val="3CE4074C"/>
    <w:rsid w:val="3D4CFCA9"/>
    <w:rsid w:val="3D5AAB50"/>
    <w:rsid w:val="3DAB990F"/>
    <w:rsid w:val="3DC868D0"/>
    <w:rsid w:val="3F75A840"/>
    <w:rsid w:val="40556873"/>
    <w:rsid w:val="40E2461B"/>
    <w:rsid w:val="41908E33"/>
    <w:rsid w:val="41F5E0E6"/>
    <w:rsid w:val="425EF7E9"/>
    <w:rsid w:val="4286D704"/>
    <w:rsid w:val="430B99E5"/>
    <w:rsid w:val="43D26730"/>
    <w:rsid w:val="4459479F"/>
    <w:rsid w:val="459C98F9"/>
    <w:rsid w:val="45FDE7F4"/>
    <w:rsid w:val="463875D4"/>
    <w:rsid w:val="49201353"/>
    <w:rsid w:val="4A10BC8E"/>
    <w:rsid w:val="4BC4CFCA"/>
    <w:rsid w:val="4D5A3131"/>
    <w:rsid w:val="4D6C6E60"/>
    <w:rsid w:val="4E8DF5B8"/>
    <w:rsid w:val="4F845063"/>
    <w:rsid w:val="4FF1D909"/>
    <w:rsid w:val="54153741"/>
    <w:rsid w:val="5430E9DB"/>
    <w:rsid w:val="549EAD48"/>
    <w:rsid w:val="56C411BC"/>
    <w:rsid w:val="5739C196"/>
    <w:rsid w:val="59CB70EE"/>
    <w:rsid w:val="5ACC2226"/>
    <w:rsid w:val="5D453453"/>
    <w:rsid w:val="5D5ED243"/>
    <w:rsid w:val="5EFAF138"/>
    <w:rsid w:val="60D27727"/>
    <w:rsid w:val="61A072D3"/>
    <w:rsid w:val="638F3E8E"/>
    <w:rsid w:val="646F5860"/>
    <w:rsid w:val="665D373A"/>
    <w:rsid w:val="66B4C88A"/>
    <w:rsid w:val="679453F5"/>
    <w:rsid w:val="68CB2AB8"/>
    <w:rsid w:val="69DA7D7A"/>
    <w:rsid w:val="6C3EC725"/>
    <w:rsid w:val="70952F39"/>
    <w:rsid w:val="71F76418"/>
    <w:rsid w:val="721C81F4"/>
    <w:rsid w:val="740D4924"/>
    <w:rsid w:val="75326AD2"/>
    <w:rsid w:val="77190921"/>
    <w:rsid w:val="78DA6E90"/>
    <w:rsid w:val="79072298"/>
    <w:rsid w:val="7C4EEAF1"/>
    <w:rsid w:val="7E143282"/>
    <w:rsid w:val="7E9EFC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A0C5EFBF-CC51-40BC-B8CF-D901467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2"/>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4"/>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styleId="CommentReference">
    <w:name w:val="annotation reference"/>
    <w:basedOn w:val="DefaultParagraphFont"/>
    <w:rsid w:val="007F7FF1"/>
    <w:rPr>
      <w:sz w:val="16"/>
      <w:szCs w:val="16"/>
    </w:rPr>
  </w:style>
  <w:style w:type="paragraph" w:styleId="CommentText">
    <w:name w:val="annotation text"/>
    <w:basedOn w:val="Normal"/>
    <w:link w:val="CommentTextChar"/>
    <w:rsid w:val="007F7FF1"/>
    <w:rPr>
      <w:sz w:val="20"/>
      <w:szCs w:val="20"/>
    </w:rPr>
  </w:style>
  <w:style w:type="character" w:customStyle="1" w:styleId="CommentTextChar">
    <w:name w:val="Comment Text Char"/>
    <w:basedOn w:val="DefaultParagraphFont"/>
    <w:link w:val="CommentText"/>
    <w:rsid w:val="007F7FF1"/>
  </w:style>
  <w:style w:type="paragraph" w:styleId="CommentSubject">
    <w:name w:val="annotation subject"/>
    <w:basedOn w:val="CommentText"/>
    <w:next w:val="CommentText"/>
    <w:link w:val="CommentSubjectChar"/>
    <w:rsid w:val="007F7FF1"/>
    <w:rPr>
      <w:b/>
      <w:bCs/>
    </w:rPr>
  </w:style>
  <w:style w:type="character" w:customStyle="1" w:styleId="CommentSubjectChar">
    <w:name w:val="Comment Subject Char"/>
    <w:basedOn w:val="CommentTextChar"/>
    <w:link w:val="CommentSubject"/>
    <w:rsid w:val="007F7FF1"/>
    <w:rPr>
      <w:b/>
      <w:bCs/>
    </w:rPr>
  </w:style>
  <w:style w:type="character" w:styleId="UnresolvedMention">
    <w:name w:val="Unresolved Mention"/>
    <w:basedOn w:val="DefaultParagraphFont"/>
    <w:uiPriority w:val="99"/>
    <w:semiHidden/>
    <w:unhideWhenUsed/>
    <w:rsid w:val="00245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info.gov/public/do/PRA/icrPublicCommentRequest?ref_nbr=202604-1902-004" TargetMode="External" /><Relationship Id="rId12" Type="http://schemas.openxmlformats.org/officeDocument/2006/relationships/hyperlink" Target="https://www.reginfo.gov/public/do/PRAMain" TargetMode="External" /><Relationship Id="rId13" Type="http://schemas.openxmlformats.org/officeDocument/2006/relationships/hyperlink" Target="mailto:DataClearance@FERC.gov" TargetMode="External" /><Relationship Id="rId14" Type="http://schemas.openxmlformats.org/officeDocument/2006/relationships/hyperlink" Target="https://elibrary.ferc.gov/eLibrary/search"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687E5-3A97-4671-AC0C-89AF4A781797}">
  <ds:schemaRefs>
    <ds:schemaRef ds:uri="Microsoft.SharePoint.Taxonomy.ContentTypeSync"/>
  </ds:schemaRefs>
</ds:datastoreItem>
</file>

<file path=customXml/itemProps2.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3.xml><?xml version="1.0" encoding="utf-8"?>
<ds:datastoreItem xmlns:ds="http://schemas.openxmlformats.org/officeDocument/2006/customXml" ds:itemID="{1238E832-110B-4A4B-9991-5C2CC4D01FD9}">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5.xml><?xml version="1.0" encoding="utf-8"?>
<ds:datastoreItem xmlns:ds="http://schemas.openxmlformats.org/officeDocument/2006/customXml" ds:itemID="{9EF03387-B5F2-40F4-BE1A-A59A9C0BD037}">
  <ds:schemaRefs>
    <ds:schemaRef ds:uri="http://schemas.openxmlformats.org/officeDocument/2006/bibliography"/>
  </ds:schemaRefs>
</ds:datastoreItem>
</file>

<file path=customXml/itemProps6.xml><?xml version="1.0" encoding="utf-8"?>
<ds:datastoreItem xmlns:ds="http://schemas.openxmlformats.org/officeDocument/2006/customXml" ds:itemID="{AF3CE2DB-B69E-4D71-B1BE-77FB5AFF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5</TotalTime>
  <Pages>5</Pages>
  <Words>902</Words>
  <Characters>5417</Characters>
  <Application>Microsoft Office Word</Application>
  <DocSecurity>0</DocSecurity>
  <Lines>169</Lines>
  <Paragraphs>76</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2011-07-29T18:17:00Z</cp:lastPrinted>
  <dcterms:created xsi:type="dcterms:W3CDTF">2026-04-10T23:13:00Z</dcterms:created>
  <dcterms:modified xsi:type="dcterms:W3CDTF">2026-06-10T14:26:00Z</dcterms:modified>
</cp:coreProperties>
</file>