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CB3BFF" w:rsidRPr="00D4590B" w:rsidP="002C1E27" w14:paraId="0C366C10" w14:textId="77777777">
      <w:pPr>
        <w:tabs>
          <w:tab w:val="center" w:pos="4680"/>
        </w:tabs>
        <w:autoSpaceDE w:val="0"/>
        <w:autoSpaceDN w:val="0"/>
        <w:adjustRightInd w:val="0"/>
        <w:spacing w:after="0" w:line="240" w:lineRule="auto"/>
        <w:jc w:val="center"/>
        <w:rPr>
          <w:rFonts w:ascii="Times New Roman" w:eastAsia="Times New Roman" w:hAnsi="Times New Roman" w:cs="Times New Roman"/>
          <w:sz w:val="26"/>
          <w:szCs w:val="26"/>
        </w:rPr>
      </w:pPr>
      <w:r w:rsidRPr="00D4590B">
        <w:rPr>
          <w:rFonts w:ascii="Times New Roman" w:eastAsia="Times New Roman" w:hAnsi="Times New Roman" w:cs="Times New Roman"/>
          <w:sz w:val="26"/>
          <w:szCs w:val="26"/>
        </w:rPr>
        <w:t>UNITED STATES OF AMERICA</w:t>
      </w:r>
    </w:p>
    <w:p w:rsidR="00CB3BFF" w:rsidRPr="00D4590B" w:rsidP="002621ED" w14:paraId="1EDC4674" w14:textId="77777777">
      <w:pPr>
        <w:tabs>
          <w:tab w:val="center" w:pos="4680"/>
        </w:tabs>
        <w:autoSpaceDE w:val="0"/>
        <w:autoSpaceDN w:val="0"/>
        <w:adjustRightInd w:val="0"/>
        <w:spacing w:after="0" w:line="240" w:lineRule="auto"/>
        <w:jc w:val="center"/>
        <w:rPr>
          <w:rFonts w:ascii="Times New Roman" w:eastAsia="Times New Roman" w:hAnsi="Times New Roman" w:cs="Times New Roman"/>
          <w:sz w:val="26"/>
          <w:szCs w:val="26"/>
        </w:rPr>
      </w:pPr>
      <w:r w:rsidRPr="00D4590B">
        <w:rPr>
          <w:rFonts w:ascii="Times New Roman" w:eastAsia="Times New Roman" w:hAnsi="Times New Roman" w:cs="Times New Roman"/>
          <w:sz w:val="26"/>
          <w:szCs w:val="26"/>
        </w:rPr>
        <w:t>FEDERAL ENERGY REGULATORY COMMISSION</w:t>
      </w:r>
    </w:p>
    <w:p w:rsidR="00CB3BFF" w:rsidRPr="00D4590B" w:rsidP="002C1E27" w14:paraId="0387A32A" w14:textId="77777777">
      <w:pPr>
        <w:autoSpaceDE w:val="0"/>
        <w:autoSpaceDN w:val="0"/>
        <w:adjustRightInd w:val="0"/>
        <w:spacing w:after="0" w:line="240" w:lineRule="auto"/>
        <w:rPr>
          <w:rFonts w:ascii="Times New Roman" w:eastAsia="Times New Roman" w:hAnsi="Times New Roman" w:cs="Times New Roman"/>
          <w:sz w:val="26"/>
          <w:szCs w:val="26"/>
        </w:rPr>
      </w:pPr>
    </w:p>
    <w:p w:rsidR="00CB3BFF" w:rsidP="002621ED" w14:paraId="058B3FA1" w14:textId="5ABEE086">
      <w:pPr>
        <w:autoSpaceDE w:val="0"/>
        <w:autoSpaceDN w:val="0"/>
        <w:adjustRightInd w:val="0"/>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sidRPr="00B14ED0">
        <w:rPr>
          <w:rFonts w:ascii="Times New Roman" w:eastAsia="Times New Roman" w:hAnsi="Times New Roman" w:cs="Times New Roman"/>
          <w:sz w:val="26"/>
          <w:szCs w:val="26"/>
        </w:rPr>
        <w:t xml:space="preserve">Docket No. </w:t>
      </w:r>
      <w:r w:rsidRPr="00111622">
        <w:rPr>
          <w:rFonts w:ascii="Times New Roman" w:eastAsia="Times New Roman" w:hAnsi="Times New Roman" w:cs="Times New Roman"/>
          <w:sz w:val="26"/>
          <w:szCs w:val="26"/>
        </w:rPr>
        <w:t>IC</w:t>
      </w:r>
      <w:r w:rsidRPr="00111622" w:rsidR="00111622">
        <w:rPr>
          <w:rFonts w:ascii="Times New Roman" w:eastAsia="Times New Roman" w:hAnsi="Times New Roman" w:cs="Times New Roman"/>
          <w:sz w:val="26"/>
          <w:szCs w:val="26"/>
        </w:rPr>
        <w:t>2</w:t>
      </w:r>
      <w:r w:rsidR="00635120">
        <w:rPr>
          <w:rFonts w:ascii="Times New Roman" w:eastAsia="Times New Roman" w:hAnsi="Times New Roman" w:cs="Times New Roman"/>
          <w:sz w:val="26"/>
          <w:szCs w:val="26"/>
        </w:rPr>
        <w:t>6</w:t>
      </w:r>
      <w:r w:rsidRPr="00111622">
        <w:rPr>
          <w:rFonts w:ascii="Times New Roman" w:eastAsia="Times New Roman" w:hAnsi="Times New Roman" w:cs="Times New Roman"/>
          <w:sz w:val="26"/>
          <w:szCs w:val="26"/>
        </w:rPr>
        <w:t>-</w:t>
      </w:r>
      <w:r w:rsidR="00C26176">
        <w:rPr>
          <w:rFonts w:ascii="Times New Roman" w:eastAsia="Times New Roman" w:hAnsi="Times New Roman" w:cs="Times New Roman"/>
          <w:sz w:val="26"/>
          <w:szCs w:val="26"/>
        </w:rPr>
        <w:t>23</w:t>
      </w:r>
      <w:r w:rsidRPr="00111622">
        <w:rPr>
          <w:rFonts w:ascii="Times New Roman" w:eastAsia="Times New Roman" w:hAnsi="Times New Roman" w:cs="Times New Roman"/>
          <w:sz w:val="26"/>
          <w:szCs w:val="26"/>
        </w:rPr>
        <w:t>-000]</w:t>
      </w:r>
    </w:p>
    <w:p w:rsidR="00CB3BFF" w:rsidP="002C1E27" w14:paraId="4A14ADE6" w14:textId="77777777">
      <w:pPr>
        <w:tabs>
          <w:tab w:val="center" w:pos="4680"/>
        </w:tabs>
        <w:autoSpaceDE w:val="0"/>
        <w:autoSpaceDN w:val="0"/>
        <w:adjustRightInd w:val="0"/>
        <w:spacing w:after="0" w:line="240" w:lineRule="auto"/>
        <w:jc w:val="center"/>
        <w:rPr>
          <w:rFonts w:ascii="Times New Roman" w:eastAsia="Times New Roman" w:hAnsi="Times New Roman" w:cs="Times New Roman"/>
          <w:sz w:val="26"/>
          <w:szCs w:val="26"/>
        </w:rPr>
      </w:pPr>
    </w:p>
    <w:p w:rsidR="00CB3BFF" w:rsidP="002C1E27" w14:paraId="1660230E" w14:textId="77777777">
      <w:pPr>
        <w:tabs>
          <w:tab w:val="center" w:pos="4680"/>
        </w:tabs>
        <w:autoSpaceDE w:val="0"/>
        <w:autoSpaceDN w:val="0"/>
        <w:adjustRightInd w:val="0"/>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COMMISSION INFORMATION COLLECTION ACTIVITIES</w:t>
      </w:r>
    </w:p>
    <w:p w:rsidR="00CB3BFF" w:rsidP="002C1E27" w14:paraId="012D830B" w14:textId="77777777">
      <w:pPr>
        <w:tabs>
          <w:tab w:val="center" w:pos="4680"/>
        </w:tabs>
        <w:autoSpaceDE w:val="0"/>
        <w:autoSpaceDN w:val="0"/>
        <w:adjustRightInd w:val="0"/>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(FERC-725J)</w:t>
      </w:r>
    </w:p>
    <w:p w:rsidR="00CB3BFF" w:rsidRPr="00D4590B" w:rsidP="002C1E27" w14:paraId="4A08DDE4" w14:textId="77777777">
      <w:pPr>
        <w:tabs>
          <w:tab w:val="center" w:pos="4680"/>
        </w:tabs>
        <w:autoSpaceDE w:val="0"/>
        <w:autoSpaceDN w:val="0"/>
        <w:adjustRightInd w:val="0"/>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COMMENT REQUEST; EXTENSION</w:t>
      </w:r>
    </w:p>
    <w:p w:rsidR="00CB3BFF" w:rsidRPr="00D4590B" w:rsidP="002C1E27" w14:paraId="513543B4" w14:textId="77777777">
      <w:pPr>
        <w:autoSpaceDE w:val="0"/>
        <w:autoSpaceDN w:val="0"/>
        <w:adjustRightInd w:val="0"/>
        <w:spacing w:after="0" w:line="240" w:lineRule="auto"/>
        <w:rPr>
          <w:rFonts w:ascii="Times New Roman" w:eastAsia="Times New Roman" w:hAnsi="Times New Roman" w:cs="Times New Roman"/>
          <w:sz w:val="26"/>
          <w:szCs w:val="26"/>
        </w:rPr>
      </w:pPr>
    </w:p>
    <w:p w:rsidR="00CB3BFF" w:rsidP="006A5EDC" w14:paraId="03732776" w14:textId="79EDB39D">
      <w:pPr>
        <w:tabs>
          <w:tab w:val="center" w:pos="4680"/>
        </w:tabs>
        <w:autoSpaceDE w:val="0"/>
        <w:autoSpaceDN w:val="0"/>
        <w:adjustRightInd w:val="0"/>
        <w:spacing w:after="0" w:line="240" w:lineRule="auto"/>
        <w:jc w:val="center"/>
        <w:rPr>
          <w:rFonts w:ascii="Times New Roman" w:eastAsia="Times New Roman" w:hAnsi="Times New Roman" w:cs="Times New Roman"/>
          <w:sz w:val="26"/>
          <w:szCs w:val="26"/>
        </w:rPr>
      </w:pPr>
      <w:r w:rsidRPr="006A5EDC">
        <w:rPr>
          <w:rFonts w:ascii="Times New Roman" w:eastAsia="Times New Roman" w:hAnsi="Times New Roman" w:cs="Times New Roman"/>
          <w:sz w:val="26"/>
          <w:szCs w:val="26"/>
        </w:rPr>
        <w:t>(</w:t>
      </w:r>
      <w:r w:rsidR="003E1B4A">
        <w:rPr>
          <w:rFonts w:ascii="Times New Roman" w:eastAsia="Times New Roman" w:hAnsi="Times New Roman" w:cs="Times New Roman"/>
          <w:sz w:val="26"/>
          <w:szCs w:val="26"/>
        </w:rPr>
        <w:t>February 26, 2026</w:t>
      </w:r>
      <w:r w:rsidRPr="006A5EDC">
        <w:rPr>
          <w:rFonts w:ascii="Times New Roman" w:eastAsia="Times New Roman" w:hAnsi="Times New Roman" w:cs="Times New Roman"/>
          <w:sz w:val="26"/>
          <w:szCs w:val="26"/>
        </w:rPr>
        <w:t>)</w:t>
      </w:r>
    </w:p>
    <w:p w:rsidR="006A5EDC" w:rsidRPr="006A5EDC" w:rsidP="006A5EDC" w14:paraId="691D39C6" w14:textId="77777777">
      <w:pPr>
        <w:tabs>
          <w:tab w:val="center" w:pos="4680"/>
        </w:tabs>
        <w:autoSpaceDE w:val="0"/>
        <w:autoSpaceDN w:val="0"/>
        <w:adjustRightInd w:val="0"/>
        <w:spacing w:after="0" w:line="240" w:lineRule="auto"/>
        <w:rPr>
          <w:rFonts w:ascii="Times New Roman" w:eastAsia="Times New Roman" w:hAnsi="Times New Roman" w:cs="Times New Roman"/>
          <w:sz w:val="26"/>
          <w:szCs w:val="26"/>
        </w:rPr>
      </w:pPr>
    </w:p>
    <w:p w:rsidR="00CB3BFF" w:rsidRPr="00D4590B" w:rsidP="00CB3BFF" w14:paraId="4A45F63E" w14:textId="77777777">
      <w:pPr>
        <w:autoSpaceDE w:val="0"/>
        <w:autoSpaceDN w:val="0"/>
        <w:adjustRightInd w:val="0"/>
        <w:spacing w:after="0" w:line="480" w:lineRule="auto"/>
        <w:rPr>
          <w:rFonts w:ascii="Times New Roman" w:eastAsia="Times New Roman" w:hAnsi="Times New Roman" w:cs="Times New Roman"/>
          <w:sz w:val="26"/>
          <w:szCs w:val="26"/>
        </w:rPr>
      </w:pPr>
      <w:r w:rsidRPr="00D4590B">
        <w:rPr>
          <w:rFonts w:ascii="Times New Roman" w:eastAsia="Times New Roman" w:hAnsi="Times New Roman" w:cs="Times New Roman"/>
          <w:b/>
          <w:bCs/>
          <w:sz w:val="26"/>
          <w:szCs w:val="26"/>
        </w:rPr>
        <w:t>AGENCY</w:t>
      </w:r>
      <w:r w:rsidRPr="00D4590B">
        <w:rPr>
          <w:rFonts w:ascii="Times New Roman" w:eastAsia="Times New Roman" w:hAnsi="Times New Roman" w:cs="Times New Roman"/>
          <w:b/>
          <w:bCs/>
          <w:sz w:val="26"/>
          <w:szCs w:val="26"/>
        </w:rPr>
        <w:t xml:space="preserve">:  </w:t>
      </w:r>
      <w:r w:rsidRPr="00D4590B">
        <w:rPr>
          <w:rFonts w:ascii="Times New Roman" w:eastAsia="Times New Roman" w:hAnsi="Times New Roman" w:cs="Times New Roman"/>
          <w:sz w:val="26"/>
          <w:szCs w:val="26"/>
        </w:rPr>
        <w:t>Federal</w:t>
      </w:r>
      <w:r w:rsidRPr="00D4590B">
        <w:rPr>
          <w:rFonts w:ascii="Times New Roman" w:eastAsia="Times New Roman" w:hAnsi="Times New Roman" w:cs="Times New Roman"/>
          <w:sz w:val="26"/>
          <w:szCs w:val="26"/>
        </w:rPr>
        <w:t xml:space="preserve"> Energy Regulatory Commission</w:t>
      </w:r>
    </w:p>
    <w:p w:rsidR="00CB3BFF" w:rsidRPr="00D4590B" w:rsidP="00CB3BFF" w14:paraId="79048F3F" w14:textId="77777777">
      <w:pPr>
        <w:autoSpaceDE w:val="0"/>
        <w:autoSpaceDN w:val="0"/>
        <w:adjustRightInd w:val="0"/>
        <w:spacing w:after="0" w:line="480" w:lineRule="auto"/>
        <w:rPr>
          <w:rFonts w:ascii="Times New Roman" w:eastAsia="Times New Roman" w:hAnsi="Times New Roman" w:cs="Times New Roman"/>
          <w:sz w:val="26"/>
          <w:szCs w:val="26"/>
        </w:rPr>
      </w:pPr>
      <w:r w:rsidRPr="00D4590B">
        <w:rPr>
          <w:rFonts w:ascii="Times New Roman" w:eastAsia="Times New Roman" w:hAnsi="Times New Roman" w:cs="Times New Roman"/>
          <w:b/>
          <w:bCs/>
          <w:sz w:val="26"/>
          <w:szCs w:val="26"/>
        </w:rPr>
        <w:t>ACTION</w:t>
      </w:r>
      <w:r w:rsidRPr="00D4590B">
        <w:rPr>
          <w:rFonts w:ascii="Times New Roman" w:eastAsia="Times New Roman" w:hAnsi="Times New Roman" w:cs="Times New Roman"/>
          <w:b/>
          <w:bCs/>
          <w:sz w:val="26"/>
          <w:szCs w:val="26"/>
        </w:rPr>
        <w:t>:</w:t>
      </w:r>
      <w:r w:rsidRPr="00D4590B">
        <w:rPr>
          <w:rFonts w:ascii="Times New Roman" w:eastAsia="Times New Roman" w:hAnsi="Times New Roman" w:cs="Times New Roman"/>
          <w:sz w:val="26"/>
          <w:szCs w:val="26"/>
        </w:rPr>
        <w:t xml:space="preserve">  Notice</w:t>
      </w:r>
      <w:r w:rsidRPr="00D4590B">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of information collection and request for comments.</w:t>
      </w:r>
    </w:p>
    <w:p w:rsidR="00D718BC" w:rsidRPr="00D718BC" w:rsidP="00D718BC" w14:paraId="772286B9" w14:textId="1F2A0898">
      <w:pPr>
        <w:autoSpaceDE w:val="0"/>
        <w:autoSpaceDN w:val="0"/>
        <w:adjustRightInd w:val="0"/>
        <w:spacing w:after="0" w:line="480" w:lineRule="auto"/>
        <w:rPr>
          <w:rFonts w:ascii="Times New Roman" w:eastAsia="Times New Roman" w:hAnsi="Times New Roman" w:cs="Times New Roman"/>
          <w:sz w:val="26"/>
          <w:szCs w:val="24"/>
        </w:rPr>
      </w:pPr>
      <w:r w:rsidRPr="00D4590B">
        <w:rPr>
          <w:rFonts w:ascii="Times New Roman" w:eastAsia="Times New Roman" w:hAnsi="Times New Roman" w:cs="Times New Roman"/>
          <w:b/>
          <w:color w:val="000000"/>
          <w:sz w:val="26"/>
          <w:szCs w:val="26"/>
        </w:rPr>
        <w:t>SUMMARY</w:t>
      </w:r>
      <w:r w:rsidRPr="00D4590B">
        <w:rPr>
          <w:rFonts w:ascii="Times New Roman" w:eastAsia="Times New Roman" w:hAnsi="Times New Roman" w:cs="Times New Roman"/>
          <w:b/>
          <w:color w:val="000000"/>
          <w:sz w:val="26"/>
          <w:szCs w:val="26"/>
        </w:rPr>
        <w:t xml:space="preserve">:  </w:t>
      </w:r>
      <w:r w:rsidRPr="001E3194">
        <w:rPr>
          <w:rFonts w:ascii="Times New Roman" w:eastAsia="Times New Roman" w:hAnsi="Times New Roman" w:cs="Times New Roman"/>
          <w:sz w:val="26"/>
          <w:szCs w:val="24"/>
        </w:rPr>
        <w:t>In</w:t>
      </w:r>
      <w:r w:rsidRPr="001E3194">
        <w:rPr>
          <w:rFonts w:ascii="Times New Roman" w:eastAsia="Times New Roman" w:hAnsi="Times New Roman" w:cs="Times New Roman"/>
          <w:sz w:val="26"/>
          <w:szCs w:val="24"/>
        </w:rPr>
        <w:t xml:space="preserve"> compliance with the requirements of the Paperwork Reduction Act of 1995 (PRA), the Federal Energy Regulatory Commission (Commission or FERC) is soliciting public comment on the currently approved information collection, FERC</w:t>
      </w:r>
      <w:r>
        <w:rPr>
          <w:rFonts w:ascii="Times New Roman" w:eastAsia="Times New Roman" w:hAnsi="Times New Roman" w:cs="Times New Roman"/>
          <w:sz w:val="26"/>
          <w:szCs w:val="24"/>
        </w:rPr>
        <w:t>-725J (Definition of the Bulk Electric System)</w:t>
      </w:r>
      <w:r w:rsidR="00111622">
        <w:rPr>
          <w:rFonts w:ascii="Times New Roman" w:eastAsia="Times New Roman" w:hAnsi="Times New Roman" w:cs="Times New Roman"/>
          <w:sz w:val="26"/>
          <w:szCs w:val="24"/>
        </w:rPr>
        <w:t>.</w:t>
      </w:r>
    </w:p>
    <w:p w:rsidR="00564F16" w:rsidRPr="00564F16" w:rsidP="00564F16" w14:paraId="0194EB06" w14:textId="77777777">
      <w:pPr>
        <w:spacing w:line="480" w:lineRule="auto"/>
        <w:rPr>
          <w:rFonts w:ascii="Times New Roman" w:eastAsia="Times New Roman" w:hAnsi="Times New Roman" w:cs="Times New Roman"/>
          <w:sz w:val="26"/>
          <w:szCs w:val="24"/>
        </w:rPr>
      </w:pPr>
      <w:r w:rsidRPr="00564F16">
        <w:rPr>
          <w:rFonts w:ascii="Times New Roman" w:eastAsia="Times New Roman" w:hAnsi="Times New Roman" w:cs="Times New Roman"/>
          <w:b/>
          <w:sz w:val="26"/>
          <w:szCs w:val="24"/>
        </w:rPr>
        <w:t>DATES</w:t>
      </w:r>
      <w:r w:rsidRPr="00564F16">
        <w:rPr>
          <w:rFonts w:ascii="Times New Roman" w:eastAsia="Times New Roman" w:hAnsi="Times New Roman" w:cs="Times New Roman"/>
          <w:b/>
          <w:sz w:val="26"/>
          <w:szCs w:val="24"/>
        </w:rPr>
        <w:t>:</w:t>
      </w:r>
      <w:r w:rsidRPr="00564F16">
        <w:rPr>
          <w:rFonts w:ascii="Times New Roman" w:eastAsia="Times New Roman" w:hAnsi="Times New Roman" w:cs="Times New Roman"/>
          <w:sz w:val="26"/>
          <w:szCs w:val="24"/>
        </w:rPr>
        <w:t xml:space="preserve">  Comments</w:t>
      </w:r>
      <w:r w:rsidRPr="00564F16">
        <w:rPr>
          <w:rFonts w:ascii="Times New Roman" w:eastAsia="Times New Roman" w:hAnsi="Times New Roman" w:cs="Times New Roman"/>
          <w:sz w:val="26"/>
          <w:szCs w:val="24"/>
        </w:rPr>
        <w:t xml:space="preserve"> on the collection of information are due [</w:t>
      </w:r>
      <w:r w:rsidRPr="00564F16">
        <w:rPr>
          <w:rFonts w:ascii="Times New Roman" w:eastAsia="Times New Roman" w:hAnsi="Times New Roman" w:cs="Times New Roman"/>
          <w:b/>
          <w:sz w:val="26"/>
          <w:szCs w:val="24"/>
        </w:rPr>
        <w:t>INSERT DATE 60 days after date of publication in the Federal Register</w:t>
      </w:r>
      <w:r w:rsidRPr="00564F16">
        <w:rPr>
          <w:rFonts w:ascii="Times New Roman" w:eastAsia="Times New Roman" w:hAnsi="Times New Roman" w:cs="Times New Roman"/>
          <w:sz w:val="26"/>
          <w:szCs w:val="24"/>
        </w:rPr>
        <w:t xml:space="preserve">]. </w:t>
      </w:r>
    </w:p>
    <w:p w:rsidR="00564F16" w:rsidRPr="00564F16" w:rsidP="00564F16" w14:paraId="4908F103" w14:textId="64552149">
      <w:pPr>
        <w:spacing w:after="0" w:line="480" w:lineRule="auto"/>
        <w:rPr>
          <w:rFonts w:ascii="Times New Roman" w:eastAsia="Times New Roman" w:hAnsi="Times New Roman" w:cs="Times New Roman"/>
          <w:sz w:val="26"/>
          <w:szCs w:val="24"/>
        </w:rPr>
      </w:pPr>
      <w:r w:rsidRPr="00564F16">
        <w:rPr>
          <w:rFonts w:ascii="Times New Roman" w:eastAsia="Times New Roman" w:hAnsi="Times New Roman" w:cs="Times New Roman"/>
          <w:b/>
          <w:sz w:val="26"/>
          <w:szCs w:val="24"/>
        </w:rPr>
        <w:t>ADDRESSES</w:t>
      </w:r>
      <w:r w:rsidRPr="00564F16">
        <w:rPr>
          <w:rFonts w:ascii="Times New Roman" w:eastAsia="Times New Roman" w:hAnsi="Times New Roman" w:cs="Times New Roman"/>
          <w:b/>
          <w:sz w:val="26"/>
          <w:szCs w:val="24"/>
        </w:rPr>
        <w:t>:</w:t>
      </w:r>
      <w:r w:rsidRPr="00564F16">
        <w:rPr>
          <w:rFonts w:ascii="Times New Roman" w:eastAsia="Times New Roman" w:hAnsi="Times New Roman" w:cs="Times New Roman"/>
          <w:sz w:val="26"/>
          <w:szCs w:val="24"/>
        </w:rPr>
        <w:t xml:space="preserve">  </w:t>
      </w:r>
      <w:bookmarkStart w:id="0" w:name="OLE_LINK1"/>
      <w:r w:rsidRPr="00564F16">
        <w:rPr>
          <w:rFonts w:ascii="Times New Roman" w:eastAsia="Times New Roman" w:hAnsi="Times New Roman" w:cs="Times New Roman"/>
          <w:sz w:val="26"/>
          <w:szCs w:val="24"/>
        </w:rPr>
        <w:t>You</w:t>
      </w:r>
      <w:r w:rsidRPr="00564F16">
        <w:rPr>
          <w:rFonts w:ascii="Times New Roman" w:eastAsia="Times New Roman" w:hAnsi="Times New Roman" w:cs="Times New Roman"/>
          <w:sz w:val="26"/>
          <w:szCs w:val="24"/>
        </w:rPr>
        <w:t xml:space="preserve"> may submit copies of your comments (identified by Docket No. IC26-</w:t>
      </w:r>
      <w:r w:rsidR="004E4475">
        <w:rPr>
          <w:rFonts w:ascii="Times New Roman" w:eastAsia="Times New Roman" w:hAnsi="Times New Roman" w:cs="Times New Roman"/>
          <w:sz w:val="26"/>
          <w:szCs w:val="24"/>
        </w:rPr>
        <w:t>23</w:t>
      </w:r>
      <w:r w:rsidRPr="00564F16">
        <w:rPr>
          <w:rFonts w:ascii="Times New Roman" w:eastAsia="Times New Roman" w:hAnsi="Times New Roman" w:cs="Times New Roman"/>
          <w:sz w:val="26"/>
          <w:szCs w:val="24"/>
        </w:rPr>
        <w:t>-000) by one of the following methods:</w:t>
      </w:r>
    </w:p>
    <w:p w:rsidR="00564F16" w:rsidRPr="00564F16" w:rsidP="00564F16" w14:paraId="7712E3E4" w14:textId="77777777">
      <w:pPr>
        <w:spacing w:after="0" w:line="480" w:lineRule="auto"/>
        <w:rPr>
          <w:rFonts w:ascii="Times New Roman" w:eastAsia="Times New Roman" w:hAnsi="Times New Roman" w:cs="Times New Roman"/>
          <w:sz w:val="26"/>
          <w:szCs w:val="24"/>
        </w:rPr>
      </w:pPr>
      <w:r w:rsidRPr="00564F16">
        <w:rPr>
          <w:rFonts w:ascii="Times New Roman" w:eastAsia="Times New Roman" w:hAnsi="Times New Roman" w:cs="Times New Roman"/>
          <w:sz w:val="26"/>
          <w:szCs w:val="24"/>
        </w:rPr>
        <w:t xml:space="preserve">Electronic filing through </w:t>
      </w:r>
      <w:hyperlink r:id="rId10" w:history="1">
        <w:r w:rsidRPr="00564F16">
          <w:rPr>
            <w:rFonts w:ascii="Times New Roman" w:eastAsia="Times New Roman" w:hAnsi="Times New Roman" w:cs="Times New Roman"/>
            <w:color w:val="0000FF"/>
            <w:sz w:val="26"/>
            <w:szCs w:val="24"/>
            <w:u w:val="single"/>
          </w:rPr>
          <w:t>http://www.ferc.gov</w:t>
        </w:r>
      </w:hyperlink>
      <w:r w:rsidRPr="00564F16">
        <w:rPr>
          <w:rFonts w:ascii="Times New Roman" w:eastAsia="Times New Roman" w:hAnsi="Times New Roman" w:cs="Times New Roman"/>
          <w:sz w:val="26"/>
          <w:szCs w:val="24"/>
        </w:rPr>
        <w:t>, is preferred.</w:t>
      </w:r>
    </w:p>
    <w:p w:rsidR="00564F16" w:rsidRPr="00564F16" w:rsidP="00564F16" w14:paraId="2ABDAB66" w14:textId="77777777">
      <w:pPr>
        <w:numPr>
          <w:ilvl w:val="0"/>
          <w:numId w:val="2"/>
        </w:numPr>
        <w:spacing w:after="0" w:line="480" w:lineRule="auto"/>
        <w:rPr>
          <w:rFonts w:ascii="Times New Roman" w:eastAsia="Times New Roman" w:hAnsi="Times New Roman" w:cs="Times New Roman"/>
          <w:sz w:val="26"/>
          <w:szCs w:val="24"/>
        </w:rPr>
      </w:pPr>
      <w:r w:rsidRPr="00564F16">
        <w:rPr>
          <w:rFonts w:ascii="Times New Roman" w:eastAsia="Times New Roman" w:hAnsi="Times New Roman" w:cs="Times New Roman"/>
          <w:sz w:val="26"/>
          <w:szCs w:val="24"/>
        </w:rPr>
        <w:t xml:space="preserve">Electronic Filing: Documents must be filed in acceptable native applications and print-to-PDF, but not in scanned or picture format. </w:t>
      </w:r>
    </w:p>
    <w:p w:rsidR="00564F16" w:rsidRPr="00564F16" w:rsidP="00564F16" w14:paraId="49652E69" w14:textId="77777777">
      <w:pPr>
        <w:numPr>
          <w:ilvl w:val="0"/>
          <w:numId w:val="2"/>
        </w:numPr>
        <w:spacing w:after="0" w:line="480" w:lineRule="auto"/>
        <w:rPr>
          <w:rFonts w:ascii="Times New Roman" w:eastAsia="Times New Roman" w:hAnsi="Times New Roman" w:cs="Times New Roman"/>
          <w:sz w:val="26"/>
          <w:szCs w:val="24"/>
        </w:rPr>
      </w:pPr>
      <w:r w:rsidRPr="00564F16">
        <w:rPr>
          <w:rFonts w:ascii="Times New Roman" w:eastAsia="Times New Roman" w:hAnsi="Times New Roman" w:cs="Times New Roman"/>
          <w:sz w:val="26"/>
          <w:szCs w:val="24"/>
        </w:rPr>
        <w:t>For those unable to file electronically, comments may be filed by USPS mail or by hand (including courier) delivery:</w:t>
      </w:r>
    </w:p>
    <w:p w:rsidR="00564F16" w:rsidRPr="00564F16" w:rsidP="00564F16" w14:paraId="49B2617D" w14:textId="77777777">
      <w:pPr>
        <w:numPr>
          <w:ilvl w:val="1"/>
          <w:numId w:val="2"/>
        </w:numPr>
        <w:spacing w:after="0" w:line="480" w:lineRule="auto"/>
        <w:rPr>
          <w:rFonts w:ascii="Times New Roman" w:eastAsia="Times New Roman" w:hAnsi="Times New Roman" w:cs="Times New Roman"/>
          <w:sz w:val="26"/>
          <w:szCs w:val="24"/>
        </w:rPr>
      </w:pPr>
      <w:r w:rsidRPr="00564F16">
        <w:rPr>
          <w:rFonts w:ascii="Times New Roman" w:eastAsia="Times New Roman" w:hAnsi="Times New Roman" w:cs="Times New Roman"/>
          <w:sz w:val="26"/>
          <w:szCs w:val="24"/>
        </w:rPr>
        <w:t>Mail via U.S. Postal Service Only: Addressed to: Federal Energy Regulatory Commission, Secretary of the Commission, 888 First Street, N.E., Washington, DC 20426.</w:t>
      </w:r>
    </w:p>
    <w:p w:rsidR="00564F16" w:rsidRPr="00564F16" w:rsidP="00564F16" w14:paraId="5B52CF1A" w14:textId="77777777">
      <w:pPr>
        <w:numPr>
          <w:ilvl w:val="1"/>
          <w:numId w:val="2"/>
        </w:numPr>
        <w:spacing w:after="0" w:line="480" w:lineRule="auto"/>
        <w:contextualSpacing/>
        <w:rPr>
          <w:rFonts w:ascii="Times New Roman" w:eastAsia="Times New Roman" w:hAnsi="Times New Roman" w:cs="Times New Roman"/>
          <w:sz w:val="26"/>
          <w:szCs w:val="24"/>
        </w:rPr>
      </w:pPr>
      <w:r w:rsidRPr="00564F16">
        <w:rPr>
          <w:rFonts w:ascii="Times New Roman" w:eastAsia="Times New Roman" w:hAnsi="Times New Roman" w:cs="Times New Roman"/>
          <w:sz w:val="26"/>
          <w:szCs w:val="24"/>
        </w:rPr>
        <w:t>Hand (including courier) delivery: Deliver to: Federal Energy Regulatory Commission, 12225 Wilkins Avenue, Rockville, MD 20852.</w:t>
      </w:r>
    </w:p>
    <w:p w:rsidR="00564F16" w:rsidRPr="00564F16" w:rsidP="00564F16" w14:paraId="12DFF85B" w14:textId="77777777">
      <w:pPr>
        <w:spacing w:after="0" w:line="480" w:lineRule="auto"/>
        <w:rPr>
          <w:rFonts w:ascii="Times New Roman" w:eastAsia="Times New Roman" w:hAnsi="Times New Roman" w:cs="Times New Roman"/>
          <w:sz w:val="26"/>
          <w:szCs w:val="24"/>
        </w:rPr>
      </w:pPr>
      <w:r w:rsidRPr="00564F16">
        <w:rPr>
          <w:rFonts w:ascii="Times New Roman" w:eastAsia="Times New Roman" w:hAnsi="Times New Roman" w:cs="Times New Roman"/>
          <w:i/>
          <w:sz w:val="26"/>
          <w:szCs w:val="24"/>
        </w:rPr>
        <w:t xml:space="preserve">Instructions: </w:t>
      </w:r>
      <w:r w:rsidRPr="00564F16">
        <w:rPr>
          <w:rFonts w:ascii="Times New Roman" w:eastAsia="Times New Roman" w:hAnsi="Times New Roman" w:cs="Times New Roman"/>
          <w:sz w:val="26"/>
          <w:szCs w:val="24"/>
        </w:rPr>
        <w:t xml:space="preserve">All submissions must be formatted and filed in accordance with submission guidelines at:   </w:t>
      </w:r>
      <w:hyperlink r:id="rId10" w:history="1">
        <w:r w:rsidRPr="00564F16">
          <w:rPr>
            <w:rFonts w:ascii="Times New Roman" w:eastAsia="Times New Roman" w:hAnsi="Times New Roman" w:cs="Times New Roman"/>
            <w:color w:val="0000FF"/>
            <w:sz w:val="26"/>
            <w:szCs w:val="24"/>
            <w:u w:val="single"/>
          </w:rPr>
          <w:t>http://www.ferc.gov</w:t>
        </w:r>
      </w:hyperlink>
      <w:r w:rsidRPr="00564F16">
        <w:rPr>
          <w:rFonts w:ascii="Times New Roman" w:eastAsia="Times New Roman" w:hAnsi="Times New Roman" w:cs="Times New Roman"/>
          <w:sz w:val="26"/>
          <w:szCs w:val="24"/>
        </w:rPr>
        <w:t>.  For user assistance, contact FERC Online Support by e-mail at ferconlinesupport@ferc.gov, or by phone at (866) 208-3676 (toll-free).</w:t>
      </w:r>
    </w:p>
    <w:p w:rsidR="00564F16" w:rsidRPr="00564F16" w:rsidP="00564F16" w14:paraId="354781B8" w14:textId="77777777">
      <w:pPr>
        <w:spacing w:after="0" w:line="480" w:lineRule="auto"/>
        <w:rPr>
          <w:rFonts w:ascii="Times New Roman" w:eastAsia="Times New Roman" w:hAnsi="Times New Roman" w:cs="Times New Roman"/>
          <w:sz w:val="26"/>
          <w:szCs w:val="24"/>
        </w:rPr>
      </w:pPr>
      <w:r w:rsidRPr="00564F16">
        <w:rPr>
          <w:rFonts w:ascii="Times New Roman" w:eastAsia="Times New Roman" w:hAnsi="Times New Roman" w:cs="Times New Roman"/>
          <w:i/>
          <w:sz w:val="26"/>
          <w:szCs w:val="24"/>
        </w:rPr>
        <w:t>Docket:</w:t>
      </w:r>
      <w:r w:rsidRPr="00564F16">
        <w:rPr>
          <w:rFonts w:ascii="Times New Roman" w:eastAsia="Times New Roman" w:hAnsi="Times New Roman" w:cs="Times New Roman"/>
          <w:sz w:val="26"/>
          <w:szCs w:val="24"/>
        </w:rPr>
        <w:t xml:space="preserve"> Users interested in receiving automatic notification of activity in this docket or in viewing/downloading comments and issuances in this docket may do so at </w:t>
      </w:r>
      <w:hyperlink r:id="rId10" w:history="1">
        <w:r w:rsidRPr="00564F16">
          <w:rPr>
            <w:rFonts w:ascii="Times New Roman" w:eastAsia="Times New Roman" w:hAnsi="Times New Roman" w:cs="Times New Roman"/>
            <w:color w:val="0000FF"/>
            <w:sz w:val="26"/>
            <w:szCs w:val="24"/>
            <w:u w:val="single"/>
          </w:rPr>
          <w:t>http://www.ferc.gov</w:t>
        </w:r>
      </w:hyperlink>
      <w:r w:rsidRPr="00564F16">
        <w:rPr>
          <w:rFonts w:ascii="Times New Roman" w:eastAsia="Times New Roman" w:hAnsi="Times New Roman" w:cs="Times New Roman"/>
          <w:sz w:val="26"/>
          <w:szCs w:val="24"/>
        </w:rPr>
        <w:t xml:space="preserve">. </w:t>
      </w:r>
    </w:p>
    <w:bookmarkEnd w:id="0"/>
    <w:p w:rsidR="00564F16" w:rsidRPr="00564F16" w:rsidP="00564F16" w14:paraId="36330020" w14:textId="1695C349">
      <w:pPr>
        <w:spacing w:after="0" w:line="480" w:lineRule="auto"/>
        <w:rPr>
          <w:rFonts w:ascii="Times New Roman" w:eastAsia="Times New Roman" w:hAnsi="Times New Roman" w:cs="Times New Roman"/>
          <w:sz w:val="26"/>
          <w:szCs w:val="26"/>
        </w:rPr>
      </w:pPr>
      <w:r w:rsidRPr="00564F16">
        <w:rPr>
          <w:rFonts w:ascii="Times New Roman" w:eastAsia="Times New Roman" w:hAnsi="Times New Roman" w:cs="Times New Roman"/>
          <w:b/>
          <w:sz w:val="26"/>
          <w:szCs w:val="26"/>
        </w:rPr>
        <w:t>FOR FURTHER INFORMATION:</w:t>
      </w:r>
      <w:r w:rsidRPr="00564F16">
        <w:rPr>
          <w:rFonts w:ascii="Times New Roman" w:eastAsia="Times New Roman" w:hAnsi="Times New Roman" w:cs="Times New Roman"/>
          <w:sz w:val="26"/>
          <w:szCs w:val="26"/>
        </w:rPr>
        <w:t xml:space="preserve">  Contact Kayla Williams at </w:t>
      </w:r>
      <w:r>
        <w:fldChar w:fldCharType="begin"/>
      </w:r>
      <w:r w:rsidRPr="00564F16">
        <w:rPr>
          <w:rFonts w:ascii="Times New Roman" w:eastAsia="Times New Roman" w:hAnsi="Times New Roman" w:cs="Times New Roman"/>
          <w:color w:val="0000FF"/>
          <w:sz w:val="26"/>
          <w:szCs w:val="24"/>
          <w:u w:val="single"/>
        </w:rPr>
        <w:instrText xml:space="preserve"> HYPERLINK "mailto:DataClearance@FERC.gov" </w:instrText>
      </w:r>
      <w:r>
        <w:fldChar w:fldCharType="separate"/>
      </w:r>
      <w:r w:rsidRPr="00564F16">
        <w:rPr>
          <w:rFonts w:ascii="Times New Roman" w:eastAsia="Times New Roman" w:hAnsi="Times New Roman" w:cs="Times New Roman"/>
          <w:color w:val="0000FF"/>
          <w:sz w:val="26"/>
          <w:szCs w:val="24"/>
          <w:u w:val="single"/>
        </w:rPr>
        <w:t>DataClearance@FERC.gov</w:t>
      </w:r>
      <w:r>
        <w:fldChar w:fldCharType="end"/>
      </w:r>
      <w:r w:rsidRPr="00564F16">
        <w:rPr>
          <w:rFonts w:ascii="Times New Roman" w:eastAsia="Times New Roman" w:hAnsi="Times New Roman" w:cs="Times New Roman"/>
          <w:sz w:val="26"/>
          <w:szCs w:val="26"/>
        </w:rPr>
        <w:t xml:space="preserve">, </w:t>
      </w:r>
      <w:r w:rsidR="004E4475">
        <w:rPr>
          <w:rFonts w:ascii="Times New Roman" w:eastAsia="Times New Roman" w:hAnsi="Times New Roman" w:cs="Times New Roman"/>
          <w:sz w:val="26"/>
          <w:szCs w:val="26"/>
        </w:rPr>
        <w:t xml:space="preserve">or by </w:t>
      </w:r>
      <w:r w:rsidRPr="00564F16">
        <w:rPr>
          <w:rFonts w:ascii="Times New Roman" w:eastAsia="Times New Roman" w:hAnsi="Times New Roman" w:cs="Times New Roman"/>
          <w:sz w:val="26"/>
          <w:szCs w:val="26"/>
        </w:rPr>
        <w:t>telephone at (202) 502-6468.</w:t>
      </w:r>
    </w:p>
    <w:p w:rsidR="00CB3BFF" w:rsidRPr="00DE5A08" w:rsidP="00CB3BFF" w14:paraId="3544EFB4" w14:textId="42F46E29">
      <w:pPr>
        <w:tabs>
          <w:tab w:val="left" w:pos="7880"/>
        </w:tabs>
        <w:spacing w:after="0" w:line="480" w:lineRule="auto"/>
        <w:rPr>
          <w:rFonts w:ascii="Times New Roman" w:eastAsia="Times New Roman" w:hAnsi="Times New Roman" w:cs="Times New Roman"/>
          <w:sz w:val="26"/>
          <w:szCs w:val="24"/>
        </w:rPr>
      </w:pPr>
      <w:r w:rsidRPr="00DE5A08">
        <w:rPr>
          <w:rFonts w:ascii="Times New Roman" w:eastAsia="Times New Roman" w:hAnsi="Times New Roman" w:cs="Times New Roman"/>
          <w:b/>
          <w:sz w:val="26"/>
          <w:szCs w:val="24"/>
        </w:rPr>
        <w:t>SUPPLEMENTARY INFORMATION:</w:t>
      </w:r>
      <w:r w:rsidRPr="00DE5A08">
        <w:rPr>
          <w:rFonts w:ascii="Times New Roman" w:eastAsia="Times New Roman" w:hAnsi="Times New Roman" w:cs="Times New Roman"/>
          <w:sz w:val="26"/>
          <w:szCs w:val="24"/>
        </w:rPr>
        <w:t xml:space="preserve">  </w:t>
      </w:r>
    </w:p>
    <w:p w:rsidR="00CB3BFF" w:rsidP="00CB3BFF" w14:paraId="30ACA2A2" w14:textId="77777777">
      <w:pPr>
        <w:widowControl w:val="0"/>
        <w:autoSpaceDE w:val="0"/>
        <w:autoSpaceDN w:val="0"/>
        <w:adjustRightInd w:val="0"/>
        <w:spacing w:after="0" w:line="480" w:lineRule="auto"/>
        <w:rPr>
          <w:rFonts w:ascii="Times New Roman" w:eastAsia="Times New Roman" w:hAnsi="Times New Roman" w:cs="Times New Roman"/>
          <w:sz w:val="26"/>
          <w:szCs w:val="26"/>
        </w:rPr>
      </w:pPr>
      <w:r>
        <w:rPr>
          <w:rFonts w:ascii="Times New Roman" w:eastAsia="Times New Roman" w:hAnsi="Times New Roman" w:cs="Times New Roman"/>
          <w:i/>
          <w:sz w:val="26"/>
          <w:szCs w:val="26"/>
        </w:rPr>
        <w:t>Title</w:t>
      </w:r>
      <w:r>
        <w:rPr>
          <w:rFonts w:ascii="Times New Roman" w:eastAsia="Times New Roman" w:hAnsi="Times New Roman" w:cs="Times New Roman"/>
          <w:i/>
          <w:sz w:val="26"/>
          <w:szCs w:val="26"/>
        </w:rPr>
        <w:t>:</w:t>
      </w:r>
      <w:r>
        <w:rPr>
          <w:rFonts w:ascii="Times New Roman" w:eastAsia="Times New Roman" w:hAnsi="Times New Roman" w:cs="Times New Roman"/>
          <w:sz w:val="26"/>
          <w:szCs w:val="26"/>
        </w:rPr>
        <w:t xml:space="preserve">  </w:t>
      </w:r>
      <w:r w:rsidRPr="00D4590B">
        <w:rPr>
          <w:rFonts w:ascii="Times New Roman" w:eastAsia="Times New Roman" w:hAnsi="Times New Roman" w:cs="Times New Roman"/>
          <w:sz w:val="26"/>
          <w:szCs w:val="26"/>
        </w:rPr>
        <w:t>FERC</w:t>
      </w:r>
      <w:r w:rsidRPr="00D4590B">
        <w:rPr>
          <w:rFonts w:ascii="Times New Roman" w:eastAsia="Times New Roman" w:hAnsi="Times New Roman" w:cs="Times New Roman"/>
          <w:sz w:val="26"/>
          <w:szCs w:val="26"/>
        </w:rPr>
        <w:t>-725</w:t>
      </w:r>
      <w:r>
        <w:rPr>
          <w:rFonts w:ascii="Times New Roman" w:eastAsia="Times New Roman" w:hAnsi="Times New Roman" w:cs="Times New Roman"/>
          <w:sz w:val="26"/>
          <w:szCs w:val="26"/>
        </w:rPr>
        <w:t>J</w:t>
      </w:r>
      <w:r w:rsidRPr="00D4590B">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Definition of the Bulk Electric System)</w:t>
      </w:r>
    </w:p>
    <w:p w:rsidR="00CB3BFF" w:rsidRPr="00C05408" w:rsidP="00CB3BFF" w14:paraId="69E7FD50" w14:textId="77777777">
      <w:pPr>
        <w:widowControl w:val="0"/>
        <w:autoSpaceDE w:val="0"/>
        <w:autoSpaceDN w:val="0"/>
        <w:adjustRightInd w:val="0"/>
        <w:spacing w:after="0" w:line="480" w:lineRule="auto"/>
        <w:rPr>
          <w:rFonts w:ascii="Times New Roman" w:eastAsia="Times New Roman" w:hAnsi="Times New Roman" w:cs="Times New Roman"/>
          <w:sz w:val="26"/>
          <w:szCs w:val="26"/>
        </w:rPr>
      </w:pPr>
      <w:r>
        <w:rPr>
          <w:rFonts w:ascii="Times New Roman" w:eastAsia="Times New Roman" w:hAnsi="Times New Roman" w:cs="Times New Roman"/>
          <w:i/>
          <w:sz w:val="26"/>
          <w:szCs w:val="26"/>
        </w:rPr>
        <w:t>OMB Control No.:</w:t>
      </w:r>
      <w:r w:rsidRPr="00D4590B">
        <w:rPr>
          <w:rFonts w:ascii="Times New Roman" w:eastAsia="Times New Roman" w:hAnsi="Times New Roman" w:cs="Times New Roman"/>
          <w:sz w:val="26"/>
          <w:szCs w:val="26"/>
        </w:rPr>
        <w:t xml:space="preserve"> 1902-02</w:t>
      </w:r>
      <w:r>
        <w:rPr>
          <w:rFonts w:ascii="Times New Roman" w:eastAsia="Times New Roman" w:hAnsi="Times New Roman" w:cs="Times New Roman"/>
          <w:sz w:val="26"/>
          <w:szCs w:val="26"/>
        </w:rPr>
        <w:t>59</w:t>
      </w:r>
      <w:r w:rsidRPr="00D4590B">
        <w:rPr>
          <w:rFonts w:ascii="Times New Roman" w:eastAsia="Times New Roman" w:hAnsi="Times New Roman" w:cs="Times New Roman"/>
          <w:sz w:val="26"/>
          <w:szCs w:val="26"/>
        </w:rPr>
        <w:t xml:space="preserve">  </w:t>
      </w:r>
    </w:p>
    <w:p w:rsidR="00CB3BFF" w:rsidP="00CB3BFF" w14:paraId="03EDC573" w14:textId="77777777">
      <w:pPr>
        <w:widowControl w:val="0"/>
        <w:autoSpaceDE w:val="0"/>
        <w:autoSpaceDN w:val="0"/>
        <w:adjustRightInd w:val="0"/>
        <w:spacing w:after="0" w:line="480" w:lineRule="auto"/>
        <w:rPr>
          <w:rFonts w:ascii="Times New Roman" w:eastAsia="Times New Roman" w:hAnsi="Times New Roman" w:cs="Times New Roman"/>
          <w:sz w:val="26"/>
          <w:szCs w:val="26"/>
        </w:rPr>
      </w:pPr>
      <w:r>
        <w:rPr>
          <w:rFonts w:ascii="Times New Roman" w:eastAsia="Times New Roman" w:hAnsi="Times New Roman" w:cs="Times New Roman"/>
          <w:i/>
          <w:sz w:val="26"/>
          <w:szCs w:val="26"/>
        </w:rPr>
        <w:t xml:space="preserve">Type of Request: </w:t>
      </w:r>
      <w:r>
        <w:rPr>
          <w:rFonts w:ascii="Times New Roman" w:eastAsia="Times New Roman" w:hAnsi="Times New Roman" w:cs="Times New Roman"/>
          <w:sz w:val="26"/>
          <w:szCs w:val="26"/>
        </w:rPr>
        <w:t xml:space="preserve">Three-year extension of the FERC-725J with no changes to the current reporting requirements. </w:t>
      </w:r>
    </w:p>
    <w:p w:rsidR="00CB3BFF" w:rsidP="00CB3BFF" w14:paraId="53BC8905" w14:textId="2E7EAA82">
      <w:pPr>
        <w:widowControl w:val="0"/>
        <w:autoSpaceDE w:val="0"/>
        <w:autoSpaceDN w:val="0"/>
        <w:adjustRightInd w:val="0"/>
        <w:spacing w:after="0" w:line="480" w:lineRule="auto"/>
        <w:rPr>
          <w:rFonts w:ascii="Times New Roman" w:eastAsia="Times New Roman" w:hAnsi="Times New Roman" w:cs="Times New Roman"/>
          <w:sz w:val="26"/>
          <w:szCs w:val="26"/>
        </w:rPr>
      </w:pPr>
      <w:r w:rsidRPr="00CB3BFF">
        <w:rPr>
          <w:rFonts w:ascii="Times New Roman" w:eastAsia="Times New Roman" w:hAnsi="Times New Roman" w:cs="Times New Roman"/>
          <w:i/>
          <w:sz w:val="26"/>
          <w:szCs w:val="26"/>
        </w:rPr>
        <w:t xml:space="preserve">Abstract:  </w:t>
      </w:r>
      <w:r w:rsidRPr="00CB3BFF">
        <w:rPr>
          <w:rFonts w:ascii="Times New Roman" w:eastAsia="Times New Roman" w:hAnsi="Times New Roman" w:cs="Times New Roman"/>
          <w:sz w:val="26"/>
          <w:szCs w:val="26"/>
        </w:rPr>
        <w:t xml:space="preserve">On December 20, 2012, the Commission issued Order No. 773, a </w:t>
      </w:r>
      <w:r w:rsidRPr="00CB3BFF">
        <w:rPr>
          <w:rFonts w:ascii="Times New Roman" w:eastAsia="Times New Roman" w:hAnsi="Times New Roman" w:cs="Times New Roman"/>
          <w:sz w:val="26"/>
          <w:szCs w:val="26"/>
        </w:rPr>
        <w:t>Final Rule approving NERC’s modifications</w:t>
      </w:r>
      <w:r w:rsidRPr="00CB3BFF">
        <w:rPr>
          <w:rFonts w:ascii="Times New Roman" w:eastAsia="Times New Roman" w:hAnsi="Times New Roman" w:cs="Times New Roman"/>
          <w:sz w:val="26"/>
          <w:szCs w:val="26"/>
        </w:rPr>
        <w:t xml:space="preserve"> to the definition of “bulk electric system” and the Rules of Procedure exception process to be effective July 1, 2013.  On April 18, 2013, in Order </w:t>
      </w:r>
      <w:r w:rsidRPr="00CB3BFF">
        <w:rPr>
          <w:rFonts w:ascii="Times New Roman" w:eastAsia="Times New Roman" w:hAnsi="Times New Roman" w:cs="Times New Roman"/>
          <w:sz w:val="26"/>
          <w:szCs w:val="26"/>
        </w:rPr>
        <w:t>No. 773-A, the Commission largely affirmed its findings in Order No. 773.  In Order Nos. 773 and 773-A, the Commission directed NERC to modify the definition of bulk electric system in two respects: (1) modify the local network exclusion (exclusion E3) to remove the 100 kV minimum operating voltage to allow systems that include one or more looped configurations connected below 100 kV to be eligible for the local network exclusion; and (2) modify the exclusions to ensure that generator interconnection facilities at or above 100 kV connected to bulk electric system generators identified in inclusion I2 are not excluded from the bulk electric system.</w:t>
      </w:r>
      <w:r>
        <w:rPr>
          <w:rStyle w:val="FootnoteReference"/>
          <w:rFonts w:ascii="Times New Roman" w:eastAsia="Times New Roman" w:hAnsi="Times New Roman" w:cs="Times New Roman"/>
          <w:sz w:val="26"/>
          <w:szCs w:val="26"/>
          <w:vertAlign w:val="superscript"/>
        </w:rPr>
        <w:footnoteReference w:id="3"/>
      </w:r>
      <w:r w:rsidR="001E450D">
        <w:rPr>
          <w:rFonts w:ascii="Times New Roman" w:eastAsia="Times New Roman" w:hAnsi="Times New Roman" w:cs="Times New Roman"/>
          <w:sz w:val="26"/>
          <w:szCs w:val="26"/>
        </w:rPr>
        <w:t xml:space="preserve"> </w:t>
      </w:r>
      <w:r w:rsidR="0063695D">
        <w:rPr>
          <w:rFonts w:ascii="Times New Roman" w:eastAsia="Times New Roman" w:hAnsi="Times New Roman" w:cs="Times New Roman"/>
          <w:sz w:val="26"/>
          <w:szCs w:val="26"/>
        </w:rPr>
        <w:t xml:space="preserve"> </w:t>
      </w:r>
      <w:r w:rsidR="00064A0D">
        <w:rPr>
          <w:rFonts w:ascii="Times New Roman" w:eastAsia="Times New Roman" w:hAnsi="Times New Roman" w:cs="Times New Roman"/>
          <w:sz w:val="26"/>
          <w:szCs w:val="26"/>
        </w:rPr>
        <w:t>Each year the Region</w:t>
      </w:r>
      <w:r w:rsidR="005A4E3F">
        <w:rPr>
          <w:rFonts w:ascii="Times New Roman" w:eastAsia="Times New Roman" w:hAnsi="Times New Roman" w:cs="Times New Roman"/>
          <w:sz w:val="26"/>
          <w:szCs w:val="26"/>
        </w:rPr>
        <w:t>s</w:t>
      </w:r>
      <w:r w:rsidR="00064A0D">
        <w:rPr>
          <w:rFonts w:ascii="Times New Roman" w:eastAsia="Times New Roman" w:hAnsi="Times New Roman" w:cs="Times New Roman"/>
          <w:sz w:val="26"/>
          <w:szCs w:val="26"/>
        </w:rPr>
        <w:t xml:space="preserve"> and </w:t>
      </w:r>
      <w:r w:rsidR="001412C0">
        <w:rPr>
          <w:rFonts w:ascii="Times New Roman" w:eastAsia="Times New Roman" w:hAnsi="Times New Roman" w:cs="Times New Roman"/>
          <w:sz w:val="26"/>
          <w:szCs w:val="26"/>
        </w:rPr>
        <w:t xml:space="preserve">NERC may need to act on exception requests submitted by US only transmission owners, generator owners and distribution providers.  </w:t>
      </w:r>
      <w:r w:rsidR="00F26D91">
        <w:rPr>
          <w:rFonts w:ascii="Times New Roman" w:eastAsia="Times New Roman" w:hAnsi="Times New Roman" w:cs="Times New Roman"/>
          <w:sz w:val="26"/>
          <w:szCs w:val="26"/>
        </w:rPr>
        <w:t xml:space="preserve">Checking past historical requests, staff estimates </w:t>
      </w:r>
      <w:r>
        <w:rPr>
          <w:rFonts w:ascii="Times New Roman" w:eastAsia="Times New Roman" w:hAnsi="Times New Roman" w:cs="Times New Roman"/>
          <w:sz w:val="26"/>
          <w:szCs w:val="26"/>
        </w:rPr>
        <w:t xml:space="preserve">annual </w:t>
      </w:r>
      <w:r w:rsidR="00F26D91">
        <w:rPr>
          <w:rFonts w:ascii="Times New Roman" w:eastAsia="Times New Roman" w:hAnsi="Times New Roman" w:cs="Times New Roman"/>
          <w:sz w:val="26"/>
          <w:szCs w:val="26"/>
        </w:rPr>
        <w:t>possible exception request to 10</w:t>
      </w:r>
      <w:r>
        <w:rPr>
          <w:rFonts w:ascii="Times New Roman" w:eastAsia="Times New Roman" w:hAnsi="Times New Roman" w:cs="Times New Roman"/>
          <w:sz w:val="26"/>
          <w:szCs w:val="26"/>
        </w:rPr>
        <w:t xml:space="preserve"> requests</w:t>
      </w:r>
      <w:r w:rsidR="00F26D91">
        <w:rPr>
          <w:rFonts w:ascii="Times New Roman" w:eastAsia="Times New Roman" w:hAnsi="Times New Roman" w:cs="Times New Roman"/>
          <w:sz w:val="26"/>
          <w:szCs w:val="26"/>
        </w:rPr>
        <w:t>.</w:t>
      </w:r>
      <w:r w:rsidR="00C97FF7">
        <w:rPr>
          <w:rFonts w:ascii="Times New Roman" w:eastAsia="Times New Roman" w:hAnsi="Times New Roman" w:cs="Times New Roman"/>
          <w:sz w:val="26"/>
          <w:szCs w:val="26"/>
        </w:rPr>
        <w:t xml:space="preserve">  Additionally, it is estimated that each year </w:t>
      </w:r>
      <w:r w:rsidR="000C5A3A">
        <w:rPr>
          <w:rFonts w:ascii="Times New Roman" w:eastAsia="Times New Roman" w:hAnsi="Times New Roman" w:cs="Times New Roman"/>
          <w:sz w:val="26"/>
          <w:szCs w:val="26"/>
        </w:rPr>
        <w:t>an entity</w:t>
      </w:r>
      <w:r w:rsidR="00C97FF7">
        <w:rPr>
          <w:rFonts w:ascii="Times New Roman" w:eastAsia="Times New Roman" w:hAnsi="Times New Roman" w:cs="Times New Roman"/>
          <w:sz w:val="26"/>
          <w:szCs w:val="26"/>
        </w:rPr>
        <w:t xml:space="preserve"> may request </w:t>
      </w:r>
      <w:r w:rsidR="00490185">
        <w:rPr>
          <w:rFonts w:ascii="Times New Roman" w:eastAsia="Times New Roman" w:hAnsi="Times New Roman" w:cs="Times New Roman"/>
          <w:sz w:val="26"/>
          <w:szCs w:val="26"/>
        </w:rPr>
        <w:t>a</w:t>
      </w:r>
      <w:r w:rsidR="00C97FF7">
        <w:rPr>
          <w:rFonts w:ascii="Times New Roman" w:eastAsia="Times New Roman" w:hAnsi="Times New Roman" w:cs="Times New Roman"/>
          <w:sz w:val="26"/>
          <w:szCs w:val="26"/>
        </w:rPr>
        <w:t xml:space="preserve"> local distribution determination</w:t>
      </w:r>
      <w:r w:rsidR="00490185">
        <w:rPr>
          <w:rFonts w:ascii="Times New Roman" w:eastAsia="Times New Roman" w:hAnsi="Times New Roman" w:cs="Times New Roman"/>
          <w:sz w:val="26"/>
          <w:szCs w:val="26"/>
        </w:rPr>
        <w:t xml:space="preserve"> request</w:t>
      </w:r>
      <w:r w:rsidR="00C97FF7">
        <w:rPr>
          <w:rFonts w:ascii="Times New Roman" w:eastAsia="Times New Roman" w:hAnsi="Times New Roman" w:cs="Times New Roman"/>
          <w:sz w:val="26"/>
          <w:szCs w:val="26"/>
        </w:rPr>
        <w:t>.</w:t>
      </w:r>
      <w:r w:rsidR="00F26D91">
        <w:rPr>
          <w:rFonts w:ascii="Times New Roman" w:eastAsia="Times New Roman" w:hAnsi="Times New Roman" w:cs="Times New Roman"/>
          <w:sz w:val="26"/>
          <w:szCs w:val="26"/>
        </w:rPr>
        <w:t xml:space="preserve">  </w:t>
      </w:r>
      <w:r w:rsidR="001412C0">
        <w:rPr>
          <w:rFonts w:ascii="Times New Roman" w:eastAsia="Times New Roman" w:hAnsi="Times New Roman" w:cs="Times New Roman"/>
          <w:sz w:val="26"/>
          <w:szCs w:val="26"/>
        </w:rPr>
        <w:t xml:space="preserve"> </w:t>
      </w:r>
    </w:p>
    <w:p w:rsidR="00CB3BFF" w:rsidRPr="00CB3BFF" w:rsidP="00CB3BFF" w14:paraId="02E16028" w14:textId="4C600190">
      <w:pPr>
        <w:widowControl w:val="0"/>
        <w:autoSpaceDE w:val="0"/>
        <w:autoSpaceDN w:val="0"/>
        <w:adjustRightInd w:val="0"/>
        <w:spacing w:after="0" w:line="480" w:lineRule="auto"/>
        <w:rPr>
          <w:rFonts w:ascii="Times New Roman" w:eastAsia="Times New Roman" w:hAnsi="Times New Roman" w:cs="Times New Roman"/>
          <w:sz w:val="26"/>
          <w:szCs w:val="26"/>
        </w:rPr>
      </w:pPr>
      <w:r w:rsidRPr="00CB3BFF">
        <w:rPr>
          <w:rFonts w:ascii="Times New Roman" w:eastAsia="Times New Roman" w:hAnsi="Times New Roman" w:cs="Times New Roman"/>
          <w:i/>
          <w:sz w:val="26"/>
          <w:szCs w:val="26"/>
        </w:rPr>
        <w:t xml:space="preserve">Type of Respondents: </w:t>
      </w:r>
      <w:r w:rsidRPr="00CB3BFF">
        <w:rPr>
          <w:rFonts w:ascii="Times New Roman" w:eastAsia="Times New Roman" w:hAnsi="Times New Roman" w:cs="Times New Roman"/>
          <w:sz w:val="26"/>
          <w:szCs w:val="26"/>
        </w:rPr>
        <w:t xml:space="preserve">Generator owners, distribution providers, </w:t>
      </w:r>
      <w:r w:rsidR="00C97FF7">
        <w:rPr>
          <w:rFonts w:ascii="Times New Roman" w:eastAsia="Times New Roman" w:hAnsi="Times New Roman" w:cs="Times New Roman"/>
          <w:sz w:val="26"/>
          <w:szCs w:val="26"/>
        </w:rPr>
        <w:t xml:space="preserve">transmission </w:t>
      </w:r>
      <w:r w:rsidR="00C97FF7">
        <w:rPr>
          <w:rFonts w:ascii="Times New Roman" w:eastAsia="Times New Roman" w:hAnsi="Times New Roman" w:cs="Times New Roman"/>
          <w:sz w:val="26"/>
          <w:szCs w:val="26"/>
        </w:rPr>
        <w:t>owners</w:t>
      </w:r>
      <w:r w:rsidRPr="00CB3BFF">
        <w:rPr>
          <w:rFonts w:ascii="Times New Roman" w:eastAsia="Times New Roman" w:hAnsi="Times New Roman" w:cs="Times New Roman"/>
          <w:sz w:val="26"/>
          <w:szCs w:val="26"/>
        </w:rPr>
        <w:t xml:space="preserve"> </w:t>
      </w:r>
      <w:r w:rsidRPr="00CB3BFF">
        <w:rPr>
          <w:rFonts w:ascii="Times New Roman" w:eastAsia="Times New Roman" w:hAnsi="Times New Roman" w:cs="Times New Roman"/>
          <w:sz w:val="26"/>
          <w:szCs w:val="26"/>
        </w:rPr>
        <w:t>entities.</w:t>
      </w:r>
    </w:p>
    <w:p w:rsidR="00CB3BFF" w:rsidP="00CB3BFF" w14:paraId="1B32A21F" w14:textId="3FDCA4B2">
      <w:pPr>
        <w:widowControl w:val="0"/>
        <w:autoSpaceDE w:val="0"/>
        <w:autoSpaceDN w:val="0"/>
        <w:adjustRightInd w:val="0"/>
        <w:spacing w:after="0" w:line="480" w:lineRule="auto"/>
        <w:rPr>
          <w:rFonts w:ascii="Times New Roman" w:eastAsia="Times New Roman" w:hAnsi="Times New Roman" w:cs="Times New Roman"/>
          <w:sz w:val="26"/>
          <w:szCs w:val="26"/>
        </w:rPr>
      </w:pPr>
      <w:r w:rsidRPr="00D4590B">
        <w:rPr>
          <w:rFonts w:ascii="Times New Roman" w:eastAsia="Times New Roman" w:hAnsi="Times New Roman" w:cs="Times New Roman"/>
          <w:i/>
          <w:sz w:val="24"/>
          <w:szCs w:val="26"/>
        </w:rPr>
        <w:t xml:space="preserve">Estimate of </w:t>
      </w:r>
      <w:r w:rsidRPr="00D4590B">
        <w:rPr>
          <w:rFonts w:ascii="Times New Roman" w:eastAsia="Times New Roman" w:hAnsi="Times New Roman" w:cs="Times New Roman"/>
          <w:i/>
          <w:sz w:val="26"/>
          <w:szCs w:val="26"/>
        </w:rPr>
        <w:t>Annual Burden</w:t>
      </w:r>
      <w:r w:rsidRPr="00D4590B">
        <w:rPr>
          <w:rFonts w:ascii="Times New Roman" w:eastAsia="Times New Roman" w:hAnsi="Times New Roman" w:cs="Times New Roman"/>
          <w:sz w:val="26"/>
          <w:szCs w:val="26"/>
        </w:rPr>
        <w:t>.</w:t>
      </w:r>
      <w:r>
        <w:rPr>
          <w:rFonts w:ascii="Times New Roman" w:eastAsia="Times New Roman" w:hAnsi="Times New Roman" w:cs="Times New Roman"/>
          <w:sz w:val="26"/>
          <w:szCs w:val="26"/>
          <w:vertAlign w:val="superscript"/>
        </w:rPr>
        <w:footnoteReference w:id="4"/>
      </w:r>
      <w:r w:rsidRPr="00D4590B">
        <w:rPr>
          <w:rFonts w:ascii="Times New Roman" w:eastAsia="Times New Roman" w:hAnsi="Times New Roman" w:cs="Times New Roman"/>
          <w:sz w:val="26"/>
          <w:szCs w:val="26"/>
        </w:rPr>
        <w:t xml:space="preserve"> The </w:t>
      </w:r>
      <w:r>
        <w:rPr>
          <w:rFonts w:ascii="Times New Roman" w:eastAsia="Times New Roman" w:hAnsi="Times New Roman" w:cs="Times New Roman"/>
          <w:sz w:val="26"/>
          <w:szCs w:val="26"/>
        </w:rPr>
        <w:t xml:space="preserve">Commission estimates the annual public reporting burden </w:t>
      </w:r>
      <w:r w:rsidR="00D85912">
        <w:rPr>
          <w:rFonts w:ascii="Times New Roman" w:eastAsia="Times New Roman" w:hAnsi="Times New Roman" w:cs="Times New Roman"/>
          <w:sz w:val="26"/>
          <w:szCs w:val="26"/>
        </w:rPr>
        <w:t>and cost</w:t>
      </w:r>
      <w:r>
        <w:rPr>
          <w:rFonts w:ascii="Times New Roman" w:eastAsia="Calibri" w:hAnsi="Times New Roman" w:cs="Times New Roman"/>
          <w:b/>
          <w:sz w:val="20"/>
          <w:szCs w:val="20"/>
          <w:vertAlign w:val="superscript"/>
        </w:rPr>
        <w:footnoteReference w:id="5"/>
      </w:r>
      <w:r w:rsidRPr="00CB3BFF" w:rsidR="00174543">
        <w:rPr>
          <w:rFonts w:ascii="Times New Roman" w:eastAsia="Calibri" w:hAnsi="Times New Roman" w:cs="Times New Roman"/>
          <w:b/>
          <w:sz w:val="20"/>
          <w:szCs w:val="20"/>
        </w:rPr>
        <w:t xml:space="preserve"> </w:t>
      </w:r>
      <w:r w:rsidR="00D85912">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for the information collection as:</w:t>
      </w:r>
    </w:p>
    <w:tbl>
      <w:tblPr>
        <w:tblW w:w="4945"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77"/>
        <w:gridCol w:w="1478"/>
        <w:gridCol w:w="1583"/>
        <w:gridCol w:w="1439"/>
        <w:gridCol w:w="1259"/>
        <w:gridCol w:w="1711"/>
      </w:tblGrid>
      <w:tr w14:paraId="0089EEA3" w14:textId="77777777" w:rsidTr="00C26176">
        <w:tblPrEx>
          <w:tblW w:w="4945"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rPr>
        <w:tc>
          <w:tcPr>
            <w:tcW w:w="961" w:type="pct"/>
            <w:shd w:val="clear" w:color="auto" w:fill="D9D9D9" w:themeFill="background1" w:themeFillShade="D9"/>
          </w:tcPr>
          <w:p w:rsidR="00C97FF7" w:rsidRPr="00C26176" w:rsidP="00CB3BFF" w14:paraId="186B7989" w14:textId="77777777">
            <w:pPr>
              <w:spacing w:after="0" w:line="240" w:lineRule="auto"/>
              <w:jc w:val="center"/>
              <w:rPr>
                <w:rFonts w:ascii="Times New Roman" w:eastAsia="Calibri" w:hAnsi="Times New Roman" w:cs="Times New Roman"/>
                <w:b/>
                <w:sz w:val="26"/>
                <w:szCs w:val="26"/>
              </w:rPr>
            </w:pPr>
          </w:p>
        </w:tc>
        <w:tc>
          <w:tcPr>
            <w:tcW w:w="799" w:type="pct"/>
            <w:shd w:val="clear" w:color="auto" w:fill="D9D9D9" w:themeFill="background1" w:themeFillShade="D9"/>
            <w:vAlign w:val="bottom"/>
          </w:tcPr>
          <w:p w:rsidR="00C97FF7" w:rsidRPr="00C26176" w:rsidP="00CB3BFF" w14:paraId="6E223899" w14:textId="77777777">
            <w:pPr>
              <w:spacing w:after="0" w:line="240" w:lineRule="auto"/>
              <w:jc w:val="center"/>
              <w:rPr>
                <w:rFonts w:ascii="Times New Roman" w:eastAsia="Calibri" w:hAnsi="Times New Roman" w:cs="Times New Roman"/>
                <w:b/>
                <w:sz w:val="26"/>
                <w:szCs w:val="26"/>
              </w:rPr>
            </w:pPr>
            <w:r w:rsidRPr="00C26176">
              <w:rPr>
                <w:rFonts w:ascii="Times New Roman" w:eastAsia="Calibri" w:hAnsi="Times New Roman" w:cs="Times New Roman"/>
                <w:b/>
                <w:sz w:val="26"/>
                <w:szCs w:val="26"/>
              </w:rPr>
              <w:t>Number of Respondents</w:t>
            </w:r>
            <w:r w:rsidRPr="00C26176">
              <w:rPr>
                <w:rFonts w:ascii="Times New Roman" w:eastAsia="Calibri" w:hAnsi="Times New Roman" w:cs="Times New Roman"/>
                <w:b/>
                <w:sz w:val="26"/>
                <w:szCs w:val="26"/>
              </w:rPr>
              <w:br/>
              <w:t>(1)</w:t>
            </w:r>
          </w:p>
        </w:tc>
        <w:tc>
          <w:tcPr>
            <w:tcW w:w="856" w:type="pct"/>
            <w:shd w:val="clear" w:color="auto" w:fill="D9D9D9" w:themeFill="background1" w:themeFillShade="D9"/>
            <w:vAlign w:val="bottom"/>
          </w:tcPr>
          <w:p w:rsidR="00C97FF7" w:rsidRPr="00C26176" w:rsidP="00CB3BFF" w14:paraId="31E23424" w14:textId="77777777">
            <w:pPr>
              <w:spacing w:after="0" w:line="240" w:lineRule="auto"/>
              <w:jc w:val="center"/>
              <w:rPr>
                <w:rFonts w:ascii="Times New Roman" w:eastAsia="Calibri" w:hAnsi="Times New Roman" w:cs="Times New Roman"/>
                <w:b/>
                <w:sz w:val="26"/>
                <w:szCs w:val="26"/>
              </w:rPr>
            </w:pPr>
            <w:r w:rsidRPr="00C26176">
              <w:rPr>
                <w:rFonts w:ascii="Times New Roman" w:eastAsia="Calibri" w:hAnsi="Times New Roman" w:cs="Times New Roman"/>
                <w:b/>
                <w:sz w:val="26"/>
                <w:szCs w:val="26"/>
              </w:rPr>
              <w:t>Annual Number of Responses per Respondent</w:t>
            </w:r>
          </w:p>
          <w:p w:rsidR="00C97FF7" w:rsidRPr="00C26176" w:rsidP="00CB3BFF" w14:paraId="4DF7102F" w14:textId="77777777">
            <w:pPr>
              <w:spacing w:after="0" w:line="240" w:lineRule="auto"/>
              <w:jc w:val="center"/>
              <w:rPr>
                <w:rFonts w:ascii="Times New Roman" w:eastAsia="Calibri" w:hAnsi="Times New Roman" w:cs="Times New Roman"/>
                <w:b/>
                <w:sz w:val="26"/>
                <w:szCs w:val="26"/>
              </w:rPr>
            </w:pPr>
            <w:r w:rsidRPr="00C26176">
              <w:rPr>
                <w:rFonts w:ascii="Times New Roman" w:eastAsia="Calibri" w:hAnsi="Times New Roman" w:cs="Times New Roman"/>
                <w:b/>
                <w:sz w:val="26"/>
                <w:szCs w:val="26"/>
              </w:rPr>
              <w:t>(2)</w:t>
            </w:r>
          </w:p>
        </w:tc>
        <w:tc>
          <w:tcPr>
            <w:tcW w:w="778" w:type="pct"/>
            <w:shd w:val="clear" w:color="auto" w:fill="D9D9D9" w:themeFill="background1" w:themeFillShade="D9"/>
            <w:vAlign w:val="bottom"/>
          </w:tcPr>
          <w:p w:rsidR="00C97FF7" w:rsidRPr="00C26176" w:rsidP="00CB3BFF" w14:paraId="1A34C361" w14:textId="77777777">
            <w:pPr>
              <w:spacing w:after="0" w:line="240" w:lineRule="auto"/>
              <w:jc w:val="center"/>
              <w:rPr>
                <w:rFonts w:ascii="Times New Roman" w:eastAsia="Calibri" w:hAnsi="Times New Roman" w:cs="Times New Roman"/>
                <w:b/>
                <w:sz w:val="26"/>
                <w:szCs w:val="26"/>
              </w:rPr>
            </w:pPr>
            <w:r w:rsidRPr="00C26176">
              <w:rPr>
                <w:rFonts w:ascii="Times New Roman" w:eastAsia="Calibri" w:hAnsi="Times New Roman" w:cs="Times New Roman"/>
                <w:b/>
                <w:sz w:val="26"/>
                <w:szCs w:val="26"/>
              </w:rPr>
              <w:t>Total Number of Responses (</w:t>
            </w:r>
            <w:r w:rsidRPr="00C26176">
              <w:rPr>
                <w:rFonts w:ascii="Times New Roman" w:eastAsia="Calibri" w:hAnsi="Times New Roman" w:cs="Times New Roman"/>
                <w:b/>
                <w:sz w:val="26"/>
                <w:szCs w:val="26"/>
              </w:rPr>
              <w:t>1)*</w:t>
            </w:r>
            <w:r w:rsidRPr="00C26176">
              <w:rPr>
                <w:rFonts w:ascii="Times New Roman" w:eastAsia="Calibri" w:hAnsi="Times New Roman" w:cs="Times New Roman"/>
                <w:b/>
                <w:sz w:val="26"/>
                <w:szCs w:val="26"/>
              </w:rPr>
              <w:t>(</w:t>
            </w:r>
            <w:r w:rsidRPr="00C26176">
              <w:rPr>
                <w:rFonts w:ascii="Times New Roman" w:eastAsia="Calibri" w:hAnsi="Times New Roman" w:cs="Times New Roman"/>
                <w:b/>
                <w:sz w:val="26"/>
                <w:szCs w:val="26"/>
              </w:rPr>
              <w:t>2)=</w:t>
            </w:r>
            <w:r w:rsidRPr="00C26176">
              <w:rPr>
                <w:rFonts w:ascii="Times New Roman" w:eastAsia="Calibri" w:hAnsi="Times New Roman" w:cs="Times New Roman"/>
                <w:b/>
                <w:sz w:val="26"/>
                <w:szCs w:val="26"/>
              </w:rPr>
              <w:t>(3)</w:t>
            </w:r>
          </w:p>
        </w:tc>
        <w:tc>
          <w:tcPr>
            <w:tcW w:w="681" w:type="pct"/>
            <w:shd w:val="clear" w:color="auto" w:fill="D9D9D9" w:themeFill="background1" w:themeFillShade="D9"/>
            <w:vAlign w:val="bottom"/>
          </w:tcPr>
          <w:p w:rsidR="00C97FF7" w:rsidRPr="00C26176" w:rsidP="00CB3BFF" w14:paraId="75380DB8" w14:textId="54889B4F">
            <w:pPr>
              <w:spacing w:after="0" w:line="240" w:lineRule="auto"/>
              <w:jc w:val="center"/>
              <w:rPr>
                <w:rFonts w:ascii="Times New Roman" w:eastAsia="Calibri" w:hAnsi="Times New Roman" w:cs="Times New Roman"/>
                <w:b/>
                <w:sz w:val="26"/>
                <w:szCs w:val="26"/>
              </w:rPr>
            </w:pPr>
            <w:r w:rsidRPr="00C26176">
              <w:rPr>
                <w:rFonts w:ascii="Times New Roman" w:eastAsia="Calibri" w:hAnsi="Times New Roman" w:cs="Times New Roman"/>
                <w:b/>
                <w:sz w:val="26"/>
                <w:szCs w:val="26"/>
              </w:rPr>
              <w:t>Average Burden (Hrs.) &amp; Cost</w:t>
            </w:r>
            <w:bookmarkStart w:id="1" w:name="_Ref450205315"/>
            <w:r w:rsidRPr="00C26176">
              <w:rPr>
                <w:rFonts w:ascii="Times New Roman" w:eastAsia="Calibri" w:hAnsi="Times New Roman" w:cs="Times New Roman"/>
                <w:b/>
                <w:sz w:val="26"/>
                <w:szCs w:val="26"/>
              </w:rPr>
              <w:t xml:space="preserve"> ($)</w:t>
            </w:r>
            <w:bookmarkEnd w:id="1"/>
            <w:r>
              <w:rPr>
                <w:rFonts w:ascii="Times New Roman" w:eastAsia="Calibri" w:hAnsi="Times New Roman" w:cs="Times New Roman"/>
                <w:b/>
                <w:sz w:val="26"/>
                <w:szCs w:val="26"/>
              </w:rPr>
              <w:t xml:space="preserve"> </w:t>
            </w:r>
            <w:r w:rsidRPr="00C26176">
              <w:rPr>
                <w:rFonts w:ascii="Times New Roman" w:eastAsia="Calibri" w:hAnsi="Times New Roman" w:cs="Times New Roman"/>
                <w:b/>
                <w:sz w:val="26"/>
                <w:szCs w:val="26"/>
              </w:rPr>
              <w:t>Per Response</w:t>
            </w:r>
            <w:r>
              <w:rPr>
                <w:rFonts w:ascii="Times New Roman" w:eastAsia="Calibri" w:hAnsi="Times New Roman" w:cs="Times New Roman"/>
                <w:b/>
                <w:sz w:val="26"/>
                <w:szCs w:val="26"/>
              </w:rPr>
              <w:t xml:space="preserve"> </w:t>
            </w:r>
          </w:p>
          <w:p w:rsidR="00C97FF7" w:rsidRPr="00C26176" w:rsidP="00CB3BFF" w14:paraId="02732F81" w14:textId="77777777">
            <w:pPr>
              <w:spacing w:after="0" w:line="240" w:lineRule="auto"/>
              <w:jc w:val="center"/>
              <w:rPr>
                <w:rFonts w:ascii="Times New Roman" w:eastAsia="Calibri" w:hAnsi="Times New Roman" w:cs="Times New Roman"/>
                <w:b/>
                <w:sz w:val="26"/>
                <w:szCs w:val="26"/>
              </w:rPr>
            </w:pPr>
            <w:r w:rsidRPr="00C26176">
              <w:rPr>
                <w:rFonts w:ascii="Times New Roman" w:eastAsia="Calibri" w:hAnsi="Times New Roman" w:cs="Times New Roman"/>
                <w:b/>
                <w:sz w:val="26"/>
                <w:szCs w:val="26"/>
              </w:rPr>
              <w:t>(4)</w:t>
            </w:r>
          </w:p>
        </w:tc>
        <w:tc>
          <w:tcPr>
            <w:tcW w:w="925" w:type="pct"/>
            <w:shd w:val="clear" w:color="auto" w:fill="D9D9D9" w:themeFill="background1" w:themeFillShade="D9"/>
            <w:vAlign w:val="bottom"/>
          </w:tcPr>
          <w:p w:rsidR="00C97FF7" w:rsidRPr="00C26176" w:rsidP="00CB3BFF" w14:paraId="17F20B75" w14:textId="32BBE6E9">
            <w:pPr>
              <w:spacing w:after="0" w:line="240" w:lineRule="auto"/>
              <w:jc w:val="center"/>
              <w:rPr>
                <w:rFonts w:ascii="Times New Roman" w:eastAsia="Calibri" w:hAnsi="Times New Roman" w:cs="Times New Roman"/>
                <w:b/>
                <w:sz w:val="26"/>
                <w:szCs w:val="26"/>
              </w:rPr>
            </w:pPr>
            <w:r w:rsidRPr="00C26176">
              <w:rPr>
                <w:rFonts w:ascii="Times New Roman" w:eastAsia="Calibri" w:hAnsi="Times New Roman" w:cs="Times New Roman"/>
                <w:b/>
                <w:sz w:val="26"/>
                <w:szCs w:val="26"/>
              </w:rPr>
              <w:t>Total Annual Burden Hours &amp; Total Annual Cost</w:t>
            </w:r>
            <w:r>
              <w:rPr>
                <w:rFonts w:ascii="Times New Roman" w:eastAsia="Calibri" w:hAnsi="Times New Roman" w:cs="Times New Roman"/>
                <w:b/>
                <w:sz w:val="26"/>
                <w:szCs w:val="26"/>
              </w:rPr>
              <w:t xml:space="preserve"> </w:t>
            </w:r>
            <w:r w:rsidRPr="00C26176">
              <w:rPr>
                <w:rFonts w:ascii="Times New Roman" w:eastAsia="Calibri" w:hAnsi="Times New Roman" w:cs="Times New Roman"/>
                <w:b/>
                <w:sz w:val="26"/>
                <w:szCs w:val="26"/>
              </w:rPr>
              <w:t>($)</w:t>
            </w:r>
          </w:p>
          <w:p w:rsidR="00C97FF7" w:rsidRPr="00C26176" w:rsidP="00CB3BFF" w14:paraId="3BAE45B3" w14:textId="77777777">
            <w:pPr>
              <w:spacing w:after="0" w:line="240" w:lineRule="auto"/>
              <w:jc w:val="center"/>
              <w:rPr>
                <w:rFonts w:ascii="Times New Roman" w:eastAsia="Calibri" w:hAnsi="Times New Roman" w:cs="Times New Roman"/>
                <w:b/>
                <w:sz w:val="26"/>
                <w:szCs w:val="26"/>
              </w:rPr>
            </w:pPr>
            <w:r w:rsidRPr="00C26176">
              <w:rPr>
                <w:rFonts w:ascii="Times New Roman" w:eastAsia="Calibri" w:hAnsi="Times New Roman" w:cs="Times New Roman"/>
                <w:b/>
                <w:sz w:val="26"/>
                <w:szCs w:val="26"/>
              </w:rPr>
              <w:t>(</w:t>
            </w:r>
            <w:r w:rsidRPr="00C26176">
              <w:rPr>
                <w:rFonts w:ascii="Times New Roman" w:eastAsia="Calibri" w:hAnsi="Times New Roman" w:cs="Times New Roman"/>
                <w:b/>
                <w:sz w:val="26"/>
                <w:szCs w:val="26"/>
              </w:rPr>
              <w:t>3)*</w:t>
            </w:r>
            <w:r w:rsidRPr="00C26176">
              <w:rPr>
                <w:rFonts w:ascii="Times New Roman" w:eastAsia="Calibri" w:hAnsi="Times New Roman" w:cs="Times New Roman"/>
                <w:b/>
                <w:sz w:val="26"/>
                <w:szCs w:val="26"/>
              </w:rPr>
              <w:t>(</w:t>
            </w:r>
            <w:r w:rsidRPr="00C26176">
              <w:rPr>
                <w:rFonts w:ascii="Times New Roman" w:eastAsia="Calibri" w:hAnsi="Times New Roman" w:cs="Times New Roman"/>
                <w:b/>
                <w:sz w:val="26"/>
                <w:szCs w:val="26"/>
              </w:rPr>
              <w:t>4)=</w:t>
            </w:r>
            <w:r w:rsidRPr="00C26176">
              <w:rPr>
                <w:rFonts w:ascii="Times New Roman" w:eastAsia="Calibri" w:hAnsi="Times New Roman" w:cs="Times New Roman"/>
                <w:b/>
                <w:sz w:val="26"/>
                <w:szCs w:val="26"/>
              </w:rPr>
              <w:t>(5)</w:t>
            </w:r>
          </w:p>
        </w:tc>
      </w:tr>
      <w:tr w14:paraId="0B3EEE23" w14:textId="77777777" w:rsidTr="00C26176">
        <w:tblPrEx>
          <w:tblW w:w="4945" w:type="pct"/>
          <w:tblInd w:w="-72" w:type="dxa"/>
          <w:tblLayout w:type="fixed"/>
          <w:tblLook w:val="01E0"/>
        </w:tblPrEx>
        <w:trPr>
          <w:cantSplit/>
        </w:trPr>
        <w:tc>
          <w:tcPr>
            <w:tcW w:w="961" w:type="pct"/>
          </w:tcPr>
          <w:p w:rsidR="00C97FF7" w:rsidRPr="00856512" w:rsidP="00CB3BFF" w14:paraId="46948947" w14:textId="77777777">
            <w:pPr>
              <w:spacing w:after="0" w:line="240" w:lineRule="auto"/>
              <w:rPr>
                <w:rFonts w:ascii="Times New Roman" w:eastAsia="Calibri" w:hAnsi="Times New Roman" w:cs="Times New Roman"/>
                <w:sz w:val="26"/>
                <w:szCs w:val="26"/>
              </w:rPr>
            </w:pPr>
            <w:r w:rsidRPr="00856512">
              <w:rPr>
                <w:rFonts w:ascii="Times New Roman" w:eastAsia="Calibri" w:hAnsi="Times New Roman" w:cs="Times New Roman"/>
                <w:sz w:val="26"/>
                <w:szCs w:val="26"/>
              </w:rPr>
              <w:t>Generator Owners, Distribution Providers, and Transmission Owners (Exception Request)</w:t>
            </w:r>
          </w:p>
        </w:tc>
        <w:tc>
          <w:tcPr>
            <w:tcW w:w="799" w:type="pct"/>
          </w:tcPr>
          <w:p w:rsidR="00C97FF7" w:rsidRPr="00856512" w:rsidP="00CB3BFF" w14:paraId="4B634D1F" w14:textId="63BCD047">
            <w:pPr>
              <w:spacing w:after="0" w:line="240" w:lineRule="auto"/>
              <w:jc w:val="right"/>
              <w:rPr>
                <w:rFonts w:ascii="Times New Roman" w:eastAsia="Calibri" w:hAnsi="Times New Roman" w:cs="Times New Roman"/>
                <w:sz w:val="26"/>
                <w:szCs w:val="26"/>
              </w:rPr>
            </w:pPr>
            <w:r w:rsidRPr="00856512">
              <w:rPr>
                <w:rFonts w:ascii="Times New Roman" w:eastAsia="Calibri" w:hAnsi="Times New Roman" w:cs="Times New Roman"/>
                <w:sz w:val="26"/>
                <w:szCs w:val="26"/>
              </w:rPr>
              <w:t>10</w:t>
            </w:r>
          </w:p>
          <w:p w:rsidR="00C97FF7" w:rsidRPr="00856512" w:rsidP="00CB3BFF" w14:paraId="3B928BE2" w14:textId="77777777">
            <w:pPr>
              <w:spacing w:after="0" w:line="240" w:lineRule="auto"/>
              <w:jc w:val="right"/>
              <w:rPr>
                <w:rFonts w:ascii="Times New Roman" w:eastAsia="Calibri" w:hAnsi="Times New Roman" w:cs="Times New Roman"/>
                <w:sz w:val="26"/>
                <w:szCs w:val="26"/>
              </w:rPr>
            </w:pPr>
          </w:p>
        </w:tc>
        <w:tc>
          <w:tcPr>
            <w:tcW w:w="856" w:type="pct"/>
          </w:tcPr>
          <w:p w:rsidR="00C97FF7" w:rsidRPr="00856512" w:rsidP="00CB3BFF" w14:paraId="000D2CFB" w14:textId="77777777">
            <w:pPr>
              <w:spacing w:after="0" w:line="240" w:lineRule="auto"/>
              <w:jc w:val="right"/>
              <w:rPr>
                <w:rFonts w:ascii="Times New Roman" w:eastAsia="Calibri" w:hAnsi="Times New Roman" w:cs="Times New Roman"/>
                <w:sz w:val="26"/>
                <w:szCs w:val="26"/>
              </w:rPr>
            </w:pPr>
            <w:r w:rsidRPr="00856512">
              <w:rPr>
                <w:rFonts w:ascii="Times New Roman" w:eastAsia="Calibri" w:hAnsi="Times New Roman" w:cs="Times New Roman"/>
                <w:sz w:val="26"/>
                <w:szCs w:val="26"/>
              </w:rPr>
              <w:t>1</w:t>
            </w:r>
          </w:p>
        </w:tc>
        <w:tc>
          <w:tcPr>
            <w:tcW w:w="778" w:type="pct"/>
          </w:tcPr>
          <w:p w:rsidR="00C97FF7" w:rsidRPr="00856512" w:rsidP="00CB3BFF" w14:paraId="14833E6D" w14:textId="5D8F211D">
            <w:pPr>
              <w:spacing w:after="0" w:line="240" w:lineRule="auto"/>
              <w:jc w:val="right"/>
              <w:rPr>
                <w:rFonts w:ascii="Times New Roman" w:eastAsia="Calibri" w:hAnsi="Times New Roman" w:cs="Times New Roman"/>
                <w:sz w:val="26"/>
                <w:szCs w:val="26"/>
              </w:rPr>
            </w:pPr>
            <w:r w:rsidRPr="00856512">
              <w:rPr>
                <w:rFonts w:ascii="Times New Roman" w:eastAsia="Calibri" w:hAnsi="Times New Roman" w:cs="Times New Roman"/>
                <w:sz w:val="26"/>
                <w:szCs w:val="26"/>
              </w:rPr>
              <w:t>10</w:t>
            </w:r>
          </w:p>
        </w:tc>
        <w:tc>
          <w:tcPr>
            <w:tcW w:w="681" w:type="pct"/>
          </w:tcPr>
          <w:p w:rsidR="00C97FF7" w:rsidRPr="00856512" w:rsidP="00CB3BFF" w14:paraId="37606195" w14:textId="56F62FE6">
            <w:pPr>
              <w:spacing w:after="0" w:line="240" w:lineRule="auto"/>
              <w:jc w:val="right"/>
              <w:rPr>
                <w:rFonts w:ascii="Times New Roman" w:eastAsia="Calibri" w:hAnsi="Times New Roman" w:cs="Times New Roman"/>
                <w:sz w:val="26"/>
                <w:szCs w:val="26"/>
              </w:rPr>
            </w:pPr>
            <w:r w:rsidRPr="00856512">
              <w:rPr>
                <w:rFonts w:ascii="Times New Roman" w:eastAsia="Calibri" w:hAnsi="Times New Roman" w:cs="Times New Roman"/>
                <w:sz w:val="26"/>
                <w:szCs w:val="26"/>
              </w:rPr>
              <w:t xml:space="preserve">120 </w:t>
            </w:r>
            <w:r w:rsidRPr="00856512">
              <w:rPr>
                <w:rFonts w:ascii="Times New Roman" w:eastAsia="Calibri" w:hAnsi="Times New Roman" w:cs="Times New Roman"/>
                <w:sz w:val="26"/>
                <w:szCs w:val="26"/>
              </w:rPr>
              <w:t>hrs.;</w:t>
            </w:r>
          </w:p>
          <w:p w:rsidR="00C97FF7" w:rsidRPr="00856512" w:rsidP="00CB3BFF" w14:paraId="09FE99A5" w14:textId="6D9645BE">
            <w:pPr>
              <w:spacing w:after="0" w:line="240" w:lineRule="auto"/>
              <w:jc w:val="right"/>
              <w:rPr>
                <w:rFonts w:ascii="Times New Roman" w:eastAsia="Calibri" w:hAnsi="Times New Roman" w:cs="Times New Roman"/>
                <w:sz w:val="26"/>
                <w:szCs w:val="26"/>
              </w:rPr>
            </w:pPr>
            <w:r w:rsidRPr="00856512">
              <w:rPr>
                <w:rFonts w:ascii="Times New Roman" w:eastAsia="Calibri" w:hAnsi="Times New Roman" w:cs="Times New Roman"/>
                <w:sz w:val="26"/>
                <w:szCs w:val="26"/>
              </w:rPr>
              <w:t>$9,915.60</w:t>
            </w:r>
          </w:p>
        </w:tc>
        <w:tc>
          <w:tcPr>
            <w:tcW w:w="925" w:type="pct"/>
          </w:tcPr>
          <w:p w:rsidR="00C97FF7" w:rsidRPr="00856512" w:rsidP="00CB3BFF" w14:paraId="5ED53361" w14:textId="1AA6847C">
            <w:pPr>
              <w:spacing w:after="0" w:line="240" w:lineRule="auto"/>
              <w:jc w:val="right"/>
              <w:rPr>
                <w:rFonts w:ascii="Times New Roman" w:eastAsia="Calibri" w:hAnsi="Times New Roman" w:cs="Times New Roman"/>
                <w:sz w:val="26"/>
                <w:szCs w:val="26"/>
              </w:rPr>
            </w:pPr>
            <w:r w:rsidRPr="00856512">
              <w:rPr>
                <w:rFonts w:ascii="Times New Roman" w:eastAsia="Calibri" w:hAnsi="Times New Roman" w:cs="Times New Roman"/>
                <w:sz w:val="26"/>
                <w:szCs w:val="26"/>
              </w:rPr>
              <w:t xml:space="preserve">1,200 </w:t>
            </w:r>
            <w:r w:rsidRPr="00856512">
              <w:rPr>
                <w:rFonts w:ascii="Times New Roman" w:eastAsia="Calibri" w:hAnsi="Times New Roman" w:cs="Times New Roman"/>
                <w:sz w:val="26"/>
                <w:szCs w:val="26"/>
              </w:rPr>
              <w:t>hrs.;</w:t>
            </w:r>
          </w:p>
          <w:p w:rsidR="00C97FF7" w:rsidRPr="00856512" w:rsidP="00CB3BFF" w14:paraId="7994655A" w14:textId="38FE86B4">
            <w:pPr>
              <w:spacing w:after="0" w:line="240" w:lineRule="auto"/>
              <w:jc w:val="right"/>
              <w:rPr>
                <w:rFonts w:ascii="Times New Roman" w:eastAsia="Calibri" w:hAnsi="Times New Roman" w:cs="Times New Roman"/>
                <w:sz w:val="26"/>
                <w:szCs w:val="26"/>
              </w:rPr>
            </w:pPr>
            <w:r w:rsidRPr="00856512">
              <w:rPr>
                <w:rFonts w:ascii="Times New Roman" w:eastAsia="Calibri" w:hAnsi="Times New Roman" w:cs="Times New Roman"/>
                <w:sz w:val="26"/>
                <w:szCs w:val="26"/>
              </w:rPr>
              <w:t>$99,156</w:t>
            </w:r>
          </w:p>
          <w:p w:rsidR="00C97FF7" w:rsidRPr="00856512" w:rsidP="00CB3BFF" w14:paraId="0758F900" w14:textId="498C4484">
            <w:pPr>
              <w:spacing w:after="0" w:line="240" w:lineRule="auto"/>
              <w:jc w:val="right"/>
              <w:rPr>
                <w:rFonts w:ascii="Times New Roman" w:eastAsia="Calibri" w:hAnsi="Times New Roman" w:cs="Times New Roman"/>
                <w:sz w:val="26"/>
                <w:szCs w:val="26"/>
              </w:rPr>
            </w:pPr>
          </w:p>
        </w:tc>
      </w:tr>
      <w:tr w14:paraId="79C8781E" w14:textId="77777777" w:rsidTr="00C26176">
        <w:tblPrEx>
          <w:tblW w:w="4945" w:type="pct"/>
          <w:tblInd w:w="-72" w:type="dxa"/>
          <w:tblLayout w:type="fixed"/>
          <w:tblLook w:val="01E0"/>
        </w:tblPrEx>
        <w:trPr>
          <w:cantSplit/>
        </w:trPr>
        <w:tc>
          <w:tcPr>
            <w:tcW w:w="961" w:type="pct"/>
          </w:tcPr>
          <w:p w:rsidR="00C97FF7" w:rsidRPr="00856512" w:rsidP="00CB3BFF" w14:paraId="1FF8214D" w14:textId="17828AD3">
            <w:pPr>
              <w:spacing w:after="0" w:line="240" w:lineRule="auto"/>
              <w:rPr>
                <w:rFonts w:ascii="Times New Roman" w:eastAsia="Calibri" w:hAnsi="Times New Roman" w:cs="Times New Roman"/>
                <w:sz w:val="26"/>
                <w:szCs w:val="26"/>
              </w:rPr>
            </w:pPr>
            <w:r w:rsidRPr="00856512">
              <w:rPr>
                <w:rFonts w:ascii="Times New Roman" w:eastAsia="Calibri" w:hAnsi="Times New Roman" w:cs="Times New Roman"/>
                <w:sz w:val="26"/>
                <w:szCs w:val="26"/>
              </w:rPr>
              <w:t>Local Distribution Determination</w:t>
            </w:r>
          </w:p>
        </w:tc>
        <w:tc>
          <w:tcPr>
            <w:tcW w:w="799" w:type="pct"/>
          </w:tcPr>
          <w:p w:rsidR="00C97FF7" w:rsidRPr="00856512" w:rsidP="00CB3BFF" w14:paraId="0D2237C1" w14:textId="05F6AB49">
            <w:pPr>
              <w:spacing w:after="0" w:line="240" w:lineRule="auto"/>
              <w:jc w:val="right"/>
              <w:rPr>
                <w:rFonts w:ascii="Times New Roman" w:eastAsia="Calibri" w:hAnsi="Times New Roman" w:cs="Times New Roman"/>
                <w:sz w:val="26"/>
                <w:szCs w:val="26"/>
              </w:rPr>
            </w:pPr>
            <w:r w:rsidRPr="00856512">
              <w:rPr>
                <w:rFonts w:ascii="Times New Roman" w:eastAsia="Calibri" w:hAnsi="Times New Roman" w:cs="Times New Roman"/>
                <w:sz w:val="26"/>
                <w:szCs w:val="26"/>
              </w:rPr>
              <w:t>1</w:t>
            </w:r>
          </w:p>
        </w:tc>
        <w:tc>
          <w:tcPr>
            <w:tcW w:w="856" w:type="pct"/>
          </w:tcPr>
          <w:p w:rsidR="00C97FF7" w:rsidRPr="00856512" w:rsidP="00CB3BFF" w14:paraId="74C1A41A" w14:textId="77777777">
            <w:pPr>
              <w:spacing w:after="0" w:line="240" w:lineRule="auto"/>
              <w:jc w:val="right"/>
              <w:rPr>
                <w:rFonts w:ascii="Times New Roman" w:eastAsia="Calibri" w:hAnsi="Times New Roman" w:cs="Times New Roman"/>
                <w:sz w:val="26"/>
                <w:szCs w:val="26"/>
              </w:rPr>
            </w:pPr>
            <w:r w:rsidRPr="00856512">
              <w:rPr>
                <w:rFonts w:ascii="Times New Roman" w:eastAsia="Calibri" w:hAnsi="Times New Roman" w:cs="Times New Roman"/>
                <w:sz w:val="26"/>
                <w:szCs w:val="26"/>
              </w:rPr>
              <w:t>1</w:t>
            </w:r>
          </w:p>
        </w:tc>
        <w:tc>
          <w:tcPr>
            <w:tcW w:w="778" w:type="pct"/>
          </w:tcPr>
          <w:p w:rsidR="00C97FF7" w:rsidRPr="00856512" w:rsidP="00CB3BFF" w14:paraId="43C1741A" w14:textId="6315C40B">
            <w:pPr>
              <w:spacing w:after="0" w:line="240" w:lineRule="auto"/>
              <w:jc w:val="right"/>
              <w:rPr>
                <w:rFonts w:ascii="Times New Roman" w:eastAsia="Calibri" w:hAnsi="Times New Roman" w:cs="Times New Roman"/>
                <w:sz w:val="26"/>
                <w:szCs w:val="26"/>
              </w:rPr>
            </w:pPr>
            <w:r w:rsidRPr="00856512">
              <w:rPr>
                <w:rFonts w:ascii="Times New Roman" w:eastAsia="Calibri" w:hAnsi="Times New Roman" w:cs="Times New Roman"/>
                <w:sz w:val="26"/>
                <w:szCs w:val="26"/>
              </w:rPr>
              <w:t>1</w:t>
            </w:r>
          </w:p>
        </w:tc>
        <w:tc>
          <w:tcPr>
            <w:tcW w:w="681" w:type="pct"/>
          </w:tcPr>
          <w:p w:rsidR="00C97FF7" w:rsidRPr="00856512" w:rsidP="00CB3BFF" w14:paraId="7528D594" w14:textId="0614758E">
            <w:pPr>
              <w:spacing w:after="0" w:line="240" w:lineRule="auto"/>
              <w:jc w:val="right"/>
              <w:rPr>
                <w:rFonts w:ascii="Times New Roman" w:eastAsia="Calibri" w:hAnsi="Times New Roman" w:cs="Times New Roman"/>
                <w:sz w:val="26"/>
                <w:szCs w:val="26"/>
              </w:rPr>
            </w:pPr>
            <w:r w:rsidRPr="00856512">
              <w:rPr>
                <w:rFonts w:ascii="Times New Roman" w:eastAsia="Calibri" w:hAnsi="Times New Roman" w:cs="Times New Roman"/>
                <w:sz w:val="26"/>
                <w:szCs w:val="26"/>
              </w:rPr>
              <w:t xml:space="preserve">120 </w:t>
            </w:r>
            <w:r w:rsidRPr="00856512">
              <w:rPr>
                <w:rFonts w:ascii="Times New Roman" w:eastAsia="Calibri" w:hAnsi="Times New Roman" w:cs="Times New Roman"/>
                <w:sz w:val="26"/>
                <w:szCs w:val="26"/>
              </w:rPr>
              <w:t>hrs.;</w:t>
            </w:r>
          </w:p>
          <w:p w:rsidR="00C97FF7" w:rsidRPr="00856512" w:rsidP="00CB3BFF" w14:paraId="6F8FF09E" w14:textId="59EE8534">
            <w:pPr>
              <w:spacing w:after="0" w:line="240" w:lineRule="auto"/>
              <w:jc w:val="right"/>
              <w:rPr>
                <w:rFonts w:ascii="Times New Roman" w:eastAsia="Calibri" w:hAnsi="Times New Roman" w:cs="Times New Roman"/>
                <w:sz w:val="26"/>
                <w:szCs w:val="26"/>
              </w:rPr>
            </w:pPr>
            <w:r w:rsidRPr="00856512">
              <w:rPr>
                <w:rFonts w:ascii="Times New Roman" w:eastAsia="Calibri" w:hAnsi="Times New Roman" w:cs="Times New Roman"/>
                <w:sz w:val="26"/>
                <w:szCs w:val="26"/>
              </w:rPr>
              <w:t>$9,915.60</w:t>
            </w:r>
          </w:p>
        </w:tc>
        <w:tc>
          <w:tcPr>
            <w:tcW w:w="925" w:type="pct"/>
          </w:tcPr>
          <w:p w:rsidR="00C97FF7" w:rsidRPr="00856512" w:rsidP="00CB3BFF" w14:paraId="044ECA77" w14:textId="2E78F3B5">
            <w:pPr>
              <w:spacing w:after="0" w:line="240" w:lineRule="auto"/>
              <w:jc w:val="right"/>
              <w:rPr>
                <w:rFonts w:ascii="Times New Roman" w:eastAsia="Calibri" w:hAnsi="Times New Roman" w:cs="Times New Roman"/>
                <w:sz w:val="26"/>
                <w:szCs w:val="26"/>
              </w:rPr>
            </w:pPr>
            <w:r w:rsidRPr="00856512">
              <w:rPr>
                <w:rFonts w:ascii="Times New Roman" w:eastAsia="Calibri" w:hAnsi="Times New Roman" w:cs="Times New Roman"/>
                <w:sz w:val="26"/>
                <w:szCs w:val="26"/>
              </w:rPr>
              <w:t xml:space="preserve">120 </w:t>
            </w:r>
            <w:r w:rsidRPr="00856512">
              <w:rPr>
                <w:rFonts w:ascii="Times New Roman" w:eastAsia="Calibri" w:hAnsi="Times New Roman" w:cs="Times New Roman"/>
                <w:sz w:val="26"/>
                <w:szCs w:val="26"/>
              </w:rPr>
              <w:t>hrs.;</w:t>
            </w:r>
          </w:p>
          <w:p w:rsidR="00C97FF7" w:rsidRPr="00856512" w:rsidP="00CB3BFF" w14:paraId="000EE22D" w14:textId="712A3C18">
            <w:pPr>
              <w:spacing w:after="0" w:line="240" w:lineRule="auto"/>
              <w:jc w:val="right"/>
              <w:rPr>
                <w:rFonts w:ascii="Times New Roman" w:eastAsia="Calibri" w:hAnsi="Times New Roman" w:cs="Times New Roman"/>
                <w:sz w:val="26"/>
                <w:szCs w:val="26"/>
              </w:rPr>
            </w:pPr>
            <w:r w:rsidRPr="00856512">
              <w:rPr>
                <w:rFonts w:ascii="Times New Roman" w:eastAsia="Calibri" w:hAnsi="Times New Roman" w:cs="Times New Roman"/>
                <w:sz w:val="26"/>
                <w:szCs w:val="26"/>
              </w:rPr>
              <w:t>$9,915.60</w:t>
            </w:r>
          </w:p>
        </w:tc>
      </w:tr>
      <w:tr w14:paraId="609890E3" w14:textId="77777777" w:rsidTr="00C26176">
        <w:tblPrEx>
          <w:tblW w:w="4945" w:type="pct"/>
          <w:tblInd w:w="-72" w:type="dxa"/>
          <w:tblLayout w:type="fixed"/>
          <w:tblLook w:val="01E0"/>
        </w:tblPrEx>
        <w:trPr>
          <w:cantSplit/>
          <w:trHeight w:val="485"/>
        </w:trPr>
        <w:tc>
          <w:tcPr>
            <w:tcW w:w="961" w:type="pct"/>
            <w:tcBorders>
              <w:bottom w:val="single" w:sz="4" w:space="0" w:color="auto"/>
            </w:tcBorders>
          </w:tcPr>
          <w:p w:rsidR="00C97FF7" w:rsidRPr="00856512" w:rsidP="00CB3BFF" w14:paraId="1AB5099E" w14:textId="77777777">
            <w:pPr>
              <w:spacing w:after="0" w:line="240" w:lineRule="auto"/>
              <w:rPr>
                <w:rFonts w:ascii="Times New Roman" w:eastAsia="Calibri" w:hAnsi="Times New Roman" w:cs="Times New Roman"/>
                <w:b/>
                <w:sz w:val="26"/>
                <w:szCs w:val="26"/>
              </w:rPr>
            </w:pPr>
            <w:r w:rsidRPr="00856512">
              <w:rPr>
                <w:rFonts w:ascii="Times New Roman" w:eastAsia="Calibri" w:hAnsi="Times New Roman" w:cs="Times New Roman"/>
                <w:b/>
                <w:sz w:val="26"/>
                <w:szCs w:val="26"/>
              </w:rPr>
              <w:t>TOTAL</w:t>
            </w:r>
          </w:p>
        </w:tc>
        <w:tc>
          <w:tcPr>
            <w:tcW w:w="1655" w:type="pct"/>
            <w:gridSpan w:val="2"/>
            <w:tcBorders>
              <w:bottom w:val="single" w:sz="4" w:space="0" w:color="auto"/>
            </w:tcBorders>
            <w:shd w:val="clear" w:color="auto" w:fill="D9D9D9" w:themeFill="background1" w:themeFillShade="D9"/>
          </w:tcPr>
          <w:p w:rsidR="00C97FF7" w:rsidRPr="00856512" w:rsidP="00CB3BFF" w14:paraId="2E3EA979" w14:textId="77777777">
            <w:pPr>
              <w:spacing w:after="0" w:line="240" w:lineRule="auto"/>
              <w:jc w:val="right"/>
              <w:rPr>
                <w:rFonts w:ascii="Times New Roman" w:eastAsia="Calibri" w:hAnsi="Times New Roman" w:cs="Times New Roman"/>
                <w:sz w:val="26"/>
                <w:szCs w:val="26"/>
              </w:rPr>
            </w:pPr>
          </w:p>
        </w:tc>
        <w:tc>
          <w:tcPr>
            <w:tcW w:w="778" w:type="pct"/>
            <w:tcBorders>
              <w:bottom w:val="single" w:sz="4" w:space="0" w:color="auto"/>
            </w:tcBorders>
          </w:tcPr>
          <w:p w:rsidR="00C97FF7" w:rsidRPr="00856512" w:rsidP="00CB3BFF" w14:paraId="34F84DD7" w14:textId="7C5060A6">
            <w:pPr>
              <w:spacing w:after="0" w:line="240" w:lineRule="auto"/>
              <w:jc w:val="right"/>
              <w:rPr>
                <w:rFonts w:ascii="Times New Roman" w:eastAsia="Calibri" w:hAnsi="Times New Roman" w:cs="Times New Roman"/>
                <w:b/>
                <w:sz w:val="26"/>
                <w:szCs w:val="26"/>
              </w:rPr>
            </w:pPr>
            <w:r w:rsidRPr="00856512">
              <w:rPr>
                <w:rFonts w:ascii="Times New Roman" w:eastAsia="Calibri" w:hAnsi="Times New Roman" w:cs="Times New Roman"/>
                <w:b/>
                <w:sz w:val="26"/>
                <w:szCs w:val="26"/>
              </w:rPr>
              <w:t>11</w:t>
            </w:r>
          </w:p>
        </w:tc>
        <w:tc>
          <w:tcPr>
            <w:tcW w:w="681" w:type="pct"/>
            <w:tcBorders>
              <w:bottom w:val="single" w:sz="4" w:space="0" w:color="auto"/>
            </w:tcBorders>
            <w:shd w:val="clear" w:color="auto" w:fill="D9D9D9" w:themeFill="background1" w:themeFillShade="D9"/>
          </w:tcPr>
          <w:p w:rsidR="00C97FF7" w:rsidRPr="00856512" w:rsidP="00CB3BFF" w14:paraId="34CF0480" w14:textId="77777777">
            <w:pPr>
              <w:spacing w:after="0" w:line="240" w:lineRule="auto"/>
              <w:jc w:val="right"/>
              <w:rPr>
                <w:rFonts w:ascii="Times New Roman" w:eastAsia="Calibri" w:hAnsi="Times New Roman" w:cs="Times New Roman"/>
                <w:sz w:val="26"/>
                <w:szCs w:val="26"/>
              </w:rPr>
            </w:pPr>
          </w:p>
        </w:tc>
        <w:tc>
          <w:tcPr>
            <w:tcW w:w="925" w:type="pct"/>
            <w:tcBorders>
              <w:bottom w:val="single" w:sz="4" w:space="0" w:color="auto"/>
            </w:tcBorders>
          </w:tcPr>
          <w:p w:rsidR="00C97FF7" w:rsidRPr="00856512" w:rsidP="00CB3BFF" w14:paraId="2202544D" w14:textId="3298AAEE">
            <w:pPr>
              <w:spacing w:after="0" w:line="240" w:lineRule="auto"/>
              <w:jc w:val="right"/>
              <w:rPr>
                <w:rFonts w:ascii="Times New Roman" w:eastAsia="Calibri" w:hAnsi="Times New Roman" w:cs="Times New Roman"/>
                <w:b/>
                <w:sz w:val="26"/>
                <w:szCs w:val="26"/>
              </w:rPr>
            </w:pPr>
            <w:r w:rsidRPr="00856512">
              <w:rPr>
                <w:rFonts w:ascii="Times New Roman" w:eastAsia="Calibri" w:hAnsi="Times New Roman" w:cs="Times New Roman"/>
                <w:b/>
                <w:sz w:val="26"/>
                <w:szCs w:val="26"/>
              </w:rPr>
              <w:t>1,320  hrs.</w:t>
            </w:r>
            <w:r w:rsidRPr="00856512">
              <w:rPr>
                <w:rFonts w:ascii="Times New Roman" w:eastAsia="Calibri" w:hAnsi="Times New Roman" w:cs="Times New Roman"/>
                <w:b/>
                <w:sz w:val="26"/>
                <w:szCs w:val="26"/>
              </w:rPr>
              <w:t>;</w:t>
            </w:r>
          </w:p>
          <w:p w:rsidR="00C97FF7" w:rsidRPr="00856512" w:rsidP="00CB3BFF" w14:paraId="04EC82B6" w14:textId="25E23239">
            <w:pPr>
              <w:spacing w:after="0" w:line="240" w:lineRule="auto"/>
              <w:jc w:val="right"/>
              <w:rPr>
                <w:rFonts w:ascii="Times New Roman" w:eastAsia="Calibri" w:hAnsi="Times New Roman" w:cs="Times New Roman"/>
                <w:b/>
                <w:sz w:val="26"/>
                <w:szCs w:val="26"/>
              </w:rPr>
            </w:pPr>
            <w:r w:rsidRPr="00856512">
              <w:rPr>
                <w:rFonts w:ascii="Times New Roman" w:eastAsia="Calibri" w:hAnsi="Times New Roman" w:cs="Times New Roman"/>
                <w:b/>
                <w:sz w:val="26"/>
                <w:szCs w:val="26"/>
              </w:rPr>
              <w:t>$109,071.60</w:t>
            </w:r>
          </w:p>
        </w:tc>
      </w:tr>
    </w:tbl>
    <w:p w:rsidR="006B1854" w:rsidP="00CB3BFF" w14:paraId="3BC2B188" w14:textId="77777777">
      <w:pPr>
        <w:spacing w:after="0" w:line="480" w:lineRule="auto"/>
        <w:rPr>
          <w:rFonts w:ascii="Times New Roman" w:eastAsia="Times New Roman" w:hAnsi="Times New Roman" w:cs="Times New Roman"/>
          <w:i/>
          <w:sz w:val="26"/>
          <w:szCs w:val="24"/>
        </w:rPr>
      </w:pPr>
    </w:p>
    <w:p w:rsidR="00CB3BFF" w:rsidRPr="00C05408" w:rsidP="00CB3BFF" w14:paraId="5D346379" w14:textId="161EEEFA">
      <w:pPr>
        <w:spacing w:after="0" w:line="480" w:lineRule="auto"/>
        <w:rPr>
          <w:rFonts w:ascii="Times New Roman" w:eastAsia="Times New Roman" w:hAnsi="Times New Roman" w:cs="Times New Roman"/>
          <w:sz w:val="26"/>
          <w:szCs w:val="24"/>
        </w:rPr>
      </w:pPr>
      <w:r w:rsidRPr="00C05408">
        <w:rPr>
          <w:rFonts w:ascii="Times New Roman" w:eastAsia="Times New Roman" w:hAnsi="Times New Roman" w:cs="Times New Roman"/>
          <w:i/>
          <w:sz w:val="26"/>
          <w:szCs w:val="24"/>
        </w:rPr>
        <w:t xml:space="preserve">Comments:  </w:t>
      </w:r>
      <w:r w:rsidRPr="00C05408">
        <w:rPr>
          <w:rFonts w:ascii="Times New Roman" w:eastAsia="Times New Roman" w:hAnsi="Times New Roman" w:cs="Times New Roman"/>
          <w:sz w:val="26"/>
          <w:szCs w:val="24"/>
        </w:rPr>
        <w:t xml:space="preserve">Comments are invited on:  (1) whether the </w:t>
      </w:r>
      <w:r w:rsidR="00174543">
        <w:rPr>
          <w:rFonts w:ascii="Times New Roman" w:eastAsia="Times New Roman" w:hAnsi="Times New Roman" w:cs="Times New Roman"/>
          <w:sz w:val="26"/>
          <w:szCs w:val="24"/>
        </w:rPr>
        <w:t>collection</w:t>
      </w:r>
      <w:r w:rsidRPr="00C05408">
        <w:rPr>
          <w:rFonts w:ascii="Times New Roman" w:eastAsia="Times New Roman" w:hAnsi="Times New Roman" w:cs="Times New Roman"/>
          <w:sz w:val="26"/>
          <w:szCs w:val="24"/>
        </w:rPr>
        <w:t xml:space="preserve"> of information</w:t>
      </w:r>
      <w:r w:rsidR="00C57F19">
        <w:rPr>
          <w:rFonts w:ascii="Times New Roman" w:eastAsia="Times New Roman" w:hAnsi="Times New Roman" w:cs="Times New Roman"/>
          <w:sz w:val="26"/>
          <w:szCs w:val="24"/>
        </w:rPr>
        <w:t xml:space="preserve"> is</w:t>
      </w:r>
      <w:r w:rsidRPr="00C05408">
        <w:rPr>
          <w:rFonts w:ascii="Times New Roman" w:eastAsia="Times New Roman" w:hAnsi="Times New Roman" w:cs="Times New Roman"/>
          <w:sz w:val="26"/>
          <w:szCs w:val="24"/>
        </w:rPr>
        <w:t xml:space="preserve"> necessary for the proper performance of the functions of the Commission, including whether the information will have practical utility; (2) the accuracy of the agency’s estimates of the burden and cost of the </w:t>
      </w:r>
      <w:r w:rsidR="00174543">
        <w:rPr>
          <w:rFonts w:ascii="Times New Roman" w:eastAsia="Times New Roman" w:hAnsi="Times New Roman" w:cs="Times New Roman"/>
          <w:sz w:val="26"/>
          <w:szCs w:val="24"/>
        </w:rPr>
        <w:t>collection</w:t>
      </w:r>
      <w:r w:rsidRPr="00C05408">
        <w:rPr>
          <w:rFonts w:ascii="Times New Roman" w:eastAsia="Times New Roman" w:hAnsi="Times New Roman" w:cs="Times New Roman"/>
          <w:sz w:val="26"/>
          <w:szCs w:val="24"/>
        </w:rPr>
        <w:t xml:space="preserve"> of information, including the validity of the methodology and assumptions used; (3) ways to enhance the quality, utility and clarity of the information </w:t>
      </w:r>
      <w:r w:rsidR="00174543">
        <w:rPr>
          <w:rFonts w:ascii="Times New Roman" w:eastAsia="Times New Roman" w:hAnsi="Times New Roman" w:cs="Times New Roman"/>
          <w:sz w:val="26"/>
          <w:szCs w:val="24"/>
        </w:rPr>
        <w:t>collection</w:t>
      </w:r>
      <w:r w:rsidRPr="00C05408">
        <w:rPr>
          <w:rFonts w:ascii="Times New Roman" w:eastAsia="Times New Roman" w:hAnsi="Times New Roman" w:cs="Times New Roman"/>
          <w:sz w:val="26"/>
          <w:szCs w:val="24"/>
        </w:rPr>
        <w:t xml:space="preserve">; and (4) ways to minimize the burden of the </w:t>
      </w:r>
      <w:r w:rsidR="00174543">
        <w:rPr>
          <w:rFonts w:ascii="Times New Roman" w:eastAsia="Times New Roman" w:hAnsi="Times New Roman" w:cs="Times New Roman"/>
          <w:sz w:val="26"/>
          <w:szCs w:val="24"/>
        </w:rPr>
        <w:t>collection</w:t>
      </w:r>
      <w:r w:rsidRPr="00C05408">
        <w:rPr>
          <w:rFonts w:ascii="Times New Roman" w:eastAsia="Times New Roman" w:hAnsi="Times New Roman" w:cs="Times New Roman"/>
          <w:sz w:val="26"/>
          <w:szCs w:val="24"/>
        </w:rPr>
        <w:t xml:space="preserve"> of information on those who are to respond, including the use of automated collection techniques or other forms of information technology.  </w:t>
      </w:r>
    </w:p>
    <w:p w:rsidR="00CB3BFF" w:rsidRPr="00D4590B" w:rsidP="00CB3BFF" w14:paraId="3DD913C4" w14:textId="77777777">
      <w:pPr>
        <w:autoSpaceDE w:val="0"/>
        <w:autoSpaceDN w:val="0"/>
        <w:adjustRightInd w:val="0"/>
        <w:spacing w:after="0" w:line="240" w:lineRule="auto"/>
        <w:rPr>
          <w:rFonts w:ascii="Times New Roman" w:eastAsia="Times New Roman" w:hAnsi="Times New Roman" w:cs="Times New Roman"/>
          <w:sz w:val="26"/>
          <w:szCs w:val="26"/>
        </w:rPr>
      </w:pPr>
    </w:p>
    <w:p w:rsidR="00CB3BFF" w:rsidRPr="00D4590B" w:rsidP="00CB3BFF" w14:paraId="4BD814E1" w14:textId="77777777">
      <w:pPr>
        <w:autoSpaceDE w:val="0"/>
        <w:autoSpaceDN w:val="0"/>
        <w:adjustRightInd w:val="0"/>
        <w:spacing w:after="0" w:line="240" w:lineRule="auto"/>
        <w:rPr>
          <w:rFonts w:ascii="Times New Roman" w:eastAsia="Times New Roman" w:hAnsi="Times New Roman" w:cs="Times New Roman"/>
          <w:sz w:val="26"/>
          <w:szCs w:val="26"/>
        </w:rPr>
      </w:pPr>
    </w:p>
    <w:p w:rsidR="00121D38" w:rsidRPr="00121D38" w:rsidP="00121D38" w14:paraId="412273F3" w14:textId="17925FB5">
      <w:pPr>
        <w:spacing w:after="0" w:line="240" w:lineRule="auto"/>
        <w:ind w:firstLine="2174"/>
        <w:jc w:val="center"/>
        <w:rPr>
          <w:rFonts w:ascii="Times New Roman" w:eastAsia="Times New Roman" w:hAnsi="Times New Roman" w:cs="Times New Roman"/>
          <w:sz w:val="26"/>
          <w:szCs w:val="24"/>
        </w:rPr>
      </w:pPr>
      <w:r w:rsidRPr="00121D38">
        <w:rPr>
          <w:rFonts w:ascii="Times New Roman" w:eastAsia="Times New Roman" w:hAnsi="Times New Roman" w:cs="Times New Roman"/>
          <w:sz w:val="26"/>
          <w:szCs w:val="24"/>
        </w:rPr>
        <w:t>Deb</w:t>
      </w:r>
      <w:r w:rsidR="004E4475">
        <w:rPr>
          <w:rFonts w:ascii="Times New Roman" w:eastAsia="Times New Roman" w:hAnsi="Times New Roman" w:cs="Times New Roman"/>
          <w:sz w:val="26"/>
          <w:szCs w:val="24"/>
        </w:rPr>
        <w:t>bie</w:t>
      </w:r>
      <w:r w:rsidR="00856512">
        <w:rPr>
          <w:rFonts w:ascii="Times New Roman" w:eastAsia="Times New Roman" w:hAnsi="Times New Roman" w:cs="Times New Roman"/>
          <w:sz w:val="26"/>
          <w:szCs w:val="24"/>
        </w:rPr>
        <w:t>-</w:t>
      </w:r>
      <w:r w:rsidRPr="00121D38">
        <w:rPr>
          <w:rFonts w:ascii="Times New Roman" w:eastAsia="Times New Roman" w:hAnsi="Times New Roman" w:cs="Times New Roman"/>
          <w:sz w:val="26"/>
          <w:szCs w:val="24"/>
        </w:rPr>
        <w:t>Ann</w:t>
      </w:r>
      <w:r w:rsidR="004E4475">
        <w:rPr>
          <w:rFonts w:ascii="Times New Roman" w:eastAsia="Times New Roman" w:hAnsi="Times New Roman" w:cs="Times New Roman"/>
          <w:sz w:val="26"/>
          <w:szCs w:val="24"/>
        </w:rPr>
        <w:t>e</w:t>
      </w:r>
      <w:r w:rsidRPr="00121D38">
        <w:rPr>
          <w:rFonts w:ascii="Times New Roman" w:eastAsia="Times New Roman" w:hAnsi="Times New Roman" w:cs="Times New Roman"/>
          <w:sz w:val="26"/>
          <w:szCs w:val="24"/>
        </w:rPr>
        <w:t>. Reese,</w:t>
      </w:r>
    </w:p>
    <w:p w:rsidR="00121D38" w:rsidRPr="00121D38" w:rsidP="00121D38" w14:paraId="61C6FE4D" w14:textId="77777777">
      <w:pPr>
        <w:spacing w:after="0" w:line="240" w:lineRule="auto"/>
        <w:ind w:firstLine="2174"/>
        <w:jc w:val="center"/>
        <w:rPr>
          <w:rFonts w:ascii="Times New Roman" w:eastAsia="Times New Roman" w:hAnsi="Times New Roman" w:cs="Times New Roman"/>
          <w:sz w:val="26"/>
          <w:szCs w:val="24"/>
        </w:rPr>
      </w:pPr>
      <w:r w:rsidRPr="00121D38">
        <w:rPr>
          <w:rFonts w:ascii="Times New Roman" w:eastAsia="Times New Roman" w:hAnsi="Times New Roman" w:cs="Times New Roman"/>
          <w:sz w:val="26"/>
          <w:szCs w:val="24"/>
        </w:rPr>
        <w:t>Secretary.</w:t>
      </w:r>
    </w:p>
    <w:p w:rsidR="003C094D" w:rsidP="00121D38" w14:paraId="3AEEC221" w14:textId="1B2A4EEC">
      <w:pPr>
        <w:spacing w:after="0" w:line="240" w:lineRule="auto"/>
        <w:ind w:firstLine="2606"/>
        <w:jc w:val="center"/>
      </w:pPr>
    </w:p>
    <w:sectPr w:rsidSect="002621ED">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pgNumType w:start="1"/>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26176" w14:paraId="522F91E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7587151"/>
      <w:docPartObj>
        <w:docPartGallery w:val="Page Numbers (Bottom of Page)"/>
        <w:docPartUnique/>
      </w:docPartObj>
    </w:sdtPr>
    <w:sdtEndPr>
      <w:rPr>
        <w:rFonts w:ascii="Times New Roman" w:hAnsi="Times New Roman" w:cs="Times New Roman"/>
        <w:noProof/>
        <w:sz w:val="26"/>
        <w:szCs w:val="26"/>
      </w:rPr>
    </w:sdtEndPr>
    <w:sdtContent>
      <w:p w:rsidR="002621ED" w:rsidRPr="00E5086F" w14:paraId="7E9883C0" w14:textId="77777777">
        <w:pPr>
          <w:pStyle w:val="Footer"/>
          <w:jc w:val="right"/>
          <w:rPr>
            <w:rFonts w:ascii="Times New Roman" w:hAnsi="Times New Roman" w:cs="Times New Roman"/>
            <w:sz w:val="26"/>
            <w:szCs w:val="26"/>
          </w:rPr>
        </w:pPr>
        <w:r w:rsidRPr="00E5086F">
          <w:rPr>
            <w:rFonts w:ascii="Times New Roman" w:hAnsi="Times New Roman" w:cs="Times New Roman"/>
            <w:sz w:val="26"/>
            <w:szCs w:val="26"/>
          </w:rPr>
          <w:fldChar w:fldCharType="begin"/>
        </w:r>
        <w:r w:rsidRPr="00E5086F">
          <w:rPr>
            <w:rFonts w:ascii="Times New Roman" w:hAnsi="Times New Roman" w:cs="Times New Roman"/>
            <w:sz w:val="26"/>
            <w:szCs w:val="26"/>
          </w:rPr>
          <w:instrText xml:space="preserve"> PAGE   \* MERGEFORMAT </w:instrText>
        </w:r>
        <w:r w:rsidRPr="00E5086F">
          <w:rPr>
            <w:rFonts w:ascii="Times New Roman" w:hAnsi="Times New Roman" w:cs="Times New Roman"/>
            <w:sz w:val="26"/>
            <w:szCs w:val="26"/>
          </w:rPr>
          <w:fldChar w:fldCharType="separate"/>
        </w:r>
        <w:r w:rsidR="00724236">
          <w:rPr>
            <w:rFonts w:ascii="Times New Roman" w:hAnsi="Times New Roman" w:cs="Times New Roman"/>
            <w:noProof/>
            <w:sz w:val="26"/>
            <w:szCs w:val="26"/>
          </w:rPr>
          <w:t>2</w:t>
        </w:r>
        <w:r w:rsidRPr="00E5086F">
          <w:rPr>
            <w:rFonts w:ascii="Times New Roman" w:hAnsi="Times New Roman" w:cs="Times New Roman"/>
            <w:noProof/>
            <w:sz w:val="26"/>
            <w:szCs w:val="26"/>
          </w:rPr>
          <w:fldChar w:fldCharType="end"/>
        </w:r>
      </w:p>
    </w:sdtContent>
  </w:sdt>
  <w:p w:rsidR="002621ED" w14:paraId="3C03620C"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621ED" w14:paraId="485ECFE7" w14:textId="77777777">
    <w:pPr>
      <w:pStyle w:val="Footer"/>
      <w:jc w:val="center"/>
    </w:pPr>
  </w:p>
  <w:p w:rsidR="002621ED" w14:paraId="785AA97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F32A8" w:rsidP="00CB3BFF" w14:paraId="018FD9AE" w14:textId="77777777">
      <w:pPr>
        <w:spacing w:after="0" w:line="240" w:lineRule="auto"/>
      </w:pPr>
      <w:r>
        <w:separator/>
      </w:r>
    </w:p>
  </w:footnote>
  <w:footnote w:type="continuationSeparator" w:id="1">
    <w:p w:rsidR="004F32A8" w:rsidP="00CB3BFF" w14:paraId="0E7F7856" w14:textId="77777777">
      <w:pPr>
        <w:spacing w:after="0" w:line="240" w:lineRule="auto"/>
      </w:pPr>
      <w:r>
        <w:continuationSeparator/>
      </w:r>
    </w:p>
  </w:footnote>
  <w:footnote w:type="continuationNotice" w:id="2">
    <w:p w:rsidR="004F32A8" w14:paraId="47C4E12D" w14:textId="77777777">
      <w:pPr>
        <w:spacing w:after="0" w:line="240" w:lineRule="auto"/>
      </w:pPr>
    </w:p>
  </w:footnote>
  <w:footnote w:id="3">
    <w:p w:rsidR="004246A0" w:rsidRPr="00AC47B5" w:rsidP="00AC47B5" w14:paraId="7043DBC8" w14:textId="1F66686F">
      <w:pPr>
        <w:pStyle w:val="xmsonormal"/>
        <w:rPr>
          <w:sz w:val="26"/>
          <w:szCs w:val="26"/>
        </w:rPr>
      </w:pPr>
      <w:r w:rsidRPr="00AC47B5">
        <w:rPr>
          <w:rStyle w:val="FootnoteReference"/>
          <w:rFonts w:ascii="Times New Roman" w:hAnsi="Times New Roman"/>
          <w:sz w:val="26"/>
          <w:szCs w:val="26"/>
          <w:vertAlign w:val="superscript"/>
        </w:rPr>
        <w:t>1</w:t>
      </w:r>
      <w:r w:rsidRPr="00AC47B5">
        <w:rPr>
          <w:vertAlign w:val="superscript"/>
        </w:rPr>
        <w:t xml:space="preserve"> </w:t>
      </w:r>
      <w:r w:rsidRPr="00AC47B5">
        <w:rPr>
          <w:rFonts w:ascii="Times New Roman" w:hAnsi="Times New Roman"/>
          <w:i/>
          <w:iCs/>
          <w:sz w:val="26"/>
          <w:szCs w:val="26"/>
        </w:rPr>
        <w:t>Revisions to Electric Reliability Organization Definition of Bulk Electric System and Rules of Procedure</w:t>
      </w:r>
      <w:r w:rsidRPr="00AC47B5">
        <w:rPr>
          <w:rFonts w:ascii="Times New Roman" w:hAnsi="Times New Roman"/>
          <w:sz w:val="26"/>
          <w:szCs w:val="26"/>
        </w:rPr>
        <w:t xml:space="preserve">, Order No. 773, 141 FERC ¶ 61,236 (2012); </w:t>
      </w:r>
      <w:r w:rsidRPr="00AC47B5">
        <w:rPr>
          <w:rFonts w:ascii="Times New Roman" w:hAnsi="Times New Roman"/>
          <w:i/>
          <w:iCs/>
          <w:sz w:val="26"/>
          <w:szCs w:val="26"/>
        </w:rPr>
        <w:t>order on reh’g</w:t>
      </w:r>
      <w:r w:rsidRPr="00AC47B5">
        <w:rPr>
          <w:rFonts w:ascii="Times New Roman" w:hAnsi="Times New Roman"/>
          <w:sz w:val="26"/>
          <w:szCs w:val="26"/>
        </w:rPr>
        <w:t xml:space="preserve">, Order No. 773-A, 143 FERC ¶ 61,053 (2013); </w:t>
      </w:r>
      <w:r w:rsidRPr="00AC47B5">
        <w:rPr>
          <w:rFonts w:ascii="Times New Roman" w:hAnsi="Times New Roman"/>
          <w:i/>
          <w:iCs/>
          <w:sz w:val="26"/>
          <w:szCs w:val="26"/>
        </w:rPr>
        <w:t>order on reh’g and clarification</w:t>
      </w:r>
      <w:r w:rsidRPr="00AC47B5">
        <w:rPr>
          <w:rFonts w:ascii="Times New Roman" w:hAnsi="Times New Roman"/>
          <w:sz w:val="26"/>
          <w:szCs w:val="26"/>
        </w:rPr>
        <w:t xml:space="preserve">, 144 FERC ¶ 61,174 (2013); </w:t>
      </w:r>
      <w:r w:rsidRPr="00AC47B5">
        <w:rPr>
          <w:rFonts w:ascii="Times New Roman" w:hAnsi="Times New Roman"/>
          <w:i/>
          <w:iCs/>
          <w:sz w:val="26"/>
          <w:szCs w:val="26"/>
        </w:rPr>
        <w:t>aff’d</w:t>
      </w:r>
      <w:r w:rsidRPr="00AC47B5">
        <w:rPr>
          <w:rFonts w:ascii="Times New Roman" w:hAnsi="Times New Roman"/>
          <w:sz w:val="26"/>
          <w:szCs w:val="26"/>
        </w:rPr>
        <w:t xml:space="preserve"> </w:t>
      </w:r>
      <w:r w:rsidRPr="00AC47B5">
        <w:rPr>
          <w:rFonts w:ascii="Times New Roman" w:hAnsi="Times New Roman"/>
          <w:i/>
          <w:iCs/>
          <w:sz w:val="26"/>
          <w:szCs w:val="26"/>
        </w:rPr>
        <w:t xml:space="preserve">sub nom., People of the State of New York and the Pub. Serv. Comm’n of New York v. FERC, </w:t>
      </w:r>
      <w:r w:rsidRPr="00AC47B5">
        <w:rPr>
          <w:rFonts w:ascii="Times New Roman" w:hAnsi="Times New Roman"/>
          <w:sz w:val="26"/>
          <w:szCs w:val="26"/>
        </w:rPr>
        <w:t xml:space="preserve">No. 13-2316 (2d. Cir. 2015).  On June 13, 2013, the Commission granted NERC’s request for extension of time and extended the effective date for the revised definition of bulk electric system and the Rules of Procedure exception process to July 1, 2014.  </w:t>
      </w:r>
      <w:r w:rsidRPr="00AC47B5">
        <w:rPr>
          <w:rFonts w:ascii="Times New Roman" w:hAnsi="Times New Roman"/>
          <w:i/>
          <w:iCs/>
          <w:sz w:val="26"/>
          <w:szCs w:val="26"/>
        </w:rPr>
        <w:t xml:space="preserve">Revisions to Electric Reliability Organization Definition of Bulk Electric System and Rules of Procedure, </w:t>
      </w:r>
      <w:r w:rsidRPr="00AC47B5">
        <w:rPr>
          <w:rFonts w:ascii="Times New Roman" w:hAnsi="Times New Roman"/>
          <w:sz w:val="26"/>
          <w:szCs w:val="26"/>
        </w:rPr>
        <w:t>143 FERC ¶ 61,231, at P 13 (2013)</w:t>
      </w:r>
      <w:r w:rsidRPr="00AC47B5">
        <w:rPr>
          <w:rFonts w:ascii="Times New Roman" w:hAnsi="Times New Roman"/>
          <w:color w:val="FF0000"/>
          <w:sz w:val="26"/>
          <w:szCs w:val="26"/>
        </w:rPr>
        <w:t xml:space="preserve">. </w:t>
      </w:r>
      <w:r w:rsidRPr="00AC47B5">
        <w:rPr>
          <w:rFonts w:ascii="Times New Roman" w:hAnsi="Times New Roman"/>
          <w:sz w:val="26"/>
          <w:szCs w:val="26"/>
        </w:rPr>
        <w:t>On March 20, 2014, the Commission approved NERC’s revisions to the definition of bulk electric system and determined the revisions either adequately address the Commission’s Order Nos. 773 and 773-A directives or provide an equally effective and efficient approach.</w:t>
      </w:r>
      <w:r w:rsidRPr="00AC47B5">
        <w:rPr>
          <w:rFonts w:ascii="Times New Roman" w:hAnsi="Times New Roman"/>
          <w:i/>
          <w:iCs/>
          <w:sz w:val="26"/>
          <w:szCs w:val="26"/>
        </w:rPr>
        <w:t xml:space="preserve"> </w:t>
      </w:r>
      <w:r w:rsidRPr="00AC47B5">
        <w:rPr>
          <w:rFonts w:ascii="Times New Roman" w:hAnsi="Times New Roman"/>
          <w:iCs/>
          <w:sz w:val="26"/>
          <w:szCs w:val="26"/>
        </w:rPr>
        <w:t>See</w:t>
      </w:r>
      <w:r w:rsidRPr="00AC47B5">
        <w:rPr>
          <w:rFonts w:ascii="Times New Roman" w:hAnsi="Times New Roman"/>
          <w:i/>
          <w:iCs/>
          <w:sz w:val="26"/>
          <w:szCs w:val="26"/>
        </w:rPr>
        <w:t xml:space="preserve"> order approving revised definition</w:t>
      </w:r>
      <w:r w:rsidRPr="00AC47B5">
        <w:rPr>
          <w:rFonts w:ascii="Times New Roman" w:hAnsi="Times New Roman"/>
          <w:sz w:val="26"/>
          <w:szCs w:val="26"/>
        </w:rPr>
        <w:t>, 146 FERC ¶ 61,199 (2014)</w:t>
      </w:r>
      <w:r w:rsidRPr="00AC47B5">
        <w:rPr>
          <w:rFonts w:ascii="Times New Roman" w:hAnsi="Times New Roman"/>
          <w:i/>
          <w:iCs/>
          <w:sz w:val="26"/>
          <w:szCs w:val="26"/>
        </w:rPr>
        <w:t>.</w:t>
      </w:r>
    </w:p>
  </w:footnote>
  <w:footnote w:id="4">
    <w:p w:rsidR="00CB3BFF" w:rsidRPr="00AC47B5" w:rsidP="00CB3BFF" w14:paraId="2331ADD1" w14:textId="77777777">
      <w:pPr>
        <w:pStyle w:val="FootnoteText"/>
        <w:rPr>
          <w:sz w:val="26"/>
          <w:szCs w:val="26"/>
        </w:rPr>
      </w:pPr>
      <w:r w:rsidRPr="00AC47B5">
        <w:rPr>
          <w:rStyle w:val="FootnoteReference"/>
          <w:sz w:val="26"/>
          <w:szCs w:val="26"/>
          <w:vertAlign w:val="superscript"/>
        </w:rPr>
        <w:footnoteRef/>
      </w:r>
      <w:r w:rsidRPr="00AC47B5">
        <w:rPr>
          <w:sz w:val="26"/>
          <w:szCs w:val="26"/>
          <w:vertAlign w:val="superscript"/>
        </w:rPr>
        <w:t xml:space="preserve"> </w:t>
      </w:r>
      <w:r w:rsidRPr="00AC47B5">
        <w:rPr>
          <w:sz w:val="26"/>
          <w:szCs w:val="26"/>
        </w:rPr>
        <w:t xml:space="preserve"> Burden is defined as the total time, effort, or financial resources expended by persons to generate, maintain, retain, or disclose or provide information to or for a federal agency.  See 5 CFR 1320 for additional information on the definition of information collection burden.</w:t>
      </w:r>
    </w:p>
  </w:footnote>
  <w:footnote w:id="5">
    <w:p w:rsidR="00174543" w:rsidRPr="00AC47B5" w:rsidP="00174543" w14:paraId="0EA722AC" w14:textId="37E77412">
      <w:pPr>
        <w:pStyle w:val="FootnoteText"/>
        <w:rPr>
          <w:sz w:val="26"/>
          <w:szCs w:val="26"/>
        </w:rPr>
      </w:pPr>
      <w:r w:rsidRPr="00AC47B5">
        <w:rPr>
          <w:rStyle w:val="FootnoteReference"/>
          <w:sz w:val="26"/>
          <w:szCs w:val="26"/>
          <w:vertAlign w:val="superscript"/>
        </w:rPr>
        <w:footnoteRef/>
      </w:r>
      <w:r w:rsidRPr="00AC47B5">
        <w:rPr>
          <w:sz w:val="26"/>
          <w:szCs w:val="26"/>
        </w:rPr>
        <w:t xml:space="preserve">The estimated hourly cost </w:t>
      </w:r>
      <w:r w:rsidRPr="00C97FF7" w:rsidR="00C97FF7">
        <w:rPr>
          <w:sz w:val="26"/>
          <w:szCs w:val="26"/>
        </w:rPr>
        <w:t>(salary plus benefits) is a combination of the following categories from the BLS website, http://www.bls.gov/oes/current/naics2_22.htm</w:t>
      </w:r>
      <w:r w:rsidRPr="00111622">
        <w:rPr>
          <w:sz w:val="26"/>
          <w:szCs w:val="26"/>
        </w:rPr>
        <w:t>).  The</w:t>
      </w:r>
      <w:r w:rsidRPr="00AC47B5">
        <w:rPr>
          <w:sz w:val="26"/>
          <w:szCs w:val="26"/>
        </w:rPr>
        <w:t xml:space="preserve"> hourly estimates for salary plus benefits are:</w:t>
      </w:r>
    </w:p>
    <w:p w:rsidR="00174543" w:rsidRPr="00AC47B5" w:rsidP="00174543" w14:paraId="3CE9EA70" w14:textId="1F30C250">
      <w:pPr>
        <w:pStyle w:val="FootnoteText"/>
        <w:rPr>
          <w:sz w:val="26"/>
          <w:szCs w:val="26"/>
        </w:rPr>
      </w:pPr>
      <w:r>
        <w:rPr>
          <w:sz w:val="26"/>
          <w:szCs w:val="26"/>
        </w:rPr>
        <w:t>-</w:t>
      </w:r>
      <w:r w:rsidRPr="00AC47B5">
        <w:rPr>
          <w:sz w:val="26"/>
          <w:szCs w:val="26"/>
        </w:rPr>
        <w:t>Legal (code 23-0000), $</w:t>
      </w:r>
      <w:r w:rsidRPr="006307B9">
        <w:rPr>
          <w:sz w:val="26"/>
          <w:szCs w:val="26"/>
        </w:rPr>
        <w:t>1</w:t>
      </w:r>
      <w:r w:rsidR="00972E2F">
        <w:rPr>
          <w:sz w:val="26"/>
          <w:szCs w:val="26"/>
        </w:rPr>
        <w:t>4</w:t>
      </w:r>
      <w:r w:rsidR="00EA6F40">
        <w:rPr>
          <w:sz w:val="26"/>
          <w:szCs w:val="26"/>
        </w:rPr>
        <w:t>0</w:t>
      </w:r>
      <w:r w:rsidR="00B2695E">
        <w:rPr>
          <w:sz w:val="26"/>
          <w:szCs w:val="26"/>
        </w:rPr>
        <w:t>.76</w:t>
      </w:r>
    </w:p>
    <w:p w:rsidR="00174543" w:rsidRPr="00AC47B5" w:rsidP="00174543" w14:paraId="74D3AF3D" w14:textId="5018C071">
      <w:pPr>
        <w:pStyle w:val="FootnoteText"/>
        <w:rPr>
          <w:sz w:val="26"/>
          <w:szCs w:val="26"/>
        </w:rPr>
      </w:pPr>
      <w:r>
        <w:rPr>
          <w:sz w:val="26"/>
          <w:szCs w:val="26"/>
        </w:rPr>
        <w:t>-</w:t>
      </w:r>
      <w:r w:rsidRPr="00AC47B5">
        <w:rPr>
          <w:sz w:val="26"/>
          <w:szCs w:val="26"/>
        </w:rPr>
        <w:t>File Clerks (code 43-4071), $</w:t>
      </w:r>
      <w:r w:rsidR="00B2695E">
        <w:rPr>
          <w:sz w:val="26"/>
          <w:szCs w:val="26"/>
        </w:rPr>
        <w:t>35.94</w:t>
      </w:r>
    </w:p>
    <w:p w:rsidR="00174543" w:rsidRPr="00AC47B5" w:rsidP="00174543" w14:paraId="77F6AE38" w14:textId="6A97CE91">
      <w:pPr>
        <w:pStyle w:val="FootnoteText"/>
        <w:rPr>
          <w:sz w:val="26"/>
          <w:szCs w:val="26"/>
        </w:rPr>
      </w:pPr>
      <w:r>
        <w:rPr>
          <w:sz w:val="26"/>
          <w:szCs w:val="26"/>
        </w:rPr>
        <w:t>-</w:t>
      </w:r>
      <w:r w:rsidRPr="00AC47B5">
        <w:rPr>
          <w:sz w:val="26"/>
          <w:szCs w:val="26"/>
        </w:rPr>
        <w:t>Electrical Engineer (code 17-2071), $</w:t>
      </w:r>
      <w:r w:rsidR="00972E2F">
        <w:rPr>
          <w:sz w:val="26"/>
          <w:szCs w:val="26"/>
        </w:rPr>
        <w:t>7</w:t>
      </w:r>
      <w:r w:rsidR="00B2695E">
        <w:rPr>
          <w:sz w:val="26"/>
          <w:szCs w:val="26"/>
        </w:rPr>
        <w:t>1.19</w:t>
      </w:r>
    </w:p>
    <w:p w:rsidR="00174543" w:rsidRPr="00AC47B5" w:rsidP="00174543" w14:paraId="4D868C4F" w14:textId="004E0DC2">
      <w:pPr>
        <w:pStyle w:val="FootnoteText"/>
        <w:rPr>
          <w:sz w:val="26"/>
          <w:szCs w:val="26"/>
        </w:rPr>
      </w:pPr>
      <w:r w:rsidRPr="00AC47B5">
        <w:rPr>
          <w:sz w:val="26"/>
          <w:szCs w:val="26"/>
        </w:rPr>
        <w:t xml:space="preserve">The </w:t>
      </w:r>
      <w:r>
        <w:rPr>
          <w:sz w:val="26"/>
          <w:szCs w:val="26"/>
        </w:rPr>
        <w:t>average</w:t>
      </w:r>
      <w:r w:rsidRPr="00AC47B5">
        <w:rPr>
          <w:sz w:val="26"/>
          <w:szCs w:val="26"/>
        </w:rPr>
        <w:t xml:space="preserve"> hourly burden cost for this collection is $</w:t>
      </w:r>
      <w:r w:rsidR="00972E2F">
        <w:rPr>
          <w:sz w:val="26"/>
          <w:szCs w:val="26"/>
        </w:rPr>
        <w:t>8</w:t>
      </w:r>
      <w:r w:rsidR="00E6676C">
        <w:rPr>
          <w:sz w:val="26"/>
          <w:szCs w:val="26"/>
        </w:rPr>
        <w:t>2.63</w:t>
      </w:r>
      <w:r w:rsidRPr="00AC47B5">
        <w:rPr>
          <w:sz w:val="26"/>
          <w:szCs w:val="26"/>
        </w:rPr>
        <w:t xml:space="preserve"> </w:t>
      </w:r>
      <w:r>
        <w:rPr>
          <w:sz w:val="26"/>
          <w:szCs w:val="26"/>
        </w:rPr>
        <w:t>[</w:t>
      </w:r>
      <w:r w:rsidRPr="00AC47B5">
        <w:rPr>
          <w:sz w:val="26"/>
          <w:szCs w:val="26"/>
        </w:rPr>
        <w:t>($</w:t>
      </w:r>
      <w:r w:rsidR="00972E2F">
        <w:rPr>
          <w:sz w:val="26"/>
          <w:szCs w:val="26"/>
        </w:rPr>
        <w:t>14</w:t>
      </w:r>
      <w:r w:rsidR="00E6676C">
        <w:rPr>
          <w:sz w:val="26"/>
          <w:szCs w:val="26"/>
        </w:rPr>
        <w:t>0.76</w:t>
      </w:r>
      <w:r w:rsidR="00972E2F">
        <w:rPr>
          <w:sz w:val="26"/>
          <w:szCs w:val="26"/>
        </w:rPr>
        <w:t xml:space="preserve"> + $3</w:t>
      </w:r>
      <w:r w:rsidR="00E6676C">
        <w:rPr>
          <w:sz w:val="26"/>
          <w:szCs w:val="26"/>
        </w:rPr>
        <w:t>5.94</w:t>
      </w:r>
      <w:r w:rsidR="00972E2F">
        <w:rPr>
          <w:sz w:val="26"/>
          <w:szCs w:val="26"/>
        </w:rPr>
        <w:t xml:space="preserve"> + $ </w:t>
      </w:r>
      <w:r w:rsidR="006B1854">
        <w:rPr>
          <w:sz w:val="26"/>
          <w:szCs w:val="26"/>
        </w:rPr>
        <w:t>71.19</w:t>
      </w:r>
      <w:r w:rsidR="00972E2F">
        <w:rPr>
          <w:sz w:val="26"/>
          <w:szCs w:val="26"/>
        </w:rPr>
        <w:t>)/3 = $8</w:t>
      </w:r>
      <w:r w:rsidR="00C26706">
        <w:rPr>
          <w:sz w:val="26"/>
          <w:szCs w:val="26"/>
        </w:rPr>
        <w:t>2.63</w:t>
      </w:r>
      <w:r w:rsidR="0087043E">
        <w:rPr>
          <w:sz w:val="26"/>
          <w:szCs w:val="26"/>
        </w:rPr>
        <w:t>]</w:t>
      </w:r>
      <w:r w:rsidR="0007107D">
        <w:rPr>
          <w:sz w:val="26"/>
          <w:szCs w:val="26"/>
        </w:rPr>
        <w:t xml:space="preserve"> </w:t>
      </w:r>
    </w:p>
    <w:p w:rsidR="00174543" w:rsidRPr="00AC47B5" w:rsidP="00174543" w14:paraId="3DC1972E" w14:textId="77777777">
      <w:pPr>
        <w:pStyle w:val="FootnoteText"/>
        <w:rPr>
          <w:sz w:val="26"/>
          <w:szCs w:val="2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26176" w14:paraId="5A4A7F5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621ED" w:rsidP="002621ED" w14:paraId="452E85A1" w14:textId="71AD6C4D">
    <w:pPr>
      <w:tabs>
        <w:tab w:val="left" w:pos="4625"/>
        <w:tab w:val="center" w:pos="4680"/>
      </w:tabs>
      <w:rPr>
        <w:sz w:val="26"/>
        <w:szCs w:val="26"/>
      </w:rPr>
    </w:pPr>
    <w:r w:rsidRPr="00913076">
      <w:rPr>
        <w:rFonts w:ascii="Times New Roman" w:hAnsi="Times New Roman" w:cs="Times New Roman"/>
        <w:sz w:val="26"/>
        <w:szCs w:val="26"/>
      </w:rPr>
      <w:t>Docket No. IC</w:t>
    </w:r>
    <w:r w:rsidR="008350A3">
      <w:rPr>
        <w:rFonts w:ascii="Times New Roman" w:hAnsi="Times New Roman" w:cs="Times New Roman"/>
        <w:sz w:val="26"/>
        <w:szCs w:val="26"/>
      </w:rPr>
      <w:t>2</w:t>
    </w:r>
    <w:r w:rsidR="00635120">
      <w:rPr>
        <w:rFonts w:ascii="Times New Roman" w:hAnsi="Times New Roman" w:cs="Times New Roman"/>
        <w:sz w:val="26"/>
        <w:szCs w:val="26"/>
      </w:rPr>
      <w:t>6</w:t>
    </w:r>
    <w:r w:rsidRPr="00913076">
      <w:rPr>
        <w:rFonts w:ascii="Times New Roman" w:hAnsi="Times New Roman" w:cs="Times New Roman"/>
        <w:sz w:val="26"/>
        <w:szCs w:val="26"/>
      </w:rPr>
      <w:t>-</w:t>
    </w:r>
    <w:r w:rsidR="00C26176">
      <w:rPr>
        <w:rFonts w:ascii="Times New Roman" w:hAnsi="Times New Roman" w:cs="Times New Roman"/>
        <w:sz w:val="26"/>
        <w:szCs w:val="26"/>
      </w:rPr>
      <w:t>23</w:t>
    </w:r>
    <w:r w:rsidRPr="00913076">
      <w:rPr>
        <w:rFonts w:ascii="Times New Roman" w:hAnsi="Times New Roman" w:cs="Times New Roman"/>
        <w:sz w:val="26"/>
        <w:szCs w:val="26"/>
      </w:rPr>
      <w:t>-000</w:t>
    </w:r>
    <w:r>
      <w:rPr>
        <w:sz w:val="26"/>
        <w:szCs w:val="26"/>
      </w:rPr>
      <w:tab/>
    </w:r>
    <w:r>
      <w:rPr>
        <w:sz w:val="26"/>
        <w:szCs w:val="26"/>
      </w:rPr>
      <w:tab/>
    </w:r>
  </w:p>
  <w:p w:rsidR="002621ED" w:rsidP="002621ED" w14:paraId="24C95658" w14:textId="77777777">
    <w:pPr>
      <w:tabs>
        <w:tab w:val="left" w:pos="4625"/>
        <w:tab w:val="center" w:pos="468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621ED" w14:paraId="58DBACE3" w14:textId="77777777">
    <w:pPr>
      <w:pStyle w:val="Header"/>
      <w:jc w:val="center"/>
    </w:pPr>
  </w:p>
  <w:p w:rsidR="002621ED" w14:paraId="7E84640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6F0CC7"/>
    <w:multiLevelType w:val="hybridMultilevel"/>
    <w:tmpl w:val="0DF61C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10F02A8"/>
    <w:multiLevelType w:val="hybridMultilevel"/>
    <w:tmpl w:val="1F3240CC"/>
    <w:lvl w:ilvl="0">
      <w:start w:val="1"/>
      <w:numFmt w:val="bullet"/>
      <w:lvlText w:val=""/>
      <w:lvlJc w:val="left"/>
      <w:pPr>
        <w:tabs>
          <w:tab w:val="num" w:pos="1500"/>
        </w:tabs>
        <w:ind w:left="1500" w:hanging="360"/>
      </w:pPr>
      <w:rPr>
        <w:rFonts w:ascii="Symbol" w:hAnsi="Symbol" w:hint="default"/>
        <w:color w:val="auto"/>
      </w:rPr>
    </w:lvl>
    <w:lvl w:ilvl="1">
      <w:start w:val="1"/>
      <w:numFmt w:val="bullet"/>
      <w:lvlText w:val="o"/>
      <w:lvlJc w:val="left"/>
      <w:pPr>
        <w:tabs>
          <w:tab w:val="num" w:pos="1500"/>
        </w:tabs>
        <w:ind w:left="1500" w:hanging="360"/>
      </w:pPr>
      <w:rPr>
        <w:rFonts w:ascii="Courier New" w:hAnsi="Courier New" w:cs="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cs="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cs="Courier New" w:hint="default"/>
      </w:rPr>
    </w:lvl>
    <w:lvl w:ilvl="8" w:tentative="1">
      <w:start w:val="1"/>
      <w:numFmt w:val="bullet"/>
      <w:lvlText w:val=""/>
      <w:lvlJc w:val="left"/>
      <w:pPr>
        <w:tabs>
          <w:tab w:val="num" w:pos="6540"/>
        </w:tabs>
        <w:ind w:left="6540" w:hanging="360"/>
      </w:pPr>
      <w:rPr>
        <w:rFonts w:ascii="Wingdings" w:hAnsi="Wingdings" w:hint="default"/>
      </w:rPr>
    </w:lvl>
  </w:abstractNum>
  <w:num w:numId="1" w16cid:durableId="1853257801">
    <w:abstractNumId w:val="1"/>
  </w:num>
  <w:num w:numId="2" w16cid:durableId="665347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BFF"/>
    <w:rsid w:val="00013630"/>
    <w:rsid w:val="00021E12"/>
    <w:rsid w:val="00064A0D"/>
    <w:rsid w:val="00065EEE"/>
    <w:rsid w:val="0006683C"/>
    <w:rsid w:val="0007107D"/>
    <w:rsid w:val="00075A8E"/>
    <w:rsid w:val="000C5A3A"/>
    <w:rsid w:val="000E21A6"/>
    <w:rsid w:val="00111622"/>
    <w:rsid w:val="00121D38"/>
    <w:rsid w:val="001412C0"/>
    <w:rsid w:val="00174543"/>
    <w:rsid w:val="00191536"/>
    <w:rsid w:val="001C5B4D"/>
    <w:rsid w:val="001E0ACE"/>
    <w:rsid w:val="001E3194"/>
    <w:rsid w:val="001E450D"/>
    <w:rsid w:val="001F31AC"/>
    <w:rsid w:val="00204D5D"/>
    <w:rsid w:val="00221D25"/>
    <w:rsid w:val="002277CE"/>
    <w:rsid w:val="00253F81"/>
    <w:rsid w:val="002621ED"/>
    <w:rsid w:val="00286903"/>
    <w:rsid w:val="002C1E27"/>
    <w:rsid w:val="002C7535"/>
    <w:rsid w:val="002E2FE7"/>
    <w:rsid w:val="003160E7"/>
    <w:rsid w:val="00322D79"/>
    <w:rsid w:val="003B7E46"/>
    <w:rsid w:val="003C094D"/>
    <w:rsid w:val="003E1B4A"/>
    <w:rsid w:val="003E3996"/>
    <w:rsid w:val="003E3BD7"/>
    <w:rsid w:val="004174EB"/>
    <w:rsid w:val="004177BA"/>
    <w:rsid w:val="004246A0"/>
    <w:rsid w:val="00426243"/>
    <w:rsid w:val="00436B52"/>
    <w:rsid w:val="00465F6E"/>
    <w:rsid w:val="00486619"/>
    <w:rsid w:val="00490185"/>
    <w:rsid w:val="004B0A3A"/>
    <w:rsid w:val="004C347F"/>
    <w:rsid w:val="004E4475"/>
    <w:rsid w:val="004E5222"/>
    <w:rsid w:val="004F32A8"/>
    <w:rsid w:val="00501B16"/>
    <w:rsid w:val="00513B25"/>
    <w:rsid w:val="00523C23"/>
    <w:rsid w:val="00545877"/>
    <w:rsid w:val="00553A95"/>
    <w:rsid w:val="0055423B"/>
    <w:rsid w:val="00564F16"/>
    <w:rsid w:val="00576743"/>
    <w:rsid w:val="00576C8D"/>
    <w:rsid w:val="00582F59"/>
    <w:rsid w:val="0059710B"/>
    <w:rsid w:val="005A4E3F"/>
    <w:rsid w:val="005B58DD"/>
    <w:rsid w:val="006253D1"/>
    <w:rsid w:val="006307B9"/>
    <w:rsid w:val="00635120"/>
    <w:rsid w:val="0063695D"/>
    <w:rsid w:val="00694AA4"/>
    <w:rsid w:val="00696A87"/>
    <w:rsid w:val="006A597F"/>
    <w:rsid w:val="006A5EDC"/>
    <w:rsid w:val="006A6369"/>
    <w:rsid w:val="006B1854"/>
    <w:rsid w:val="006C103F"/>
    <w:rsid w:val="006E65C6"/>
    <w:rsid w:val="00724236"/>
    <w:rsid w:val="007A229A"/>
    <w:rsid w:val="007C4D47"/>
    <w:rsid w:val="007C57DF"/>
    <w:rsid w:val="007E7F2E"/>
    <w:rsid w:val="008008DB"/>
    <w:rsid w:val="008152F1"/>
    <w:rsid w:val="008350A3"/>
    <w:rsid w:val="00856512"/>
    <w:rsid w:val="00865ADF"/>
    <w:rsid w:val="0087043E"/>
    <w:rsid w:val="0087447D"/>
    <w:rsid w:val="008D78F1"/>
    <w:rsid w:val="00913076"/>
    <w:rsid w:val="009218D9"/>
    <w:rsid w:val="00927E11"/>
    <w:rsid w:val="00972E2F"/>
    <w:rsid w:val="009814B4"/>
    <w:rsid w:val="009B650F"/>
    <w:rsid w:val="00A241B9"/>
    <w:rsid w:val="00A24D7F"/>
    <w:rsid w:val="00A6672C"/>
    <w:rsid w:val="00A66732"/>
    <w:rsid w:val="00A73C99"/>
    <w:rsid w:val="00AC47B5"/>
    <w:rsid w:val="00AD3D1A"/>
    <w:rsid w:val="00B14ED0"/>
    <w:rsid w:val="00B17283"/>
    <w:rsid w:val="00B2695E"/>
    <w:rsid w:val="00B75AC8"/>
    <w:rsid w:val="00BA341F"/>
    <w:rsid w:val="00BA41C0"/>
    <w:rsid w:val="00BA59D8"/>
    <w:rsid w:val="00BD1B37"/>
    <w:rsid w:val="00C05408"/>
    <w:rsid w:val="00C26176"/>
    <w:rsid w:val="00C26706"/>
    <w:rsid w:val="00C27407"/>
    <w:rsid w:val="00C3381B"/>
    <w:rsid w:val="00C47155"/>
    <w:rsid w:val="00C54394"/>
    <w:rsid w:val="00C57F19"/>
    <w:rsid w:val="00C70A21"/>
    <w:rsid w:val="00C97FF7"/>
    <w:rsid w:val="00CB3BFF"/>
    <w:rsid w:val="00CD03EB"/>
    <w:rsid w:val="00CD79B6"/>
    <w:rsid w:val="00CF0795"/>
    <w:rsid w:val="00D149F8"/>
    <w:rsid w:val="00D4590B"/>
    <w:rsid w:val="00D62DA6"/>
    <w:rsid w:val="00D718BC"/>
    <w:rsid w:val="00D85912"/>
    <w:rsid w:val="00DD1BE3"/>
    <w:rsid w:val="00DE5A08"/>
    <w:rsid w:val="00DF7DBA"/>
    <w:rsid w:val="00E5086F"/>
    <w:rsid w:val="00E52BD8"/>
    <w:rsid w:val="00E57969"/>
    <w:rsid w:val="00E61AF7"/>
    <w:rsid w:val="00E6676C"/>
    <w:rsid w:val="00E702AB"/>
    <w:rsid w:val="00EA6F40"/>
    <w:rsid w:val="00EA79BF"/>
    <w:rsid w:val="00EC29A7"/>
    <w:rsid w:val="00ED5DE9"/>
    <w:rsid w:val="00EE21FA"/>
    <w:rsid w:val="00F12938"/>
    <w:rsid w:val="00F17C12"/>
    <w:rsid w:val="00F26D91"/>
    <w:rsid w:val="00F36C08"/>
    <w:rsid w:val="00F5431F"/>
    <w:rsid w:val="00F76CFA"/>
    <w:rsid w:val="00F85484"/>
    <w:rsid w:val="00FE16E3"/>
    <w:rsid w:val="191AE7D2"/>
    <w:rsid w:val="21E6FCB1"/>
    <w:rsid w:val="22F3E801"/>
    <w:rsid w:val="248CF741"/>
    <w:rsid w:val="3F275908"/>
    <w:rsid w:val="4C82B264"/>
    <w:rsid w:val="4D689384"/>
    <w:rsid w:val="59A4708B"/>
    <w:rsid w:val="66FA9EE8"/>
    <w:rsid w:val="6E46A7BF"/>
    <w:rsid w:val="723EB350"/>
    <w:rsid w:val="73DA83B1"/>
    <w:rsid w:val="75765412"/>
    <w:rsid w:val="7DD454C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07569EF"/>
  <w15:docId w15:val="{40BBDF8B-F681-47A4-8B35-F3DD0F604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B3B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B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3BFF"/>
  </w:style>
  <w:style w:type="paragraph" w:styleId="Footer">
    <w:name w:val="footer"/>
    <w:basedOn w:val="Normal"/>
    <w:link w:val="FooterChar"/>
    <w:uiPriority w:val="99"/>
    <w:unhideWhenUsed/>
    <w:rsid w:val="00CB3B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3BFF"/>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rsid w:val="00CB3BFF"/>
  </w:style>
  <w:style w:type="paragraph" w:styleId="FootnoteText">
    <w:name w:val="footnote text"/>
    <w:aliases w:val="Footnote Text Char Char,Footnote Text Char Char Char,Footnote Text Char1,Footnote Text Char1 Char,Footnote Text Char1 Char Char,Footnote Text Char1 Char1,Footnote Text Char2 Char,Footnote Text Char3,Footnote Text MRP,fn,ft"/>
    <w:basedOn w:val="Normal"/>
    <w:link w:val="FootnoteTextChar2"/>
    <w:qFormat/>
    <w:rsid w:val="00CB3BFF"/>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uiPriority w:val="99"/>
    <w:semiHidden/>
    <w:rsid w:val="00CB3BFF"/>
    <w:rPr>
      <w:sz w:val="20"/>
      <w:szCs w:val="20"/>
    </w:rPr>
  </w:style>
  <w:style w:type="character" w:customStyle="1" w:styleId="FootnoteTextChar2">
    <w:name w:val="Footnote Text Char2"/>
    <w:aliases w:val="Footnote Text Char Char Char Char,Footnote Text Char Char Char1,Footnote Text Char1 Char Char Char,Footnote Text Char1 Char Char1,Footnote Text Char1 Char1 Char,Footnote Text Char1 Char2,Footnote Text Char2 Char Char,fn Char,ft Char"/>
    <w:link w:val="FootnoteText"/>
    <w:locked/>
    <w:rsid w:val="00CB3BFF"/>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CB3BFF"/>
    <w:rPr>
      <w:sz w:val="16"/>
      <w:szCs w:val="16"/>
    </w:rPr>
  </w:style>
  <w:style w:type="paragraph" w:styleId="CommentText">
    <w:name w:val="annotation text"/>
    <w:basedOn w:val="Normal"/>
    <w:link w:val="CommentTextChar"/>
    <w:uiPriority w:val="99"/>
    <w:unhideWhenUsed/>
    <w:rsid w:val="00CB3BFF"/>
    <w:pPr>
      <w:spacing w:line="240" w:lineRule="auto"/>
    </w:pPr>
    <w:rPr>
      <w:sz w:val="20"/>
      <w:szCs w:val="20"/>
    </w:rPr>
  </w:style>
  <w:style w:type="character" w:customStyle="1" w:styleId="CommentTextChar">
    <w:name w:val="Comment Text Char"/>
    <w:basedOn w:val="DefaultParagraphFont"/>
    <w:link w:val="CommentText"/>
    <w:uiPriority w:val="99"/>
    <w:rsid w:val="00CB3BFF"/>
    <w:rPr>
      <w:sz w:val="20"/>
      <w:szCs w:val="20"/>
    </w:rPr>
  </w:style>
  <w:style w:type="paragraph" w:styleId="BalloonText">
    <w:name w:val="Balloon Text"/>
    <w:basedOn w:val="Normal"/>
    <w:link w:val="BalloonTextChar"/>
    <w:uiPriority w:val="99"/>
    <w:semiHidden/>
    <w:unhideWhenUsed/>
    <w:rsid w:val="00CB3B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3BFF"/>
    <w:rPr>
      <w:rFonts w:ascii="Segoe UI" w:hAnsi="Segoe UI" w:cs="Segoe UI"/>
      <w:sz w:val="18"/>
      <w:szCs w:val="18"/>
    </w:rPr>
  </w:style>
  <w:style w:type="character" w:styleId="Hyperlink">
    <w:name w:val="Hyperlink"/>
    <w:rsid w:val="00CB3BFF"/>
    <w:rPr>
      <w:color w:val="0000FF"/>
      <w:u w:val="single"/>
    </w:rPr>
  </w:style>
  <w:style w:type="paragraph" w:styleId="CommentSubject">
    <w:name w:val="annotation subject"/>
    <w:basedOn w:val="CommentText"/>
    <w:next w:val="CommentText"/>
    <w:link w:val="CommentSubjectChar"/>
    <w:uiPriority w:val="99"/>
    <w:semiHidden/>
    <w:unhideWhenUsed/>
    <w:rsid w:val="00CB3BFF"/>
    <w:rPr>
      <w:b/>
      <w:bCs/>
    </w:rPr>
  </w:style>
  <w:style w:type="character" w:customStyle="1" w:styleId="CommentSubjectChar">
    <w:name w:val="Comment Subject Char"/>
    <w:basedOn w:val="CommentTextChar"/>
    <w:link w:val="CommentSubject"/>
    <w:uiPriority w:val="99"/>
    <w:semiHidden/>
    <w:rsid w:val="00CB3BFF"/>
    <w:rPr>
      <w:b/>
      <w:bCs/>
      <w:sz w:val="20"/>
      <w:szCs w:val="20"/>
    </w:rPr>
  </w:style>
  <w:style w:type="paragraph" w:customStyle="1" w:styleId="xmsonormal">
    <w:name w:val="x_msonormal"/>
    <w:basedOn w:val="Normal"/>
    <w:rsid w:val="00BA341F"/>
    <w:pPr>
      <w:spacing w:after="0" w:line="240" w:lineRule="auto"/>
    </w:pPr>
    <w:rPr>
      <w:rFonts w:ascii="Calibri" w:hAnsi="Calibri" w:cs="Times New Roman"/>
    </w:rPr>
  </w:style>
  <w:style w:type="character" w:styleId="UnresolvedMention">
    <w:name w:val="Unresolved Mention"/>
    <w:basedOn w:val="DefaultParagraphFont"/>
    <w:uiPriority w:val="99"/>
    <w:semiHidden/>
    <w:unhideWhenUsed/>
    <w:rsid w:val="004B0A3A"/>
    <w:rPr>
      <w:color w:val="605E5C"/>
      <w:shd w:val="clear" w:color="auto" w:fill="E1DFDD"/>
    </w:rPr>
  </w:style>
  <w:style w:type="paragraph" w:styleId="Revision">
    <w:name w:val="Revision"/>
    <w:hidden/>
    <w:uiPriority w:val="99"/>
    <w:semiHidden/>
    <w:rsid w:val="00F26D9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ferc.gov"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3.xml><?xml version="1.0" encoding="utf-8"?>
<?mso-contentType ?>
<SharedContentType xmlns="Microsoft.SharePoint.Taxonomy.ContentTypeSync" SourceId="74a4cd09-5f17-433b-814a-38e7e9115d16" ContentTypeId="0x0101" PreviousValue="fals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42606B-8B9B-4260-90D8-3B930F1FC20B}">
  <ds:schemaRefs>
    <ds:schemaRef ds:uri="http://schemas.microsoft.com/sharepoint/v3/contenttype/forms"/>
  </ds:schemaRefs>
</ds:datastoreItem>
</file>

<file path=customXml/itemProps2.xml><?xml version="1.0" encoding="utf-8"?>
<ds:datastoreItem xmlns:ds="http://schemas.openxmlformats.org/officeDocument/2006/customXml" ds:itemID="{8F0425C1-1376-4312-A6CC-C71726D0BCEC}">
  <ds:schemaRefs>
    <ds:schemaRef ds:uri="http://schemas.microsoft.com/office/2006/metadata/properties"/>
    <ds:schemaRef ds:uri="http://schemas.microsoft.com/office/infopath/2007/PartnerControls"/>
    <ds:schemaRef ds:uri="5e8733a2-e908-454b-85cf-c9d17e1d0943"/>
  </ds:schemaRefs>
</ds:datastoreItem>
</file>

<file path=customXml/itemProps3.xml><?xml version="1.0" encoding="utf-8"?>
<ds:datastoreItem xmlns:ds="http://schemas.openxmlformats.org/officeDocument/2006/customXml" ds:itemID="{1FD09539-298B-4374-9FAC-5BD310919CAD}">
  <ds:schemaRefs>
    <ds:schemaRef ds:uri="Microsoft.SharePoint.Taxonomy.ContentTypeSync"/>
  </ds:schemaRefs>
</ds:datastoreItem>
</file>

<file path=customXml/itemProps4.xml><?xml version="1.0" encoding="utf-8"?>
<ds:datastoreItem xmlns:ds="http://schemas.openxmlformats.org/officeDocument/2006/customXml" ds:itemID="{F2D09BB7-8DFB-4181-AC20-8F8DCD513CD2}">
  <ds:schemaRefs>
    <ds:schemaRef ds:uri="http://schemas.openxmlformats.org/officeDocument/2006/bibliography"/>
  </ds:schemaRefs>
</ds:datastoreItem>
</file>

<file path=customXml/itemProps5.xml><?xml version="1.0" encoding="utf-8"?>
<ds:datastoreItem xmlns:ds="http://schemas.openxmlformats.org/officeDocument/2006/customXml" ds:itemID="{087C9439-326F-4CA9-9ABF-F959A672B6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735</Words>
  <Characters>4347</Characters>
  <Application>Microsoft Office Word</Application>
  <DocSecurity>0</DocSecurity>
  <Lines>144</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Kayla Williams</dc:creator>
  <cp:lastModifiedBy>Kayla Williams</cp:lastModifiedBy>
  <cp:revision>5</cp:revision>
  <dcterms:created xsi:type="dcterms:W3CDTF">2026-04-29T18:47:00Z</dcterms:created>
  <dcterms:modified xsi:type="dcterms:W3CDTF">2026-05-21T03:53:00Z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d24d06a-0e85-4d57-b1e0-ba34b1abc708_ActionId">
    <vt:lpwstr>d4f88afe-a622-4c75-bd4b-583fc5f0870b</vt:lpwstr>
  </property>
  <property fmtid="{D5CDD505-2E9C-101B-9397-08002B2CF9AE}" pid="3" name="MSIP_Label_bd24d06a-0e85-4d57-b1e0-ba34b1abc708_ContentBits">
    <vt:lpwstr>0</vt:lpwstr>
  </property>
  <property fmtid="{D5CDD505-2E9C-101B-9397-08002B2CF9AE}" pid="4" name="MSIP_Label_bd24d06a-0e85-4d57-b1e0-ba34b1abc708_Enabled">
    <vt:lpwstr>true</vt:lpwstr>
  </property>
  <property fmtid="{D5CDD505-2E9C-101B-9397-08002B2CF9AE}" pid="5" name="MSIP_Label_bd24d06a-0e85-4d57-b1e0-ba34b1abc708_Method">
    <vt:lpwstr>Privileged</vt:lpwstr>
  </property>
  <property fmtid="{D5CDD505-2E9C-101B-9397-08002B2CF9AE}" pid="6" name="MSIP_Label_bd24d06a-0e85-4d57-b1e0-ba34b1abc708_Name">
    <vt:lpwstr>bd24d06a-0e85-4d57-b1e0-ba34b1abc708</vt:lpwstr>
  </property>
  <property fmtid="{D5CDD505-2E9C-101B-9397-08002B2CF9AE}" pid="7" name="MSIP_Label_bd24d06a-0e85-4d57-b1e0-ba34b1abc708_SetDate">
    <vt:lpwstr>2026-04-29T18:46:17Z</vt:lpwstr>
  </property>
  <property fmtid="{D5CDD505-2E9C-101B-9397-08002B2CF9AE}" pid="8" name="MSIP_Label_bd24d06a-0e85-4d57-b1e0-ba34b1abc708_SiteId">
    <vt:lpwstr>19caa9e9-04ff-43fa-885f-d77fac387903</vt:lpwstr>
  </property>
  <property fmtid="{D5CDD505-2E9C-101B-9397-08002B2CF9AE}" pid="9" name="MSIP_Label_bd24d06a-0e85-4d57-b1e0-ba34b1abc708_Tag">
    <vt:lpwstr>10, 0, 1, 1</vt:lpwstr>
  </property>
</Properties>
</file>