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E9D9800">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1738983F">
      <w:pPr>
        <w:jc w:val="center"/>
      </w:pPr>
      <w:r>
        <w:t xml:space="preserve">[Docket No. </w:t>
      </w:r>
      <w:r w:rsidR="00613169">
        <w:t>IC</w:t>
      </w:r>
      <w:r w:rsidR="00FB078F">
        <w:t>2</w:t>
      </w:r>
      <w:r w:rsidR="00853E5E">
        <w:t>6</w:t>
      </w:r>
      <w:r w:rsidR="00613169">
        <w:t>-</w:t>
      </w:r>
      <w:r w:rsidR="5C6ADC20">
        <w:t>1</w:t>
      </w:r>
      <w:r w:rsidR="34EC78E5">
        <w:t>9-</w:t>
      </w:r>
      <w:r w:rsidR="00613169">
        <w:t>000</w:t>
      </w:r>
      <w:r>
        <w:t>]</w:t>
      </w:r>
    </w:p>
    <w:p w:rsidR="00A2604E" w:rsidP="00A2604E" w14:paraId="4D16FE54" w14:textId="77777777"/>
    <w:p w:rsidR="00A2604E" w:rsidP="00A2604E" w14:paraId="0627AE31" w14:textId="5E72274C">
      <w:pPr>
        <w:jc w:val="center"/>
      </w:pPr>
      <w:r>
        <w:t>COMMISSION INFORMATION COLLECTION ACTIVITIES (FERC-</w:t>
      </w:r>
      <w:r w:rsidR="00931A95">
        <w:t>725N</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42056" w:rsidP="00AC7116" w14:paraId="3BEF1897" w14:textId="78C48471">
      <w:pPr>
        <w:jc w:val="center"/>
      </w:pPr>
      <w:r w:rsidRPr="00AC7116">
        <w:t>(February 27, 2026)</w:t>
      </w:r>
    </w:p>
    <w:p w:rsidR="00AC7116" w:rsidRPr="00AC7116" w:rsidP="00AC7116" w14:paraId="7E206F56"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B556C9" w:rsidRPr="00B556C9" w:rsidP="00B556C9" w14:paraId="35DEAE81" w14:textId="75D2F53B">
      <w:pPr>
        <w:spacing w:after="160" w:line="480" w:lineRule="auto"/>
        <w:rPr>
          <w:rFonts w:eastAsiaTheme="minorHAnsi"/>
          <w:szCs w:val="26"/>
        </w:rPr>
      </w:pPr>
      <w:r w:rsidRPr="00CE64F2">
        <w:rPr>
          <w:b/>
        </w:rPr>
        <w:t>SUMMARY</w:t>
      </w:r>
      <w:r w:rsidRPr="00CE64F2">
        <w:rPr>
          <w:b/>
        </w:rPr>
        <w:t>:</w:t>
      </w:r>
      <w:r>
        <w:t xml:space="preserve">  In</w:t>
      </w:r>
      <w:r>
        <w:t xml:space="preserve"> compliance with the requirements of the Paperwork Reduction Act of 1995</w:t>
      </w:r>
      <w:r w:rsidR="009E2D84">
        <w:t xml:space="preserve">, </w:t>
      </w:r>
      <w:r>
        <w:t xml:space="preserve">the Federal Energy Regulatory Commission (Commission or FERC) is soliciting public comment on the currently approved information </w:t>
      </w:r>
      <w:r>
        <w:t>collection</w:t>
      </w:r>
      <w:r w:rsidRPr="00C43470" w:rsidR="00C43470">
        <w:t xml:space="preserve"> </w:t>
      </w:r>
      <w:r w:rsidRPr="00C713C3" w:rsidR="00C43470">
        <w:t>FERC-</w:t>
      </w:r>
      <w:r w:rsidR="00931A95">
        <w:t>725N</w:t>
      </w:r>
      <w:r w:rsidR="003D1CA7">
        <w:t xml:space="preserve"> </w:t>
      </w:r>
      <w:r w:rsidRPr="00C713C3" w:rsidR="00C43470">
        <w:t>(</w:t>
      </w:r>
      <w:r w:rsidRPr="00931A95" w:rsidR="00931A95">
        <w:rPr>
          <w:szCs w:val="26"/>
        </w:rPr>
        <w:t xml:space="preserve">Mandatory Reliability Standards </w:t>
      </w:r>
      <w:r w:rsidRPr="00931A95" w:rsidR="00931A95">
        <w:rPr>
          <w:rFonts w:eastAsia="Calibri"/>
          <w:szCs w:val="26"/>
        </w:rPr>
        <w:t>TPL-007-4, Transmission System Planned Performance for Geomagnetic Disturbance Events</w:t>
      </w:r>
      <w:r w:rsidRPr="00C713C3" w:rsidR="00C43470">
        <w:t>)</w:t>
      </w:r>
      <w:r w:rsidR="00150CBC">
        <w:rPr>
          <w:rFonts w:eastAsiaTheme="minorHAnsi"/>
          <w:szCs w:val="26"/>
        </w:rPr>
        <w:t>.</w:t>
      </w:r>
    </w:p>
    <w:p w:rsidR="00A2604E" w:rsidRPr="00524164" w:rsidP="00A2604E" w14:paraId="5C5B574A" w14:textId="57671BC1">
      <w:pPr>
        <w:spacing w:line="480" w:lineRule="auto"/>
      </w:pPr>
      <w:r w:rsidRPr="00CE64F2">
        <w:rPr>
          <w:b/>
        </w:rPr>
        <w:t>DATES</w:t>
      </w:r>
      <w:r w:rsidRPr="00CE64F2">
        <w:rPr>
          <w:b/>
        </w:rPr>
        <w:t>:</w:t>
      </w:r>
      <w:r>
        <w:t xml:space="preserve">  Comments</w:t>
      </w:r>
      <w:r>
        <w:t xml:space="preserve">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713559AA">
      <w:pPr>
        <w:spacing w:line="480" w:lineRule="auto"/>
      </w:pPr>
      <w:r w:rsidRPr="14ED6DAE">
        <w:rPr>
          <w:b/>
          <w:bCs/>
        </w:rPr>
        <w:t>ADDRESSES</w:t>
      </w:r>
      <w:r w:rsidRPr="14ED6DAE">
        <w:rPr>
          <w:b/>
          <w:bCs/>
        </w:rPr>
        <w:t>:</w:t>
      </w:r>
      <w:r>
        <w:t xml:space="preserve">  </w:t>
      </w:r>
      <w:bookmarkStart w:id="1" w:name="OLE_LINK1"/>
      <w:r>
        <w:t>You</w:t>
      </w:r>
      <w:r>
        <w:t xml:space="preserve"> may submit your comments (identified by Docket No. IC</w:t>
      </w:r>
      <w:r w:rsidR="003F7A51">
        <w:t>2</w:t>
      </w:r>
      <w:r w:rsidR="00853E5E">
        <w:t>6</w:t>
      </w:r>
      <w:r>
        <w:t>-</w:t>
      </w:r>
      <w:r w:rsidR="48937FD4">
        <w:t>1</w:t>
      </w:r>
      <w:r w:rsidR="24AC7BB8">
        <w:t>9</w:t>
      </w:r>
      <w:r w:rsidR="003F7A51">
        <w:t>-</w:t>
      </w:r>
      <w:r>
        <w:t>000) by one of the following methods:</w:t>
      </w:r>
    </w:p>
    <w:p w:rsidR="0042765E" w:rsidRPr="0042765E" w:rsidP="0042765E" w14:paraId="6929A881" w14:textId="4C9B2AFE">
      <w:pPr>
        <w:spacing w:line="480" w:lineRule="auto"/>
      </w:pPr>
      <w:r w:rsidRPr="0042765E">
        <w:t xml:space="preserve">Electronic filing through </w:t>
      </w:r>
      <w:hyperlink r:id="rId10" w:history="1">
        <w:r w:rsidRPr="003C7D47" w:rsidR="009E0AAA">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68BD2DC3">
      <w:pPr>
        <w:pStyle w:val="ListParagraph"/>
        <w:numPr>
          <w:ilvl w:val="1"/>
          <w:numId w:val="6"/>
        </w:numPr>
        <w:spacing w:line="480" w:lineRule="auto"/>
      </w:pPr>
      <w:r w:rsidRPr="0042765E">
        <w:t xml:space="preserve">Hand (including courier) delivery: </w:t>
      </w:r>
      <w:r w:rsidR="00117A32">
        <w:t>Addressed</w:t>
      </w:r>
      <w:r w:rsidRPr="0042765E" w:rsidR="00117A32">
        <w:t xml:space="preserve"> </w:t>
      </w:r>
      <w:r w:rsidRPr="0042765E">
        <w:t xml:space="preserve">to: Federal Energy Regulatory Commission, </w:t>
      </w:r>
      <w:r w:rsidR="00117A32">
        <w:t>Secretary of the Commission,</w:t>
      </w:r>
      <w:r w:rsidRPr="0042765E">
        <w:t>12225 Wilkins Avenue, Rockville, MD 20852.</w:t>
      </w:r>
    </w:p>
    <w:p w:rsidR="00FB078F" w:rsidP="0042765E" w14:paraId="1FF43EEC" w14:textId="644F3F69">
      <w:pPr>
        <w:spacing w:line="480" w:lineRule="auto"/>
      </w:pPr>
      <w:r w:rsidRPr="002F3236">
        <w:rPr>
          <w:i/>
        </w:rPr>
        <w:t xml:space="preserve">Instructions: </w:t>
      </w:r>
      <w:r>
        <w:t xml:space="preserve">All submissions must be formatted and filed in accordance with submission guidelines at:   </w:t>
      </w:r>
      <w:hyperlink r:id="rId10" w:history="1">
        <w:r w:rsidRPr="003C7D47" w:rsidR="009E0AAA">
          <w:rPr>
            <w:rStyle w:val="Hyperlink"/>
          </w:rPr>
          <w:t>https://www.ferc.gov</w:t>
        </w:r>
      </w:hyperlink>
      <w:r>
        <w:t xml:space="preserve">.  For user assistance, contact FERC Online Support by e-mail at </w:t>
      </w:r>
      <w:hyperlink r:id="rId11" w:history="1">
        <w:r w:rsidRPr="00FB2818" w:rsidR="00A42056">
          <w:rPr>
            <w:rStyle w:val="Hyperlink"/>
          </w:rPr>
          <w:t>ferconlinesupport@ferc.gov</w:t>
        </w:r>
      </w:hyperlink>
      <w:r w:rsidR="00A42056">
        <w:t>,</w:t>
      </w:r>
      <w:r>
        <w:t xml:space="preserve"> or by phone at (866) 208-3676 (toll-free).</w:t>
      </w:r>
    </w:p>
    <w:p w:rsidR="00FB078F" w:rsidP="00FB078F" w14:paraId="781EB4A7" w14:textId="10D77C39">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3C7D47" w:rsidR="009E0AAA">
          <w:rPr>
            <w:rStyle w:val="Hyperlink"/>
          </w:rPr>
          <w:t>https://www.ferc.gov</w:t>
        </w:r>
      </w:hyperlink>
      <w:r>
        <w:t xml:space="preserve">. </w:t>
      </w:r>
    </w:p>
    <w:bookmarkEnd w:id="1"/>
    <w:p w:rsidR="00FB078F" w:rsidP="00FB078F" w14:paraId="4D057177" w14:textId="6ED665CE">
      <w:pPr>
        <w:spacing w:line="480" w:lineRule="auto"/>
        <w:rPr>
          <w:szCs w:val="26"/>
        </w:rPr>
      </w:pPr>
      <w:r w:rsidRPr="003B29FB">
        <w:rPr>
          <w:b/>
          <w:szCs w:val="26"/>
        </w:rPr>
        <w:t>FOR FURTHER INFORMATION:</w:t>
      </w:r>
      <w:r w:rsidRPr="003B29FB">
        <w:rPr>
          <w:szCs w:val="26"/>
        </w:rPr>
        <w:t xml:space="preserve">  </w:t>
      </w:r>
      <w:r w:rsidR="002A1554">
        <w:rPr>
          <w:szCs w:val="26"/>
        </w:rPr>
        <w:t>Contact: Kayla Williams</w:t>
      </w:r>
      <w:r w:rsidRPr="003B29FB">
        <w:rPr>
          <w:szCs w:val="26"/>
        </w:rPr>
        <w:t xml:space="preserve"> </w:t>
      </w:r>
      <w:r w:rsidR="002A1554">
        <w:rPr>
          <w:szCs w:val="26"/>
        </w:rPr>
        <w:t xml:space="preserve">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2A1554">
        <w:rPr>
          <w:szCs w:val="26"/>
        </w:rPr>
        <w:t>6468</w:t>
      </w:r>
      <w:r w:rsidRPr="003B29FB">
        <w:rPr>
          <w:szCs w:val="26"/>
        </w:rPr>
        <w:t>.</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31A95" w:rsidRPr="00931A95" w:rsidP="00931A95" w14:paraId="031EBA8C" w14:textId="77777777">
      <w:pPr>
        <w:spacing w:line="480" w:lineRule="auto"/>
        <w:rPr>
          <w:i/>
          <w:szCs w:val="26"/>
        </w:rPr>
      </w:pPr>
      <w:r w:rsidRPr="00931A95">
        <w:rPr>
          <w:i/>
          <w:szCs w:val="26"/>
        </w:rPr>
        <w:t>Title</w:t>
      </w:r>
      <w:bookmarkStart w:id="2" w:name="_Hlk110523346"/>
      <w:r w:rsidRPr="00931A95">
        <w:rPr>
          <w:i/>
          <w:szCs w:val="26"/>
        </w:rPr>
        <w:t xml:space="preserve">:  </w:t>
      </w:r>
      <w:r w:rsidRPr="00931A95">
        <w:rPr>
          <w:szCs w:val="26"/>
        </w:rPr>
        <w:t>FERC</w:t>
      </w:r>
      <w:r w:rsidRPr="00931A95">
        <w:rPr>
          <w:szCs w:val="26"/>
        </w:rPr>
        <w:t xml:space="preserve">-725N, Mandatory Reliability Standards </w:t>
      </w:r>
      <w:r w:rsidRPr="00931A95">
        <w:rPr>
          <w:rFonts w:eastAsia="Calibri"/>
          <w:szCs w:val="26"/>
        </w:rPr>
        <w:t>TPL-007-4, Transmission System Planned Performance for Geomagnetic Disturbance Events</w:t>
      </w:r>
      <w:bookmarkEnd w:id="2"/>
      <w:r w:rsidRPr="00931A95">
        <w:rPr>
          <w:szCs w:val="26"/>
        </w:rPr>
        <w:t>.</w:t>
      </w:r>
    </w:p>
    <w:p w:rsidR="00931A95" w:rsidRPr="00931A95" w:rsidP="00931A95" w14:paraId="4CE7316D" w14:textId="77777777">
      <w:pPr>
        <w:spacing w:line="480" w:lineRule="auto"/>
        <w:rPr>
          <w:szCs w:val="26"/>
        </w:rPr>
      </w:pPr>
      <w:r w:rsidRPr="00931A95">
        <w:rPr>
          <w:i/>
          <w:szCs w:val="26"/>
        </w:rPr>
        <w:t>OMB Control No.:</w:t>
      </w:r>
      <w:r w:rsidRPr="00931A95">
        <w:rPr>
          <w:szCs w:val="26"/>
        </w:rPr>
        <w:t xml:space="preserve"> 1902-0264</w:t>
      </w:r>
    </w:p>
    <w:p w:rsidR="00931A95" w:rsidRPr="00931A95" w:rsidP="00931A95" w14:paraId="5C5FEEA7" w14:textId="26B95CAE">
      <w:pPr>
        <w:spacing w:line="480" w:lineRule="auto"/>
        <w:rPr>
          <w:rFonts w:eastAsia="Calibri"/>
          <w:szCs w:val="26"/>
        </w:rPr>
      </w:pPr>
      <w:r w:rsidRPr="00931A95">
        <w:rPr>
          <w:rFonts w:eastAsia="Calibri"/>
          <w:i/>
          <w:szCs w:val="26"/>
        </w:rPr>
        <w:t>Type of Request:</w:t>
      </w:r>
      <w:r w:rsidRPr="00931A95">
        <w:rPr>
          <w:rFonts w:eastAsia="Calibri"/>
          <w:szCs w:val="26"/>
        </w:rPr>
        <w:t xml:space="preserve"> </w:t>
      </w:r>
      <w:r>
        <w:rPr>
          <w:rFonts w:eastAsia="Calibri"/>
          <w:szCs w:val="26"/>
        </w:rPr>
        <w:t>Extension of the currently approved collection</w:t>
      </w:r>
      <w:r w:rsidR="00067898">
        <w:rPr>
          <w:rFonts w:eastAsia="Calibri"/>
          <w:szCs w:val="26"/>
        </w:rPr>
        <w:t xml:space="preserve"> without change.</w:t>
      </w:r>
    </w:p>
    <w:p w:rsidR="00931A95" w:rsidRPr="00931A95" w:rsidP="00931A95" w14:paraId="67535528" w14:textId="6A808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931A95">
        <w:rPr>
          <w:rFonts w:eastAsia="Calibri"/>
          <w:i/>
          <w:szCs w:val="26"/>
        </w:rPr>
        <w:t>Abstract</w:t>
      </w:r>
      <w:r w:rsidRPr="00931A95">
        <w:rPr>
          <w:rFonts w:eastAsia="Calibri"/>
          <w:i/>
          <w:szCs w:val="26"/>
        </w:rPr>
        <w:t>:</w:t>
      </w:r>
      <w:r w:rsidRPr="00931A95">
        <w:rPr>
          <w:rFonts w:eastAsia="Calibri"/>
          <w:color w:val="000000"/>
          <w:szCs w:val="26"/>
        </w:rPr>
        <w:t xml:space="preserve">  The</w:t>
      </w:r>
      <w:r w:rsidRPr="00931A95">
        <w:rPr>
          <w:rFonts w:eastAsia="Calibri"/>
          <w:color w:val="000000"/>
          <w:szCs w:val="26"/>
        </w:rPr>
        <w:t xml:space="preserve"> Reliability Standard </w:t>
      </w:r>
      <w:r w:rsidRPr="00931A95">
        <w:rPr>
          <w:rFonts w:eastAsia="Calibri"/>
          <w:szCs w:val="26"/>
        </w:rPr>
        <w:t xml:space="preserve">TPL-007-4 requires owners and operators of the </w:t>
      </w:r>
      <w:bookmarkStart w:id="3" w:name="_Hlk34830807"/>
      <w:r w:rsidRPr="00931A95">
        <w:rPr>
          <w:rFonts w:eastAsia="Calibri"/>
          <w:szCs w:val="26"/>
        </w:rPr>
        <w:t>Bulk-Power System</w:t>
      </w:r>
      <w:bookmarkEnd w:id="3"/>
      <w:r w:rsidRPr="00931A95">
        <w:rPr>
          <w:rFonts w:eastAsia="Calibri"/>
          <w:szCs w:val="26"/>
        </w:rPr>
        <w:t xml:space="preserve"> to conduct initial and on-going vulnerability assessments of the potential impact of defined geomagnetic disturbance events on Bulk- Power System </w:t>
      </w:r>
      <w:r w:rsidRPr="00931A95">
        <w:rPr>
          <w:rFonts w:eastAsia="Calibri"/>
          <w:szCs w:val="26"/>
        </w:rPr>
        <w:t>equipment and the Bulk-Power System as a whole. Specifically, the Reliability Standard requires entities to develop corrective action plans for vulnerabilities identified through supplemental geomagnetic disturbance vulnerability assessments and requires entities to seek approval from the Electric Reliability Organization of any extensions of time for the completion of corrective action plan items.</w:t>
      </w:r>
    </w:p>
    <w:p w:rsidR="00931A95" w:rsidRPr="00931A95" w:rsidP="14ED6DAE" w14:paraId="02F6CD3B" w14:textId="1FE9B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31A95">
        <w:rPr>
          <w:szCs w:val="26"/>
        </w:rPr>
        <w:tab/>
      </w:r>
      <w:r w:rsidRPr="14ED6DAE">
        <w:t>On August 8, 2005, Congress enacted into law the Electricity Modernization Act of 2005, which is Title XII, Subtitle A, of the Energy Policy Act of 2005 (</w:t>
      </w:r>
      <w:r w:rsidRPr="14ED6DAE">
        <w:t>EPAct</w:t>
      </w:r>
      <w:r w:rsidRPr="14ED6DAE">
        <w:t xml:space="preserve"> 2005).</w:t>
      </w:r>
      <w:r>
        <w:rPr>
          <w:b/>
          <w:bCs/>
          <w:vertAlign w:val="superscript"/>
        </w:rPr>
        <w:footnoteReference w:id="3"/>
      </w:r>
      <w:r w:rsidRPr="00931A95">
        <w:rPr>
          <w:szCs w:val="26"/>
        </w:rPr>
        <w:t xml:space="preserve">  </w:t>
      </w:r>
      <w:r w:rsidRPr="14ED6DAE">
        <w:t>EPAct</w:t>
      </w:r>
      <w:r w:rsidRPr="14ED6DAE">
        <w:t xml:space="preserve"> 2005 added a new section 215 to the F</w:t>
      </w:r>
      <w:r w:rsidRPr="14ED6DAE" w:rsidR="00D60B31">
        <w:t xml:space="preserve">ederal </w:t>
      </w:r>
      <w:r w:rsidRPr="14ED6DAE">
        <w:t>P</w:t>
      </w:r>
      <w:r w:rsidRPr="14ED6DAE" w:rsidR="00D60B31">
        <w:t xml:space="preserve">ower </w:t>
      </w:r>
      <w:r w:rsidRPr="14ED6DAE">
        <w:t>A</w:t>
      </w:r>
      <w:r w:rsidRPr="14ED6DAE" w:rsidR="00D60B31">
        <w:t>ct (FPA)</w:t>
      </w:r>
      <w:r w:rsidRPr="14ED6DAE">
        <w:t>,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Pr>
          <w:b/>
          <w:bCs/>
          <w:vertAlign w:val="superscript"/>
        </w:rPr>
        <w:footnoteReference w:id="4"/>
      </w:r>
    </w:p>
    <w:p w:rsidR="00931A95" w:rsidRPr="00931A95" w:rsidP="00931A95" w14:paraId="512C00E9" w14:textId="298F3E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31A95">
        <w:rPr>
          <w:szCs w:val="26"/>
        </w:rPr>
        <w:tab/>
        <w:t>On February 3, 2006, the Commission issued Order No. 672, implementing section 215 of the FPA.</w:t>
      </w:r>
      <w:r>
        <w:rPr>
          <w:b/>
          <w:szCs w:val="26"/>
          <w:vertAlign w:val="superscript"/>
        </w:rPr>
        <w:footnoteReference w:id="5"/>
      </w:r>
      <w:r w:rsidRPr="00931A95">
        <w:rPr>
          <w:szCs w:val="26"/>
        </w:rPr>
        <w:t xml:space="preserve">  Pursuant to Order No. 672, the Commission certified one </w:t>
      </w:r>
      <w:r w:rsidRPr="00931A95">
        <w:rPr>
          <w:szCs w:val="26"/>
        </w:rPr>
        <w:t>organization, North American Electric Reliability Corporation (NERC), as the ERO.</w:t>
      </w:r>
      <w:r>
        <w:rPr>
          <w:b/>
          <w:szCs w:val="26"/>
          <w:vertAlign w:val="superscript"/>
        </w:rPr>
        <w:footnoteReference w:id="6"/>
      </w:r>
      <w:r w:rsidRPr="00931A95">
        <w:rPr>
          <w:szCs w:val="26"/>
        </w:rPr>
        <w:t xml:space="preserve">  The Reliability Standards developed by the ERO and approved by the Commission apply to users, owners and operators of the Bulk-Power System as set forth in each Reliability Standard.</w:t>
      </w:r>
    </w:p>
    <w:p w:rsidR="00931A95" w:rsidRPr="00931A95" w:rsidP="00931A95" w14:paraId="4BE26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iCs/>
          <w:szCs w:val="26"/>
        </w:rPr>
      </w:pPr>
      <w:r w:rsidRPr="00931A95">
        <w:rPr>
          <w:rFonts w:eastAsia="Calibri"/>
          <w:i/>
          <w:szCs w:val="26"/>
        </w:rPr>
        <w:t>Type of Respondents:</w:t>
      </w:r>
      <w:r w:rsidRPr="00931A95">
        <w:rPr>
          <w:rFonts w:eastAsia="Calibri"/>
          <w:iCs/>
          <w:szCs w:val="26"/>
        </w:rPr>
        <w:t xml:space="preserve"> Generator Owner, Planning Coordinator, Distribution Provider and </w:t>
      </w:r>
    </w:p>
    <w:p w:rsidR="00931A95" w:rsidRPr="00931A95" w:rsidP="00931A95" w14:paraId="4803B9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iCs/>
          <w:szCs w:val="26"/>
        </w:rPr>
      </w:pPr>
    </w:p>
    <w:p w:rsidR="00931A95" w:rsidRPr="00931A95" w:rsidP="00931A95" w14:paraId="51FD71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iCs/>
          <w:szCs w:val="26"/>
        </w:rPr>
      </w:pPr>
      <w:r w:rsidRPr="00931A95">
        <w:rPr>
          <w:rFonts w:eastAsia="Calibri"/>
          <w:iCs/>
          <w:szCs w:val="26"/>
        </w:rPr>
        <w:t>Transmission Owners.</w:t>
      </w:r>
    </w:p>
    <w:p w:rsidR="00931A95" w:rsidRPr="00931A95" w:rsidP="00931A95" w14:paraId="02FDF9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iCs/>
          <w:szCs w:val="26"/>
        </w:rPr>
      </w:pPr>
    </w:p>
    <w:p w:rsidR="00931A95" w:rsidRPr="00931A95" w:rsidP="00931A95" w14:paraId="78ED41E7" w14:textId="31E7CD5B">
      <w:pPr>
        <w:autoSpaceDE w:val="0"/>
        <w:autoSpaceDN w:val="0"/>
        <w:adjustRightInd w:val="0"/>
        <w:spacing w:line="480" w:lineRule="auto"/>
      </w:pPr>
      <w:r w:rsidRPr="14ED6DAE">
        <w:rPr>
          <w:i/>
          <w:iCs/>
        </w:rPr>
        <w:t>Estimate of Annual Burden:</w:t>
      </w:r>
      <w:r>
        <w:rPr>
          <w:b/>
          <w:bCs/>
          <w:i/>
          <w:iCs/>
          <w:vertAlign w:val="superscript"/>
        </w:rPr>
        <w:footnoteReference w:id="7"/>
      </w:r>
      <w:r w:rsidRPr="14ED6DAE">
        <w:rPr>
          <w:i/>
          <w:iCs/>
        </w:rPr>
        <w:t xml:space="preserve"> </w:t>
      </w:r>
      <w:r w:rsidRPr="14ED6DAE">
        <w:t xml:space="preserve">Our estimates are based on the </w:t>
      </w:r>
      <w:r w:rsidRPr="0031283D">
        <w:t xml:space="preserve">NERC Compliance Registry Summary of Entities as of </w:t>
      </w:r>
      <w:r w:rsidRPr="0031283D" w:rsidR="000A2EAD">
        <w:t>February 9, 2026</w:t>
      </w:r>
      <w:r w:rsidRPr="0031283D">
        <w:t>.</w:t>
      </w:r>
      <w:r w:rsidRPr="00931A95">
        <w:rPr>
          <w:szCs w:val="26"/>
        </w:rPr>
        <w:t xml:space="preserve">  </w:t>
      </w:r>
      <w:bookmarkStart w:id="4" w:name="_Hlk35515371"/>
    </w:p>
    <w:bookmarkEnd w:id="4"/>
    <w:p w:rsidR="00931A95" w:rsidRPr="00931A95" w:rsidP="00931A95" w14:paraId="41063799" w14:textId="53CA0A34">
      <w:pPr>
        <w:autoSpaceDE w:val="0"/>
        <w:autoSpaceDN w:val="0"/>
        <w:adjustRightInd w:val="0"/>
        <w:spacing w:line="480" w:lineRule="auto"/>
        <w:rPr>
          <w:szCs w:val="26"/>
        </w:rPr>
      </w:pPr>
      <w:r w:rsidRPr="00931A95">
        <w:rPr>
          <w:szCs w:val="26"/>
        </w:rPr>
        <w:tab/>
      </w:r>
      <w:r w:rsidRPr="14ED6DAE">
        <w:t>The individual burden estimates include the time needed to gather data, run studies, and analyze study results.  These are consistent with estimates for similar tasks in other Commission-approved standards.  Estimates for the additional average annual burden and cost</w:t>
      </w:r>
      <w:r>
        <w:rPr>
          <w:b/>
          <w:bCs/>
          <w:vertAlign w:val="superscript"/>
        </w:rPr>
        <w:footnoteReference w:id="8"/>
      </w:r>
      <w:r w:rsidRPr="14ED6DAE">
        <w:t xml:space="preserve"> as follow</w:t>
      </w:r>
      <w:r w:rsidRPr="14ED6DAE" w:rsidR="003D1CA7">
        <w:t>s</w:t>
      </w:r>
      <w:r w:rsidRPr="00931A95">
        <w:rPr>
          <w:szCs w:val="26"/>
        </w:rPr>
        <w:t>:</w:t>
      </w: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55552D4A" w14:textId="77777777" w:rsidTr="14ED6DAE">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0A2EAD" w:rsidRPr="00931A95" w:rsidP="14ED6DAE" w14:paraId="26CB0395" w14:textId="18CEE06A">
            <w:pPr>
              <w:jc w:val="center"/>
              <w:rPr>
                <w:rFonts w:eastAsia="Calibri"/>
                <w:b/>
                <w:bCs/>
              </w:rPr>
            </w:pPr>
            <w:r w:rsidRPr="14ED6DAE">
              <w:rPr>
                <w:rFonts w:eastAsia="Calibri"/>
                <w:b/>
                <w:bCs/>
              </w:rPr>
              <w:t>Annual Collection TPL-007</w:t>
            </w:r>
            <w:r w:rsidRPr="14ED6DAE" w:rsidR="00DC6796">
              <w:rPr>
                <w:rFonts w:eastAsia="Calibri"/>
                <w:b/>
                <w:bCs/>
              </w:rPr>
              <w:t>-4 FERC 725N</w:t>
            </w:r>
          </w:p>
        </w:tc>
      </w:tr>
      <w:tr w14:paraId="0B3D9276" w14:textId="77777777" w:rsidTr="0031283D">
        <w:tblPrEx>
          <w:tblW w:w="5222" w:type="pct"/>
          <w:tblInd w:w="-72" w:type="dxa"/>
          <w:tblLayout w:type="fixed"/>
          <w:tblLook w:val="01E0"/>
        </w:tblPrEx>
        <w:trPr>
          <w:cantSplit/>
          <w:trHeight w:val="2157"/>
        </w:trPr>
        <w:tc>
          <w:tcPr>
            <w:tcW w:w="854" w:type="pct"/>
            <w:shd w:val="clear" w:color="auto" w:fill="D9D9D9" w:themeFill="background1" w:themeFillShade="D9"/>
          </w:tcPr>
          <w:p w:rsidR="00F33725" w:rsidRPr="00931A95" w:rsidP="00931A95" w14:paraId="0D06E1AE" w14:textId="77777777">
            <w:pPr>
              <w:jc w:val="center"/>
              <w:rPr>
                <w:b/>
                <w:szCs w:val="26"/>
              </w:rPr>
            </w:pPr>
            <w:bookmarkStart w:id="6" w:name="_Hlk38878319"/>
          </w:p>
          <w:p w:rsidR="00F33725" w:rsidRPr="00931A95" w:rsidP="14ED6DAE" w14:paraId="560A20E7" w14:textId="485855A1">
            <w:pPr>
              <w:jc w:val="center"/>
              <w:rPr>
                <w:rFonts w:eastAsia="Calibri"/>
              </w:rPr>
            </w:pPr>
            <w:r w:rsidRPr="14ED6DAE">
              <w:rPr>
                <w:rFonts w:eastAsia="Calibri"/>
              </w:rPr>
              <w:t>Reliability Standard or Process</w:t>
            </w:r>
          </w:p>
        </w:tc>
        <w:tc>
          <w:tcPr>
            <w:tcW w:w="722" w:type="pct"/>
            <w:shd w:val="clear" w:color="auto" w:fill="D9D9D9" w:themeFill="background1" w:themeFillShade="D9"/>
          </w:tcPr>
          <w:p w:rsidR="00F33725" w:rsidRPr="00931A95" w:rsidP="14ED6DAE" w14:paraId="5D9D28C4" w14:textId="58E24FC4">
            <w:pPr>
              <w:jc w:val="center"/>
              <w:rPr>
                <w:rFonts w:eastAsia="Calibri"/>
                <w:b/>
                <w:bCs/>
              </w:rPr>
            </w:pPr>
            <w:r w:rsidRPr="14ED6DAE">
              <w:rPr>
                <w:rFonts w:eastAsia="Calibri"/>
                <w:b/>
                <w:bCs/>
              </w:rPr>
              <w:t>Type and Number of Entities</w:t>
            </w:r>
            <w:r>
              <w:rPr>
                <w:rStyle w:val="FootnoteReference"/>
                <w:rFonts w:eastAsia="Calibri"/>
                <w:b w:val="0"/>
              </w:rPr>
              <w:footnoteReference w:id="9"/>
            </w:r>
            <w:r w:rsidRPr="00931A95">
              <w:rPr>
                <w:rFonts w:eastAsia="Calibri"/>
                <w:b/>
                <w:szCs w:val="26"/>
              </w:rPr>
              <w:br/>
            </w:r>
            <w:r w:rsidRPr="14ED6DAE">
              <w:rPr>
                <w:rFonts w:eastAsia="Calibri"/>
                <w:b/>
                <w:bCs/>
              </w:rPr>
              <w:t>(1)</w:t>
            </w:r>
          </w:p>
        </w:tc>
        <w:tc>
          <w:tcPr>
            <w:tcW w:w="850" w:type="pct"/>
            <w:shd w:val="clear" w:color="auto" w:fill="D9D9D9" w:themeFill="background1" w:themeFillShade="D9"/>
          </w:tcPr>
          <w:p w:rsidR="00F33725" w:rsidRPr="00931A95" w:rsidP="14ED6DAE" w14:paraId="7131C1CA" w14:textId="38A257F8">
            <w:pPr>
              <w:jc w:val="center"/>
              <w:rPr>
                <w:rFonts w:eastAsia="Calibri"/>
                <w:b/>
                <w:bCs/>
              </w:rPr>
            </w:pPr>
            <w:r w:rsidRPr="14ED6DAE">
              <w:rPr>
                <w:rFonts w:eastAsia="Calibri"/>
                <w:b/>
                <w:bCs/>
              </w:rPr>
              <w:t>Annual Number of Responses per Entity</w:t>
            </w:r>
          </w:p>
          <w:p w:rsidR="00F33725" w:rsidRPr="00931A95" w:rsidP="00931A95" w14:paraId="1CE45361" w14:textId="77777777">
            <w:pPr>
              <w:jc w:val="center"/>
              <w:rPr>
                <w:rFonts w:eastAsia="Calibri"/>
                <w:b/>
                <w:szCs w:val="26"/>
              </w:rPr>
            </w:pPr>
            <w:r w:rsidRPr="00931A95">
              <w:rPr>
                <w:rFonts w:eastAsia="Calibri"/>
                <w:b/>
                <w:szCs w:val="26"/>
              </w:rPr>
              <w:t>(2)</w:t>
            </w:r>
          </w:p>
        </w:tc>
        <w:tc>
          <w:tcPr>
            <w:tcW w:w="835" w:type="pct"/>
            <w:shd w:val="clear" w:color="auto" w:fill="D9D9D9" w:themeFill="background1" w:themeFillShade="D9"/>
          </w:tcPr>
          <w:p w:rsidR="00F33725" w:rsidRPr="00931A95" w:rsidP="14ED6DAE" w14:paraId="7E5F606A" w14:textId="30BF135A">
            <w:pPr>
              <w:jc w:val="center"/>
              <w:rPr>
                <w:rFonts w:eastAsia="Calibri"/>
                <w:b/>
                <w:bCs/>
              </w:rPr>
            </w:pPr>
            <w:r w:rsidRPr="14ED6DAE">
              <w:rPr>
                <w:rFonts w:eastAsia="Calibri"/>
                <w:b/>
                <w:bCs/>
              </w:rPr>
              <w:t>Total Number of Responses (</w:t>
            </w:r>
            <w:r w:rsidRPr="14ED6DAE">
              <w:rPr>
                <w:rFonts w:eastAsia="Calibri"/>
                <w:b/>
                <w:bCs/>
              </w:rPr>
              <w:t>1)*</w:t>
            </w:r>
            <w:r w:rsidRPr="14ED6DAE">
              <w:rPr>
                <w:rFonts w:eastAsia="Calibri"/>
                <w:b/>
                <w:bCs/>
              </w:rPr>
              <w:t>(</w:t>
            </w:r>
            <w:r w:rsidRPr="14ED6DAE">
              <w:rPr>
                <w:rFonts w:eastAsia="Calibri"/>
                <w:b/>
                <w:bCs/>
              </w:rPr>
              <w:t>2)=</w:t>
            </w:r>
            <w:r w:rsidRPr="14ED6DAE">
              <w:rPr>
                <w:rFonts w:eastAsia="Calibri"/>
                <w:b/>
                <w:bCs/>
              </w:rPr>
              <w:t>(3)</w:t>
            </w:r>
          </w:p>
        </w:tc>
        <w:tc>
          <w:tcPr>
            <w:tcW w:w="771" w:type="pct"/>
            <w:shd w:val="clear" w:color="auto" w:fill="D9D9D9" w:themeFill="background1" w:themeFillShade="D9"/>
          </w:tcPr>
          <w:p w:rsidR="00F33725" w:rsidRPr="00931A95" w:rsidP="00931A95" w14:paraId="2C02BAD8" w14:textId="77777777">
            <w:pPr>
              <w:jc w:val="center"/>
              <w:rPr>
                <w:rFonts w:eastAsia="Calibri"/>
                <w:b/>
                <w:szCs w:val="26"/>
              </w:rPr>
            </w:pPr>
            <w:r w:rsidRPr="00931A95">
              <w:rPr>
                <w:rFonts w:eastAsia="Calibri"/>
                <w:b/>
                <w:szCs w:val="26"/>
              </w:rPr>
              <w:t>Average Burden Hrs. &amp; Cost</w:t>
            </w:r>
            <w:r w:rsidRPr="00931A95">
              <w:rPr>
                <w:b/>
                <w:szCs w:val="26"/>
              </w:rPr>
              <w:t>)</w:t>
            </w:r>
            <w:r w:rsidRPr="00931A95">
              <w:rPr>
                <w:rFonts w:eastAsia="Calibri"/>
                <w:b/>
                <w:szCs w:val="26"/>
              </w:rPr>
              <w:t xml:space="preserve"> ($) Per Response</w:t>
            </w:r>
          </w:p>
          <w:p w:rsidR="00F33725" w:rsidRPr="00931A95" w:rsidP="00931A95" w14:paraId="7FC6BF84" w14:textId="77777777">
            <w:pPr>
              <w:jc w:val="center"/>
              <w:rPr>
                <w:rFonts w:eastAsia="Calibri"/>
                <w:b/>
                <w:szCs w:val="26"/>
              </w:rPr>
            </w:pPr>
            <w:r w:rsidRPr="00931A95">
              <w:rPr>
                <w:rFonts w:eastAsia="Calibri"/>
                <w:b/>
                <w:szCs w:val="26"/>
              </w:rPr>
              <w:t>(4)</w:t>
            </w:r>
          </w:p>
        </w:tc>
        <w:tc>
          <w:tcPr>
            <w:tcW w:w="968" w:type="pct"/>
            <w:shd w:val="clear" w:color="auto" w:fill="D9D9D9" w:themeFill="background1" w:themeFillShade="D9"/>
          </w:tcPr>
          <w:p w:rsidR="00F33725" w:rsidRPr="00931A95" w:rsidP="00931A95" w14:paraId="06AE1CFF" w14:textId="77777777">
            <w:pPr>
              <w:jc w:val="center"/>
              <w:rPr>
                <w:rFonts w:eastAsia="Calibri"/>
                <w:b/>
                <w:szCs w:val="26"/>
              </w:rPr>
            </w:pPr>
            <w:r w:rsidRPr="00931A95">
              <w:rPr>
                <w:rFonts w:eastAsia="Calibri"/>
                <w:b/>
                <w:szCs w:val="26"/>
              </w:rPr>
              <w:t>Total Annual Burden Hours &amp; Cost ($) (rounded)</w:t>
            </w:r>
          </w:p>
          <w:p w:rsidR="00F33725" w:rsidRPr="00931A95" w:rsidP="00931A95" w14:paraId="609B27CB" w14:textId="77777777">
            <w:pPr>
              <w:jc w:val="center"/>
              <w:rPr>
                <w:rFonts w:eastAsia="Calibri"/>
                <w:b/>
                <w:szCs w:val="26"/>
              </w:rPr>
            </w:pPr>
            <w:r w:rsidRPr="00931A95">
              <w:rPr>
                <w:rFonts w:eastAsia="Calibri"/>
                <w:b/>
                <w:szCs w:val="26"/>
              </w:rPr>
              <w:t>(</w:t>
            </w:r>
            <w:r w:rsidRPr="00931A95">
              <w:rPr>
                <w:rFonts w:eastAsia="Calibri"/>
                <w:b/>
                <w:szCs w:val="26"/>
              </w:rPr>
              <w:t>3)*</w:t>
            </w:r>
            <w:r w:rsidRPr="00931A95">
              <w:rPr>
                <w:rFonts w:eastAsia="Calibri"/>
                <w:b/>
                <w:szCs w:val="26"/>
              </w:rPr>
              <w:t>(</w:t>
            </w:r>
            <w:r w:rsidRPr="00931A95">
              <w:rPr>
                <w:rFonts w:eastAsia="Calibri"/>
                <w:b/>
                <w:szCs w:val="26"/>
              </w:rPr>
              <w:t>4)=</w:t>
            </w:r>
            <w:r w:rsidRPr="00931A95">
              <w:rPr>
                <w:rFonts w:eastAsia="Calibri"/>
                <w:b/>
                <w:szCs w:val="26"/>
              </w:rPr>
              <w:t>(5)</w:t>
            </w:r>
          </w:p>
        </w:tc>
      </w:tr>
      <w:tr w14:paraId="6B4D829F" w14:textId="77777777" w:rsidTr="0031283D">
        <w:tblPrEx>
          <w:tblW w:w="5222" w:type="pct"/>
          <w:tblInd w:w="-72" w:type="dxa"/>
          <w:tblLayout w:type="fixed"/>
          <w:tblLook w:val="01E0"/>
        </w:tblPrEx>
        <w:trPr>
          <w:cantSplit/>
          <w:trHeight w:val="824"/>
        </w:trPr>
        <w:tc>
          <w:tcPr>
            <w:tcW w:w="854" w:type="pct"/>
            <w:vMerge w:val="restart"/>
            <w:vAlign w:val="center"/>
          </w:tcPr>
          <w:p w:rsidR="00F33725" w:rsidRPr="00DC6796" w:rsidP="14ED6DAE" w14:paraId="542867C6" w14:textId="2102C88E">
            <w:pPr>
              <w:autoSpaceDE w:val="0"/>
              <w:autoSpaceDN w:val="0"/>
              <w:adjustRightInd w:val="0"/>
              <w:rPr>
                <w:rFonts w:ascii="Helvetica" w:eastAsia="Calibri" w:hAnsi="Helvetica" w:cs="Helvetica"/>
              </w:rPr>
            </w:pPr>
            <w:r w:rsidRPr="14ED6DAE">
              <w:rPr>
                <w:b/>
                <w:bCs/>
              </w:rPr>
              <w:t>Annual review and record retention</w:t>
            </w:r>
            <w:r>
              <w:rPr>
                <w:b/>
                <w:bCs/>
                <w:vertAlign w:val="superscript"/>
              </w:rPr>
              <w:footnoteReference w:id="10"/>
            </w:r>
            <w:r>
              <w:rPr>
                <w:b/>
                <w:bCs/>
                <w:vertAlign w:val="superscript"/>
              </w:rPr>
              <w:footnoteReference w:id="11"/>
            </w:r>
            <w:r>
              <w:rPr>
                <w:b/>
                <w:bCs/>
                <w:vertAlign w:val="superscript"/>
              </w:rPr>
              <w:footnoteReference w:id="12"/>
            </w:r>
          </w:p>
        </w:tc>
        <w:tc>
          <w:tcPr>
            <w:tcW w:w="722" w:type="pct"/>
            <w:vAlign w:val="center"/>
          </w:tcPr>
          <w:p w:rsidR="00F33725" w:rsidP="14ED6DAE" w14:paraId="4AC33C3A" w14:textId="38484B83">
            <w:pPr>
              <w:jc w:val="right"/>
              <w:rPr>
                <w:rFonts w:eastAsia="Calibri"/>
              </w:rPr>
            </w:pPr>
            <w:r w:rsidRPr="14ED6DAE">
              <w:rPr>
                <w:rFonts w:eastAsia="Calibri"/>
              </w:rPr>
              <w:t>1,354</w:t>
            </w:r>
          </w:p>
          <w:p w:rsidR="00F33725" w:rsidRPr="00931A95" w:rsidP="14ED6DAE" w14:paraId="2D21FC86" w14:textId="20B3329F">
            <w:pPr>
              <w:jc w:val="right"/>
              <w:rPr>
                <w:rFonts w:eastAsia="Calibri"/>
              </w:rPr>
            </w:pPr>
            <w:r w:rsidRPr="14ED6DAE">
              <w:rPr>
                <w:rFonts w:eastAsia="Calibri"/>
              </w:rPr>
              <w:t>(GOP)</w:t>
            </w:r>
          </w:p>
        </w:tc>
        <w:tc>
          <w:tcPr>
            <w:tcW w:w="850" w:type="pct"/>
            <w:vAlign w:val="center"/>
          </w:tcPr>
          <w:p w:rsidR="00F33725" w:rsidRPr="00931A95" w:rsidP="00931A95" w14:paraId="0BE176ED"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639C1832" w14:textId="5CE9A9FD">
            <w:pPr>
              <w:jc w:val="right"/>
              <w:rPr>
                <w:rFonts w:eastAsia="Calibri"/>
              </w:rPr>
            </w:pPr>
            <w:r w:rsidRPr="14ED6DAE">
              <w:rPr>
                <w:rFonts w:eastAsia="Calibri"/>
              </w:rPr>
              <w:t>1,354</w:t>
            </w:r>
          </w:p>
        </w:tc>
        <w:tc>
          <w:tcPr>
            <w:tcW w:w="771" w:type="pct"/>
            <w:vAlign w:val="center"/>
          </w:tcPr>
          <w:p w:rsidR="00F33725" w:rsidRPr="00931A95" w:rsidP="14ED6DAE" w14:paraId="7659158B" w14:textId="11725D77">
            <w:pPr>
              <w:jc w:val="right"/>
              <w:rPr>
                <w:rFonts w:eastAsia="Calibri"/>
              </w:rPr>
            </w:pPr>
            <w:r w:rsidRPr="14ED6DAE">
              <w:rPr>
                <w:rFonts w:eastAsia="Calibri"/>
              </w:rPr>
              <w:t>40 hrs.; $2,540.80</w:t>
            </w:r>
          </w:p>
        </w:tc>
        <w:tc>
          <w:tcPr>
            <w:tcW w:w="968" w:type="pct"/>
            <w:vAlign w:val="center"/>
          </w:tcPr>
          <w:p w:rsidR="00F33725" w:rsidP="14ED6DAE" w14:paraId="47101E57" w14:textId="32693C78">
            <w:pPr>
              <w:ind w:left="-108" w:right="-108"/>
              <w:jc w:val="right"/>
              <w:rPr>
                <w:rFonts w:eastAsia="Calibri"/>
              </w:rPr>
            </w:pPr>
            <w:r w:rsidRPr="14ED6DAE">
              <w:rPr>
                <w:rFonts w:eastAsia="Calibri"/>
              </w:rPr>
              <w:t>54,160</w:t>
            </w:r>
            <w:r w:rsidRPr="14ED6DAE" w:rsidR="09BE419D">
              <w:rPr>
                <w:rFonts w:eastAsia="Calibri"/>
              </w:rPr>
              <w:t xml:space="preserve"> </w:t>
            </w:r>
            <w:r w:rsidRPr="14ED6DAE" w:rsidR="09BE419D">
              <w:rPr>
                <w:rFonts w:eastAsia="Calibri"/>
              </w:rPr>
              <w:t>hrs.;</w:t>
            </w:r>
          </w:p>
          <w:p w:rsidR="00F33725" w:rsidRPr="00931A95" w:rsidP="14ED6DAE" w14:paraId="529C7E77" w14:textId="1F856EED">
            <w:pPr>
              <w:ind w:left="-108" w:right="-108"/>
              <w:jc w:val="right"/>
              <w:rPr>
                <w:rFonts w:eastAsia="Calibri"/>
              </w:rPr>
            </w:pPr>
            <w:r w:rsidRPr="14ED6DAE">
              <w:rPr>
                <w:rFonts w:eastAsia="Calibri"/>
              </w:rPr>
              <w:t>$</w:t>
            </w:r>
            <w:r w:rsidRPr="14ED6DAE" w:rsidR="5AFDEAAF">
              <w:rPr>
                <w:rFonts w:eastAsia="Calibri"/>
              </w:rPr>
              <w:t>3,440,243</w:t>
            </w:r>
          </w:p>
        </w:tc>
      </w:tr>
      <w:tr w14:paraId="7F5CE820" w14:textId="77777777" w:rsidTr="0031283D">
        <w:tblPrEx>
          <w:tblW w:w="5222" w:type="pct"/>
          <w:tblInd w:w="-72" w:type="dxa"/>
          <w:tblLayout w:type="fixed"/>
          <w:tblLook w:val="01E0"/>
        </w:tblPrEx>
        <w:trPr>
          <w:cantSplit/>
          <w:trHeight w:val="741"/>
        </w:trPr>
        <w:tc>
          <w:tcPr>
            <w:tcW w:w="854" w:type="pct"/>
            <w:vMerge/>
            <w:vAlign w:val="center"/>
          </w:tcPr>
          <w:p w:rsidR="00F33725" w:rsidRPr="00931A95" w:rsidP="00931A95" w14:paraId="179907D3" w14:textId="69DE38A2">
            <w:pPr>
              <w:autoSpaceDE w:val="0"/>
              <w:autoSpaceDN w:val="0"/>
              <w:adjustRightInd w:val="0"/>
              <w:rPr>
                <w:rFonts w:ascii="Helvetica" w:eastAsia="Calibri" w:hAnsi="Helvetica" w:cs="Helvetica"/>
                <w:szCs w:val="26"/>
              </w:rPr>
            </w:pPr>
          </w:p>
        </w:tc>
        <w:tc>
          <w:tcPr>
            <w:tcW w:w="722" w:type="pct"/>
            <w:vAlign w:val="center"/>
          </w:tcPr>
          <w:p w:rsidR="00F33725" w:rsidRPr="00931A95" w:rsidP="14ED6DAE" w14:paraId="64CDD914" w14:textId="6C74CC28">
            <w:pPr>
              <w:jc w:val="right"/>
              <w:rPr>
                <w:rFonts w:eastAsia="Calibri"/>
              </w:rPr>
            </w:pPr>
            <w:r w:rsidRPr="14ED6DAE">
              <w:rPr>
                <w:rFonts w:eastAsia="Calibri"/>
              </w:rPr>
              <w:t>60 (PC)</w:t>
            </w:r>
          </w:p>
        </w:tc>
        <w:tc>
          <w:tcPr>
            <w:tcW w:w="850" w:type="pct"/>
            <w:vAlign w:val="center"/>
          </w:tcPr>
          <w:p w:rsidR="00F33725" w:rsidRPr="00931A95" w:rsidP="00931A95" w14:paraId="480DD3A5"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557D32B0" w14:textId="5F25C620">
            <w:pPr>
              <w:jc w:val="right"/>
              <w:rPr>
                <w:rFonts w:eastAsia="Calibri"/>
              </w:rPr>
            </w:pPr>
            <w:r w:rsidRPr="14ED6DAE">
              <w:rPr>
                <w:rFonts w:eastAsia="Calibri"/>
              </w:rPr>
              <w:t>60</w:t>
            </w:r>
          </w:p>
        </w:tc>
        <w:tc>
          <w:tcPr>
            <w:tcW w:w="771" w:type="pct"/>
            <w:vAlign w:val="center"/>
          </w:tcPr>
          <w:p w:rsidR="00F33725" w:rsidRPr="00931A95" w:rsidP="14ED6DAE" w14:paraId="3F0E6A4C" w14:textId="0DC400E6">
            <w:pPr>
              <w:jc w:val="right"/>
              <w:rPr>
                <w:rFonts w:eastAsia="Calibri"/>
              </w:rPr>
            </w:pPr>
            <w:r w:rsidRPr="14ED6DAE">
              <w:rPr>
                <w:rFonts w:eastAsia="Calibri"/>
              </w:rPr>
              <w:t>40 hrs.; $2,540.80</w:t>
            </w:r>
          </w:p>
        </w:tc>
        <w:tc>
          <w:tcPr>
            <w:tcW w:w="968" w:type="pct"/>
            <w:vAlign w:val="center"/>
          </w:tcPr>
          <w:p w:rsidR="00F33725" w:rsidP="14ED6DAE" w14:paraId="3A98B151" w14:textId="46466585">
            <w:pPr>
              <w:ind w:left="-108"/>
              <w:jc w:val="right"/>
              <w:rPr>
                <w:rFonts w:eastAsia="Calibri"/>
              </w:rPr>
            </w:pPr>
            <w:r w:rsidRPr="14ED6DAE">
              <w:rPr>
                <w:rFonts w:eastAsia="Calibri"/>
              </w:rPr>
              <w:t>2,400</w:t>
            </w:r>
            <w:r w:rsidRPr="14ED6DAE" w:rsidR="09BE419D">
              <w:rPr>
                <w:rFonts w:eastAsia="Calibri"/>
              </w:rPr>
              <w:t xml:space="preserve"> </w:t>
            </w:r>
            <w:r w:rsidRPr="14ED6DAE" w:rsidR="09BE419D">
              <w:rPr>
                <w:rFonts w:eastAsia="Calibri"/>
              </w:rPr>
              <w:t>hrs.;</w:t>
            </w:r>
          </w:p>
          <w:p w:rsidR="00F33725" w:rsidRPr="00931A95" w:rsidP="14ED6DAE" w14:paraId="2710AFB7" w14:textId="3640F065">
            <w:pPr>
              <w:ind w:left="-108"/>
              <w:jc w:val="right"/>
              <w:rPr>
                <w:rFonts w:eastAsia="Calibri"/>
              </w:rPr>
            </w:pPr>
            <w:r w:rsidRPr="14ED6DAE">
              <w:rPr>
                <w:rFonts w:eastAsia="Calibri"/>
              </w:rPr>
              <w:t xml:space="preserve">$ </w:t>
            </w:r>
            <w:r w:rsidRPr="14ED6DAE" w:rsidR="5AFDEAAF">
              <w:rPr>
                <w:rFonts w:eastAsia="Calibri"/>
              </w:rPr>
              <w:t>152,448</w:t>
            </w:r>
          </w:p>
        </w:tc>
      </w:tr>
      <w:tr w14:paraId="778E7705" w14:textId="77777777" w:rsidTr="0031283D">
        <w:tblPrEx>
          <w:tblW w:w="5222" w:type="pct"/>
          <w:tblInd w:w="-72" w:type="dxa"/>
          <w:tblLayout w:type="fixed"/>
          <w:tblLook w:val="01E0"/>
        </w:tblPrEx>
        <w:trPr>
          <w:cantSplit/>
          <w:trHeight w:val="815"/>
        </w:trPr>
        <w:tc>
          <w:tcPr>
            <w:tcW w:w="854" w:type="pct"/>
            <w:vMerge/>
            <w:vAlign w:val="center"/>
          </w:tcPr>
          <w:p w:rsidR="00F33725" w:rsidRPr="00931A95" w:rsidP="00931A95" w14:paraId="2A420644" w14:textId="7A263DC9">
            <w:pPr>
              <w:autoSpaceDE w:val="0"/>
              <w:autoSpaceDN w:val="0"/>
              <w:adjustRightInd w:val="0"/>
              <w:rPr>
                <w:rFonts w:ascii="Helvetica" w:eastAsia="Calibri" w:hAnsi="Helvetica" w:cs="Helvetica"/>
                <w:szCs w:val="26"/>
              </w:rPr>
            </w:pPr>
          </w:p>
        </w:tc>
        <w:tc>
          <w:tcPr>
            <w:tcW w:w="722" w:type="pct"/>
            <w:vAlign w:val="center"/>
          </w:tcPr>
          <w:p w:rsidR="00F33725" w:rsidRPr="00931A95" w:rsidP="14ED6DAE" w14:paraId="41F7353F" w14:textId="0995A93E">
            <w:pPr>
              <w:jc w:val="right"/>
              <w:rPr>
                <w:rFonts w:eastAsia="Calibri"/>
              </w:rPr>
            </w:pPr>
            <w:r w:rsidRPr="14ED6DAE">
              <w:rPr>
                <w:rFonts w:eastAsia="Calibri"/>
              </w:rPr>
              <w:t>300 (DP)</w:t>
            </w:r>
          </w:p>
        </w:tc>
        <w:tc>
          <w:tcPr>
            <w:tcW w:w="850" w:type="pct"/>
            <w:vAlign w:val="center"/>
          </w:tcPr>
          <w:p w:rsidR="00F33725" w:rsidRPr="00931A95" w:rsidP="00931A95" w14:paraId="43C283DC"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18495DD3" w14:textId="20B3190D">
            <w:pPr>
              <w:jc w:val="right"/>
              <w:rPr>
                <w:rFonts w:eastAsia="Calibri"/>
              </w:rPr>
            </w:pPr>
            <w:r w:rsidRPr="14ED6DAE">
              <w:rPr>
                <w:rFonts w:eastAsia="Calibri"/>
              </w:rPr>
              <w:t>300</w:t>
            </w:r>
          </w:p>
        </w:tc>
        <w:tc>
          <w:tcPr>
            <w:tcW w:w="771" w:type="pct"/>
            <w:vAlign w:val="center"/>
          </w:tcPr>
          <w:p w:rsidR="00F33725" w:rsidRPr="00931A95" w:rsidP="14ED6DAE" w14:paraId="51A12564" w14:textId="2A4E0538">
            <w:pPr>
              <w:jc w:val="right"/>
              <w:rPr>
                <w:rFonts w:eastAsia="Calibri"/>
              </w:rPr>
            </w:pPr>
            <w:r w:rsidRPr="14ED6DAE">
              <w:rPr>
                <w:rFonts w:eastAsia="Calibri"/>
              </w:rPr>
              <w:t>40 hrs.; $2,540.80</w:t>
            </w:r>
          </w:p>
        </w:tc>
        <w:tc>
          <w:tcPr>
            <w:tcW w:w="968" w:type="pct"/>
            <w:vAlign w:val="center"/>
          </w:tcPr>
          <w:p w:rsidR="00F33725" w:rsidRPr="00931A95" w:rsidP="14ED6DAE" w14:paraId="2E2460F2" w14:textId="5FED8A89">
            <w:pPr>
              <w:ind w:left="-108"/>
              <w:jc w:val="right"/>
              <w:rPr>
                <w:rFonts w:eastAsia="Calibri"/>
              </w:rPr>
            </w:pPr>
            <w:r w:rsidRPr="14ED6DAE">
              <w:rPr>
                <w:rFonts w:eastAsia="Calibri"/>
              </w:rPr>
              <w:t>12,000</w:t>
            </w:r>
            <w:r w:rsidRPr="14ED6DAE" w:rsidR="09BE419D">
              <w:rPr>
                <w:rFonts w:eastAsia="Calibri"/>
              </w:rPr>
              <w:t xml:space="preserve"> hrs.; $</w:t>
            </w:r>
            <w:r w:rsidRPr="14ED6DAE">
              <w:rPr>
                <w:rFonts w:eastAsia="Calibri"/>
              </w:rPr>
              <w:t>762,240</w:t>
            </w:r>
          </w:p>
        </w:tc>
      </w:tr>
      <w:tr w14:paraId="6499E696" w14:textId="77777777" w:rsidTr="0031283D">
        <w:tblPrEx>
          <w:tblW w:w="5222" w:type="pct"/>
          <w:tblInd w:w="-72" w:type="dxa"/>
          <w:tblLayout w:type="fixed"/>
          <w:tblLook w:val="01E0"/>
        </w:tblPrEx>
        <w:trPr>
          <w:cantSplit/>
          <w:trHeight w:val="731"/>
        </w:trPr>
        <w:tc>
          <w:tcPr>
            <w:tcW w:w="854" w:type="pct"/>
            <w:vMerge/>
            <w:vAlign w:val="center"/>
          </w:tcPr>
          <w:p w:rsidR="00F33725" w:rsidRPr="00931A95" w:rsidP="00931A95" w14:paraId="2F78FD31" w14:textId="3BB0B00A">
            <w:pPr>
              <w:autoSpaceDE w:val="0"/>
              <w:autoSpaceDN w:val="0"/>
              <w:adjustRightInd w:val="0"/>
            </w:pPr>
          </w:p>
        </w:tc>
        <w:tc>
          <w:tcPr>
            <w:tcW w:w="722" w:type="pct"/>
            <w:vAlign w:val="center"/>
          </w:tcPr>
          <w:p w:rsidR="00F33725" w:rsidRPr="00931A95" w:rsidP="00931A95" w14:paraId="4F961CBD" w14:textId="3ECCF389">
            <w:pPr>
              <w:jc w:val="right"/>
            </w:pPr>
            <w:r>
              <w:t>341 (TO)</w:t>
            </w:r>
          </w:p>
        </w:tc>
        <w:tc>
          <w:tcPr>
            <w:tcW w:w="850" w:type="pct"/>
            <w:vAlign w:val="center"/>
          </w:tcPr>
          <w:p w:rsidR="00F33725" w:rsidRPr="00931A95" w:rsidP="00931A95" w14:paraId="4CD953A1" w14:textId="77777777">
            <w:pPr>
              <w:jc w:val="right"/>
            </w:pPr>
            <w:r w:rsidRPr="00931A95">
              <w:t>1</w:t>
            </w:r>
          </w:p>
        </w:tc>
        <w:tc>
          <w:tcPr>
            <w:tcW w:w="835" w:type="pct"/>
            <w:vAlign w:val="center"/>
          </w:tcPr>
          <w:p w:rsidR="00F33725" w:rsidRPr="00931A95" w:rsidP="00931A95" w14:paraId="486A2094" w14:textId="67698D4A">
            <w:pPr>
              <w:jc w:val="right"/>
            </w:pPr>
            <w:r>
              <w:t>341</w:t>
            </w:r>
          </w:p>
        </w:tc>
        <w:tc>
          <w:tcPr>
            <w:tcW w:w="771" w:type="pct"/>
            <w:vAlign w:val="center"/>
          </w:tcPr>
          <w:p w:rsidR="00F33725" w:rsidRPr="00931A95" w:rsidP="14ED6DAE" w14:paraId="2A70A67B" w14:textId="3C767ED0">
            <w:pPr>
              <w:jc w:val="right"/>
              <w:rPr>
                <w:rFonts w:eastAsia="Calibri"/>
              </w:rPr>
            </w:pPr>
            <w:r w:rsidRPr="14ED6DAE">
              <w:rPr>
                <w:rFonts w:eastAsia="Calibri"/>
              </w:rPr>
              <w:t>40 hrs.; $2,540.80</w:t>
            </w:r>
          </w:p>
        </w:tc>
        <w:tc>
          <w:tcPr>
            <w:tcW w:w="968" w:type="pct"/>
            <w:vAlign w:val="center"/>
          </w:tcPr>
          <w:p w:rsidR="00F33725" w:rsidP="14ED6DAE" w14:paraId="733C783F" w14:textId="1524DED1">
            <w:pPr>
              <w:ind w:left="-108"/>
              <w:jc w:val="right"/>
            </w:pPr>
            <w:r>
              <w:t>13,640</w:t>
            </w:r>
            <w:r w:rsidR="09BE419D">
              <w:t xml:space="preserve"> </w:t>
            </w:r>
            <w:r w:rsidR="09BE419D">
              <w:t>hrs.;</w:t>
            </w:r>
          </w:p>
          <w:p w:rsidR="00F33725" w:rsidRPr="00931A95" w:rsidP="14ED6DAE" w14:paraId="3EAF98EC" w14:textId="2F5AA652">
            <w:pPr>
              <w:ind w:left="-108"/>
              <w:jc w:val="right"/>
            </w:pPr>
            <w:r>
              <w:t>$</w:t>
            </w:r>
            <w:r w:rsidR="5AFDEAAF">
              <w:t>866,413</w:t>
            </w:r>
          </w:p>
        </w:tc>
      </w:tr>
      <w:tr w14:paraId="2034DE4A" w14:textId="77777777" w:rsidTr="0031283D">
        <w:tblPrEx>
          <w:tblW w:w="5222" w:type="pct"/>
          <w:tblInd w:w="-72" w:type="dxa"/>
          <w:tblLayout w:type="fixed"/>
          <w:tblLook w:val="01E0"/>
        </w:tblPrEx>
        <w:trPr>
          <w:cantSplit/>
          <w:trHeight w:val="824"/>
        </w:trPr>
        <w:tc>
          <w:tcPr>
            <w:tcW w:w="854" w:type="pct"/>
            <w:tcBorders>
              <w:bottom w:val="single" w:sz="4" w:space="0" w:color="auto"/>
            </w:tcBorders>
          </w:tcPr>
          <w:p w:rsidR="00F33725" w:rsidRPr="00931A95" w:rsidP="14ED6DAE" w14:paraId="7F2FE2C7" w14:textId="0B54DDE4">
            <w:pPr>
              <w:rPr>
                <w:rFonts w:eastAsia="Calibri"/>
                <w:b/>
                <w:bCs/>
              </w:rPr>
            </w:pPr>
            <w:r w:rsidRPr="14ED6DAE">
              <w:rPr>
                <w:rFonts w:eastAsia="Calibri"/>
                <w:b/>
                <w:bCs/>
              </w:rPr>
              <w:t>TOTAL</w:t>
            </w:r>
            <w:r w:rsidRPr="14ED6DAE" w:rsidR="00DC6796">
              <w:rPr>
                <w:rFonts w:eastAsia="Calibri"/>
                <w:b/>
                <w:bCs/>
              </w:rPr>
              <w:t xml:space="preserve"> for TPL-007-4</w:t>
            </w:r>
          </w:p>
        </w:tc>
        <w:tc>
          <w:tcPr>
            <w:tcW w:w="1572" w:type="pct"/>
            <w:gridSpan w:val="2"/>
            <w:tcBorders>
              <w:bottom w:val="single" w:sz="4" w:space="0" w:color="auto"/>
            </w:tcBorders>
            <w:shd w:val="clear" w:color="auto" w:fill="D9D9D9" w:themeFill="background1" w:themeFillShade="D9"/>
          </w:tcPr>
          <w:p w:rsidR="00F33725" w:rsidRPr="00931A95" w:rsidP="00931A95" w14:paraId="6B1BE7C6" w14:textId="77777777">
            <w:pPr>
              <w:jc w:val="right"/>
              <w:rPr>
                <w:rFonts w:eastAsia="Calibri"/>
                <w:sz w:val="20"/>
                <w:szCs w:val="20"/>
              </w:rPr>
            </w:pPr>
          </w:p>
        </w:tc>
        <w:tc>
          <w:tcPr>
            <w:tcW w:w="835" w:type="pct"/>
            <w:tcBorders>
              <w:bottom w:val="single" w:sz="4" w:space="0" w:color="auto"/>
            </w:tcBorders>
          </w:tcPr>
          <w:p w:rsidR="00F33725" w:rsidRPr="00931A95" w:rsidP="14ED6DAE" w14:paraId="28977DF5" w14:textId="5FB4A55F">
            <w:pPr>
              <w:jc w:val="right"/>
              <w:rPr>
                <w:rFonts w:eastAsia="Calibri"/>
                <w:b/>
                <w:bCs/>
              </w:rPr>
            </w:pPr>
            <w:r w:rsidRPr="14ED6DAE">
              <w:rPr>
                <w:rFonts w:eastAsia="Calibri"/>
                <w:b/>
                <w:bCs/>
              </w:rPr>
              <w:t>2,055</w:t>
            </w:r>
          </w:p>
        </w:tc>
        <w:tc>
          <w:tcPr>
            <w:tcW w:w="771" w:type="pct"/>
            <w:tcBorders>
              <w:bottom w:val="single" w:sz="4" w:space="0" w:color="auto"/>
            </w:tcBorders>
            <w:shd w:val="clear" w:color="auto" w:fill="D9D9D9" w:themeFill="background1" w:themeFillShade="D9"/>
          </w:tcPr>
          <w:p w:rsidR="00F33725" w:rsidRPr="00931A95" w:rsidP="00931A95" w14:paraId="56C7F08D" w14:textId="77777777">
            <w:pPr>
              <w:jc w:val="right"/>
              <w:rPr>
                <w:rFonts w:eastAsia="Calibri"/>
                <w:szCs w:val="26"/>
              </w:rPr>
            </w:pPr>
          </w:p>
        </w:tc>
        <w:tc>
          <w:tcPr>
            <w:tcW w:w="968" w:type="pct"/>
            <w:tcBorders>
              <w:bottom w:val="single" w:sz="4" w:space="0" w:color="auto"/>
            </w:tcBorders>
          </w:tcPr>
          <w:p w:rsidR="00F33725" w:rsidRPr="00931A95" w:rsidP="14ED6DAE" w14:paraId="764A779A" w14:textId="0EB2614A">
            <w:pPr>
              <w:ind w:left="-108"/>
              <w:jc w:val="right"/>
              <w:rPr>
                <w:rFonts w:eastAsia="Calibri"/>
                <w:b/>
                <w:bCs/>
              </w:rPr>
            </w:pPr>
            <w:r w:rsidRPr="14ED6DAE">
              <w:rPr>
                <w:rFonts w:eastAsia="Calibri"/>
                <w:b/>
                <w:bCs/>
              </w:rPr>
              <w:t>82,200</w:t>
            </w:r>
            <w:r w:rsidRPr="14ED6DAE" w:rsidR="09BE419D">
              <w:rPr>
                <w:rFonts w:eastAsia="Calibri"/>
                <w:b/>
                <w:bCs/>
              </w:rPr>
              <w:t xml:space="preserve"> </w:t>
            </w:r>
            <w:r w:rsidRPr="14ED6DAE" w:rsidR="09BE419D">
              <w:rPr>
                <w:rFonts w:eastAsia="Calibri"/>
                <w:b/>
                <w:bCs/>
              </w:rPr>
              <w:t>hours;</w:t>
            </w:r>
          </w:p>
          <w:p w:rsidR="00F33725" w:rsidRPr="00931A95" w:rsidP="14ED6DAE" w14:paraId="5258E506" w14:textId="496D7E7A">
            <w:pPr>
              <w:ind w:left="-108"/>
              <w:jc w:val="right"/>
              <w:rPr>
                <w:rFonts w:eastAsia="Calibri"/>
                <w:b/>
                <w:bCs/>
              </w:rPr>
            </w:pPr>
            <w:r w:rsidRPr="14ED6DAE">
              <w:rPr>
                <w:rFonts w:eastAsia="Calibri"/>
                <w:b/>
                <w:bCs/>
              </w:rPr>
              <w:t>$</w:t>
            </w:r>
            <w:r w:rsidRPr="14ED6DAE" w:rsidR="5AFDEAAF">
              <w:rPr>
                <w:rFonts w:eastAsia="Calibri"/>
                <w:b/>
                <w:bCs/>
              </w:rPr>
              <w:t>5,221,344</w:t>
            </w:r>
          </w:p>
        </w:tc>
      </w:tr>
      <w:bookmarkEnd w:id="6"/>
    </w:tbl>
    <w:p w:rsidR="00974659" w:rsidP="002906E5" w14:paraId="56D1D041" w14:textId="77777777">
      <w:pPr>
        <w:autoSpaceDE w:val="0"/>
        <w:autoSpaceDN w:val="0"/>
        <w:adjustRightInd w:val="0"/>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t xml:space="preserve">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1A1ACCA5">
      <w:pPr>
        <w:ind w:firstLine="2174"/>
        <w:jc w:val="center"/>
      </w:pPr>
      <w:r>
        <w:t>Debbie</w:t>
      </w:r>
      <w:r w:rsidR="0031283D">
        <w:t>-</w:t>
      </w:r>
      <w:r>
        <w:t>Ann</w:t>
      </w:r>
      <w:r w:rsidR="0031283D">
        <w:t>e</w:t>
      </w:r>
      <w:r w:rsidR="00AC7116">
        <w:t>.</w:t>
      </w:r>
      <w:r w:rsidR="0031283D">
        <w:t xml:space="preserve"> </w:t>
      </w:r>
      <w:r>
        <w:t>Reese</w:t>
      </w:r>
      <w:r w:rsidRPr="00AB4DBF">
        <w:t>,</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33F" w:rsidP="00B01B16" w14:paraId="524B0107" w14:textId="77777777">
      <w:r>
        <w:separator/>
      </w:r>
    </w:p>
  </w:footnote>
  <w:footnote w:type="continuationSeparator" w:id="1">
    <w:p w:rsidR="0005533F" w:rsidP="00B01B16" w14:paraId="3C03ABBB" w14:textId="77777777">
      <w:r>
        <w:continuationSeparator/>
      </w:r>
    </w:p>
  </w:footnote>
  <w:footnote w:type="continuationNotice" w:id="2">
    <w:p w:rsidR="0005533F" w14:paraId="70C2802E" w14:textId="77777777"/>
  </w:footnote>
  <w:footnote w:id="3">
    <w:p w:rsidR="00931A95" w:rsidRPr="0070711F" w:rsidP="00931A95" w14:paraId="27407994" w14:textId="77777777">
      <w:pPr>
        <w:pStyle w:val="FootnoteText"/>
        <w:spacing w:after="260"/>
        <w:ind w:firstLine="720"/>
        <w:rPr>
          <w:sz w:val="26"/>
          <w:szCs w:val="26"/>
        </w:rPr>
      </w:pPr>
      <w:r w:rsidRPr="0070711F">
        <w:rPr>
          <w:rStyle w:val="FootnoteReference"/>
        </w:rPr>
        <w:footnoteRef/>
      </w:r>
      <w:r w:rsidRPr="0070711F">
        <w:rPr>
          <w:sz w:val="26"/>
          <w:szCs w:val="26"/>
        </w:rPr>
        <w:t xml:space="preserve"> Energy Policy Act of 2005, Pub. L. No. 109-58, Title XII, Subtitle A, 119 Stat. </w:t>
      </w:r>
      <w:r>
        <w:rPr>
          <w:sz w:val="26"/>
          <w:szCs w:val="26"/>
        </w:rPr>
        <w:t xml:space="preserve">        </w:t>
      </w:r>
      <w:r w:rsidRPr="0070711F">
        <w:rPr>
          <w:sz w:val="26"/>
          <w:szCs w:val="26"/>
        </w:rPr>
        <w:t>594, 941 (codified at 16 U.S.C. 824</w:t>
      </w:r>
      <w:r w:rsidRPr="0070711F">
        <w:rPr>
          <w:i/>
          <w:sz w:val="26"/>
          <w:szCs w:val="26"/>
        </w:rPr>
        <w:t>o</w:t>
      </w:r>
      <w:r w:rsidRPr="0070711F">
        <w:rPr>
          <w:sz w:val="26"/>
          <w:szCs w:val="26"/>
        </w:rPr>
        <w:t>).</w:t>
      </w:r>
    </w:p>
  </w:footnote>
  <w:footnote w:id="4">
    <w:p w:rsidR="00931A95" w:rsidRPr="001F4B09" w:rsidP="00931A95" w14:paraId="6F84DB2F" w14:textId="77777777">
      <w:pPr>
        <w:pStyle w:val="FootnoteText"/>
        <w:spacing w:after="260"/>
        <w:ind w:firstLine="720"/>
        <w:rPr>
          <w:sz w:val="26"/>
          <w:szCs w:val="26"/>
        </w:rPr>
      </w:pPr>
      <w:r w:rsidRPr="001F4B09">
        <w:rPr>
          <w:rStyle w:val="FootnoteReference"/>
        </w:rPr>
        <w:footnoteRef/>
      </w:r>
      <w:r w:rsidRPr="001F4B09">
        <w:rPr>
          <w:sz w:val="26"/>
          <w:szCs w:val="26"/>
        </w:rPr>
        <w:t xml:space="preserve">  16 U.S.C. 824</w:t>
      </w:r>
      <w:r w:rsidRPr="001F4B09">
        <w:rPr>
          <w:i/>
          <w:sz w:val="26"/>
          <w:szCs w:val="26"/>
        </w:rPr>
        <w:t>o</w:t>
      </w:r>
      <w:r w:rsidRPr="001F4B09">
        <w:rPr>
          <w:sz w:val="26"/>
          <w:szCs w:val="26"/>
        </w:rPr>
        <w:t>(e)(3).</w:t>
      </w:r>
    </w:p>
  </w:footnote>
  <w:footnote w:id="5">
    <w:p w:rsidR="00931A95" w:rsidRPr="001F4B09" w:rsidP="00931A95" w14:paraId="56D991A9" w14:textId="77777777">
      <w:pPr>
        <w:pStyle w:val="FootnoteText"/>
        <w:keepLines/>
        <w:spacing w:after="260"/>
        <w:ind w:firstLine="720"/>
        <w:rPr>
          <w:sz w:val="26"/>
          <w:szCs w:val="26"/>
        </w:rPr>
      </w:pPr>
      <w:r w:rsidRPr="001F4B09">
        <w:rPr>
          <w:rStyle w:val="FootnoteReference"/>
        </w:rPr>
        <w:footnoteRef/>
      </w:r>
      <w:r w:rsidRPr="001F4B09">
        <w:rPr>
          <w:sz w:val="26"/>
          <w:szCs w:val="26"/>
        </w:rPr>
        <w:t xml:space="preserve">  </w:t>
      </w:r>
      <w:r w:rsidRPr="001F4B09">
        <w:rPr>
          <w:i/>
          <w:iCs/>
          <w:sz w:val="26"/>
          <w:szCs w:val="26"/>
        </w:rPr>
        <w:t>Rules Concerning Certification of the Electric Reliability Organization; and Procedures for the Establishment, Approval, and Enforcement of Electric Reliability Standards</w:t>
      </w:r>
      <w:r w:rsidRPr="001F4B09">
        <w:rPr>
          <w:sz w:val="26"/>
          <w:szCs w:val="26"/>
        </w:rPr>
        <w:t xml:space="preserve">, Order No. 672, FERC Stats. &amp; Regs. ¶ 31,204, </w:t>
      </w:r>
      <w:r w:rsidRPr="001F4B09">
        <w:rPr>
          <w:i/>
          <w:iCs/>
          <w:sz w:val="26"/>
          <w:szCs w:val="26"/>
        </w:rPr>
        <w:t>order on reh’g</w:t>
      </w:r>
      <w:r w:rsidRPr="001F4B09">
        <w:rPr>
          <w:sz w:val="26"/>
          <w:szCs w:val="26"/>
        </w:rPr>
        <w:t>, Order No. 672-A, FERC Stats. &amp; Regs. ¶ 31,212 (2006).</w:t>
      </w:r>
    </w:p>
  </w:footnote>
  <w:footnote w:id="6">
    <w:p w:rsidR="00931A95" w:rsidRPr="001F4B09" w:rsidP="00931A95" w14:paraId="73B5D656" w14:textId="77777777">
      <w:pPr>
        <w:pStyle w:val="FootnoteText"/>
        <w:spacing w:after="260"/>
        <w:ind w:firstLine="720"/>
        <w:rPr>
          <w:sz w:val="26"/>
          <w:szCs w:val="26"/>
        </w:rPr>
      </w:pPr>
      <w:r w:rsidRPr="001F4B09">
        <w:rPr>
          <w:rStyle w:val="FootnoteReference"/>
        </w:rPr>
        <w:footnoteRef/>
      </w:r>
      <w:r w:rsidRPr="001F4B09">
        <w:rPr>
          <w:sz w:val="26"/>
          <w:szCs w:val="26"/>
        </w:rPr>
        <w:t xml:space="preserve">  </w:t>
      </w:r>
      <w:r w:rsidRPr="001F4B09">
        <w:rPr>
          <w:i/>
          <w:sz w:val="26"/>
          <w:szCs w:val="26"/>
        </w:rPr>
        <w:t>North American Electric Reliability Corp</w:t>
      </w:r>
      <w:r w:rsidRPr="001F4B09">
        <w:rPr>
          <w:sz w:val="26"/>
          <w:szCs w:val="26"/>
        </w:rPr>
        <w:t xml:space="preserve">., 116 FERC ¶ 61,062, </w:t>
      </w:r>
      <w:r w:rsidRPr="001F4B09">
        <w:rPr>
          <w:i/>
          <w:sz w:val="26"/>
          <w:szCs w:val="26"/>
        </w:rPr>
        <w:t>order on reh’g and compliance</w:t>
      </w:r>
      <w:r w:rsidRPr="001F4B09">
        <w:rPr>
          <w:sz w:val="26"/>
          <w:szCs w:val="26"/>
        </w:rPr>
        <w:t>, 117 FERC ¶ 61,126 (2006),</w:t>
      </w:r>
      <w:r w:rsidRPr="001F4B09">
        <w:rPr>
          <w:i/>
          <w:sz w:val="26"/>
          <w:szCs w:val="26"/>
        </w:rPr>
        <w:t xml:space="preserve"> order on compliance</w:t>
      </w:r>
      <w:r w:rsidRPr="001F4B09">
        <w:rPr>
          <w:sz w:val="26"/>
          <w:szCs w:val="26"/>
        </w:rPr>
        <w:t xml:space="preserve">, 118 FERC ¶ 61,190, </w:t>
      </w:r>
      <w:r w:rsidRPr="001F4B09">
        <w:rPr>
          <w:i/>
          <w:sz w:val="26"/>
          <w:szCs w:val="26"/>
        </w:rPr>
        <w:t>order on reh’g</w:t>
      </w:r>
      <w:r w:rsidRPr="001F4B09">
        <w:rPr>
          <w:sz w:val="26"/>
          <w:szCs w:val="26"/>
        </w:rPr>
        <w:t xml:space="preserve">, 119 FERC ¶ 61,046 (2007), </w:t>
      </w:r>
      <w:r w:rsidRPr="001F4B09">
        <w:rPr>
          <w:i/>
          <w:sz w:val="26"/>
          <w:szCs w:val="26"/>
        </w:rPr>
        <w:t>aff’d sub nom. Alcoa Inc. v. FERC</w:t>
      </w:r>
      <w:r w:rsidRPr="001F4B09">
        <w:rPr>
          <w:sz w:val="26"/>
          <w:szCs w:val="26"/>
        </w:rPr>
        <w:t>, 564 F.3d 1342 (D.C. Cir. 2009).</w:t>
      </w:r>
    </w:p>
  </w:footnote>
  <w:footnote w:id="7">
    <w:p w:rsidR="00931A95" w:rsidRPr="001F4B09" w:rsidP="00931A95" w14:paraId="21EC8832" w14:textId="77777777">
      <w:pPr>
        <w:pStyle w:val="FootnoteText"/>
        <w:ind w:firstLine="720"/>
        <w:rPr>
          <w:sz w:val="26"/>
          <w:szCs w:val="26"/>
        </w:rPr>
      </w:pPr>
      <w:r w:rsidRPr="001F4B09">
        <w:rPr>
          <w:rStyle w:val="FootnoteReference"/>
        </w:rPr>
        <w:footnoteRef/>
      </w:r>
      <w:r w:rsidRPr="001F4B09">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rsidR="00931A95" w:rsidRPr="004C19E9" w:rsidP="00931A95" w14:paraId="0A31AFD2" w14:textId="77777777">
      <w:pPr>
        <w:pStyle w:val="FootnoteText"/>
        <w:rPr>
          <w:sz w:val="26"/>
          <w:szCs w:val="26"/>
        </w:rPr>
      </w:pPr>
    </w:p>
  </w:footnote>
  <w:footnote w:id="8">
    <w:p w:rsidR="00931A95" w:rsidRPr="004C19E9" w:rsidP="00931A95" w14:paraId="2F32D3F9" w14:textId="2A860BD9">
      <w:pPr>
        <w:pStyle w:val="FootnoteText"/>
        <w:ind w:firstLine="720"/>
        <w:rPr>
          <w:sz w:val="26"/>
          <w:szCs w:val="26"/>
        </w:rPr>
      </w:pPr>
      <w:r w:rsidRPr="00A2003C">
        <w:rPr>
          <w:rStyle w:val="FootnoteReference"/>
        </w:rPr>
        <w:footnoteRef/>
      </w:r>
      <w:r w:rsidR="14ED6DAE">
        <w:rPr>
          <w:sz w:val="26"/>
          <w:szCs w:val="26"/>
        </w:rPr>
        <w:t xml:space="preserve"> </w:t>
      </w:r>
      <w:r w:rsidRPr="00100628" w:rsidR="14ED6DAE">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 $40.51/hr., $40.51 x .25 = 10.1275 ($10.13 rounded) ($10.13/hour), for a total ($53.39+$10.13 = $63.52/hour).</w:t>
      </w:r>
      <w:bookmarkStart w:id="5" w:name="_Hlk38878426"/>
      <w:bookmarkEnd w:id="5"/>
      <w:r w:rsidRPr="004C19E9" w:rsidR="14ED6DAE">
        <w:rPr>
          <w:sz w:val="26"/>
          <w:szCs w:val="26"/>
        </w:rPr>
        <w:t xml:space="preserve"> </w:t>
      </w:r>
    </w:p>
  </w:footnote>
  <w:footnote w:id="9">
    <w:p w:rsidR="00F33725" w:rsidRPr="00067898" w:rsidP="14ED6DAE" w14:paraId="7D1B042A" w14:textId="77A6A851">
      <w:pPr>
        <w:pStyle w:val="FootnoteText"/>
        <w:ind w:firstLine="720"/>
        <w:rPr>
          <w:sz w:val="26"/>
          <w:szCs w:val="26"/>
        </w:rPr>
      </w:pPr>
      <w:r>
        <w:rPr>
          <w:rStyle w:val="FootnoteReference"/>
        </w:rPr>
        <w:footnoteRef/>
      </w:r>
      <w:r w:rsidR="14ED6DAE">
        <w:t xml:space="preserve"> </w:t>
      </w:r>
      <w:r w:rsidRPr="00067898" w:rsidR="14ED6DAE">
        <w:rPr>
          <w:sz w:val="26"/>
          <w:szCs w:val="26"/>
        </w:rPr>
        <w:t>The “Number of Entity” data is compiled from the February 9, 2026, edition of the NERC Compliance Registry.  “DP” means distribution provided; “GOP” means generator operator; “PC” means planning coordinator; “TO” means transmission owner.”</w:t>
      </w:r>
    </w:p>
  </w:footnote>
  <w:footnote w:id="10">
    <w:p w:rsidR="00F33725" w:rsidRPr="00C00FB2" w:rsidP="00931A95" w14:paraId="6BF889AD" w14:textId="77777777">
      <w:pPr>
        <w:pStyle w:val="FootnoteText"/>
        <w:ind w:firstLine="720"/>
        <w:rPr>
          <w:sz w:val="26"/>
          <w:szCs w:val="26"/>
        </w:rPr>
      </w:pPr>
    </w:p>
  </w:footnote>
  <w:footnote w:id="11">
    <w:p w:rsidR="00F33725" w:rsidRPr="00C00FB2" w:rsidP="00931A95" w14:paraId="38C6B5DF" w14:textId="77777777">
      <w:pPr>
        <w:pStyle w:val="FootnoteText"/>
        <w:ind w:firstLine="720"/>
        <w:rPr>
          <w:sz w:val="26"/>
          <w:szCs w:val="26"/>
        </w:rPr>
      </w:pPr>
    </w:p>
  </w:footnote>
  <w:footnote w:id="12">
    <w:p w:rsidR="00F33725" w:rsidRPr="00C00FB2" w:rsidP="00931A95" w14:paraId="3A3C07F3" w14:textId="77777777">
      <w:pPr>
        <w:pStyle w:val="FootnoteText"/>
        <w:ind w:firstLine="72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2D4B3ED">
        <w:pPr>
          <w:pStyle w:val="Header"/>
        </w:pPr>
        <w:r>
          <w:t>Docket No. IC26-19-000</w:t>
        </w:r>
        <w:r w:rsidR="00DC6796">
          <w:tab/>
        </w:r>
        <w:r w:rsidRPr="14ED6DAE" w:rsidR="00DC6796">
          <w:rPr>
            <w:noProof/>
          </w:rPr>
          <w:fldChar w:fldCharType="begin"/>
        </w:r>
        <w:r w:rsidR="00DC6796">
          <w:instrText xml:space="preserve"> PAGE   \* MERGEFORMAT </w:instrText>
        </w:r>
        <w:r w:rsidRPr="14ED6DAE" w:rsidR="00DC6796">
          <w:fldChar w:fldCharType="separate"/>
        </w:r>
        <w:r w:rsidRPr="14ED6DAE">
          <w:rPr>
            <w:noProof/>
          </w:rPr>
          <w:t>4</w:t>
        </w:r>
        <w:r w:rsidRPr="14ED6DAE" w:rsidR="00DC6796">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06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846">
    <w:abstractNumId w:val="4"/>
  </w:num>
  <w:num w:numId="3" w16cid:durableId="593631767">
    <w:abstractNumId w:val="9"/>
  </w:num>
  <w:num w:numId="4" w16cid:durableId="672268589">
    <w:abstractNumId w:val="6"/>
  </w:num>
  <w:num w:numId="5" w16cid:durableId="1754089136">
    <w:abstractNumId w:val="14"/>
  </w:num>
  <w:num w:numId="6" w16cid:durableId="897009011">
    <w:abstractNumId w:val="2"/>
  </w:num>
  <w:num w:numId="7" w16cid:durableId="887685765">
    <w:abstractNumId w:val="10"/>
  </w:num>
  <w:num w:numId="8" w16cid:durableId="532616934">
    <w:abstractNumId w:val="1"/>
  </w:num>
  <w:num w:numId="9" w16cid:durableId="554781200">
    <w:abstractNumId w:val="8"/>
  </w:num>
  <w:num w:numId="10" w16cid:durableId="313682706">
    <w:abstractNumId w:val="13"/>
  </w:num>
  <w:num w:numId="11" w16cid:durableId="730156057">
    <w:abstractNumId w:val="3"/>
  </w:num>
  <w:num w:numId="12" w16cid:durableId="667175882">
    <w:abstractNumId w:val="11"/>
  </w:num>
  <w:num w:numId="13" w16cid:durableId="719014342">
    <w:abstractNumId w:val="0"/>
  </w:num>
  <w:num w:numId="14" w16cid:durableId="1552040849">
    <w:abstractNumId w:val="12"/>
  </w:num>
  <w:num w:numId="15" w16cid:durableId="133715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3427"/>
    <w:rsid w:val="000379D6"/>
    <w:rsid w:val="00042F33"/>
    <w:rsid w:val="00045589"/>
    <w:rsid w:val="000459B6"/>
    <w:rsid w:val="0005167F"/>
    <w:rsid w:val="0005533F"/>
    <w:rsid w:val="000578D5"/>
    <w:rsid w:val="00062427"/>
    <w:rsid w:val="0006681D"/>
    <w:rsid w:val="00067898"/>
    <w:rsid w:val="00072E34"/>
    <w:rsid w:val="00077A08"/>
    <w:rsid w:val="00082413"/>
    <w:rsid w:val="00084E3D"/>
    <w:rsid w:val="0008692A"/>
    <w:rsid w:val="00097607"/>
    <w:rsid w:val="000A0250"/>
    <w:rsid w:val="000A2903"/>
    <w:rsid w:val="000A2EAD"/>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0628"/>
    <w:rsid w:val="00104916"/>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E4F0C"/>
    <w:rsid w:val="001F00EE"/>
    <w:rsid w:val="001F1CDF"/>
    <w:rsid w:val="001F4B09"/>
    <w:rsid w:val="001F5A3B"/>
    <w:rsid w:val="00202E41"/>
    <w:rsid w:val="0020446B"/>
    <w:rsid w:val="00207AE7"/>
    <w:rsid w:val="00211105"/>
    <w:rsid w:val="002131D0"/>
    <w:rsid w:val="00213696"/>
    <w:rsid w:val="00220541"/>
    <w:rsid w:val="00222744"/>
    <w:rsid w:val="00223204"/>
    <w:rsid w:val="00224BF8"/>
    <w:rsid w:val="00224DD2"/>
    <w:rsid w:val="00237AB9"/>
    <w:rsid w:val="0024271E"/>
    <w:rsid w:val="0024309C"/>
    <w:rsid w:val="0024309D"/>
    <w:rsid w:val="0024458A"/>
    <w:rsid w:val="00253F98"/>
    <w:rsid w:val="00255501"/>
    <w:rsid w:val="00257CC2"/>
    <w:rsid w:val="00262096"/>
    <w:rsid w:val="00265B23"/>
    <w:rsid w:val="00266431"/>
    <w:rsid w:val="002673C4"/>
    <w:rsid w:val="00274ABD"/>
    <w:rsid w:val="00285356"/>
    <w:rsid w:val="002906E5"/>
    <w:rsid w:val="00292A4C"/>
    <w:rsid w:val="00297211"/>
    <w:rsid w:val="002A1554"/>
    <w:rsid w:val="002B5874"/>
    <w:rsid w:val="002C2C8B"/>
    <w:rsid w:val="002C3223"/>
    <w:rsid w:val="002C3579"/>
    <w:rsid w:val="002C5E0E"/>
    <w:rsid w:val="002D17E5"/>
    <w:rsid w:val="002D57E8"/>
    <w:rsid w:val="002E06A0"/>
    <w:rsid w:val="002E1C29"/>
    <w:rsid w:val="002E5FF0"/>
    <w:rsid w:val="002E68D4"/>
    <w:rsid w:val="002E6DAA"/>
    <w:rsid w:val="002E7818"/>
    <w:rsid w:val="002F1BDD"/>
    <w:rsid w:val="002F3236"/>
    <w:rsid w:val="002F4401"/>
    <w:rsid w:val="002F708A"/>
    <w:rsid w:val="00301E3D"/>
    <w:rsid w:val="00303516"/>
    <w:rsid w:val="00306318"/>
    <w:rsid w:val="00311D90"/>
    <w:rsid w:val="0031283D"/>
    <w:rsid w:val="00314219"/>
    <w:rsid w:val="003149BC"/>
    <w:rsid w:val="003312BF"/>
    <w:rsid w:val="0033340D"/>
    <w:rsid w:val="00336AD9"/>
    <w:rsid w:val="00340D3C"/>
    <w:rsid w:val="0035073D"/>
    <w:rsid w:val="00353270"/>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C7D47"/>
    <w:rsid w:val="003D0BB4"/>
    <w:rsid w:val="003D1CA7"/>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63C2"/>
    <w:rsid w:val="00407BCE"/>
    <w:rsid w:val="00410A8B"/>
    <w:rsid w:val="00411B62"/>
    <w:rsid w:val="00413AA8"/>
    <w:rsid w:val="00413FDE"/>
    <w:rsid w:val="004177CD"/>
    <w:rsid w:val="0042688C"/>
    <w:rsid w:val="0042765E"/>
    <w:rsid w:val="00427AE5"/>
    <w:rsid w:val="004417C4"/>
    <w:rsid w:val="00441F16"/>
    <w:rsid w:val="00443282"/>
    <w:rsid w:val="004445C8"/>
    <w:rsid w:val="00447C9E"/>
    <w:rsid w:val="00450D64"/>
    <w:rsid w:val="004562F1"/>
    <w:rsid w:val="004628F2"/>
    <w:rsid w:val="00465456"/>
    <w:rsid w:val="00471921"/>
    <w:rsid w:val="00480D2D"/>
    <w:rsid w:val="00483AF2"/>
    <w:rsid w:val="00491543"/>
    <w:rsid w:val="00492E7E"/>
    <w:rsid w:val="00497A62"/>
    <w:rsid w:val="004A2FEC"/>
    <w:rsid w:val="004A661D"/>
    <w:rsid w:val="004A6FC8"/>
    <w:rsid w:val="004C0BC3"/>
    <w:rsid w:val="004C19E9"/>
    <w:rsid w:val="004C6F01"/>
    <w:rsid w:val="004C70C8"/>
    <w:rsid w:val="004E44F8"/>
    <w:rsid w:val="004E683E"/>
    <w:rsid w:val="004F56E3"/>
    <w:rsid w:val="00506F3A"/>
    <w:rsid w:val="00524164"/>
    <w:rsid w:val="00527733"/>
    <w:rsid w:val="00531000"/>
    <w:rsid w:val="00535B17"/>
    <w:rsid w:val="005401E0"/>
    <w:rsid w:val="00544424"/>
    <w:rsid w:val="005452CC"/>
    <w:rsid w:val="0054746C"/>
    <w:rsid w:val="0055326E"/>
    <w:rsid w:val="00561908"/>
    <w:rsid w:val="00565177"/>
    <w:rsid w:val="00565830"/>
    <w:rsid w:val="00565B5E"/>
    <w:rsid w:val="00566B5F"/>
    <w:rsid w:val="00567315"/>
    <w:rsid w:val="00573720"/>
    <w:rsid w:val="005739F7"/>
    <w:rsid w:val="005749DE"/>
    <w:rsid w:val="0058195F"/>
    <w:rsid w:val="00584A11"/>
    <w:rsid w:val="00587D1F"/>
    <w:rsid w:val="00592484"/>
    <w:rsid w:val="005953A1"/>
    <w:rsid w:val="00597970"/>
    <w:rsid w:val="005A0B82"/>
    <w:rsid w:val="005A0D62"/>
    <w:rsid w:val="005A1E8A"/>
    <w:rsid w:val="005A2F24"/>
    <w:rsid w:val="005A2F38"/>
    <w:rsid w:val="005A5AB9"/>
    <w:rsid w:val="005A6119"/>
    <w:rsid w:val="005B0254"/>
    <w:rsid w:val="005B2622"/>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039D"/>
    <w:rsid w:val="005F7CE1"/>
    <w:rsid w:val="00602995"/>
    <w:rsid w:val="006049C2"/>
    <w:rsid w:val="006128A5"/>
    <w:rsid w:val="00613169"/>
    <w:rsid w:val="0062572C"/>
    <w:rsid w:val="00630E07"/>
    <w:rsid w:val="0063784F"/>
    <w:rsid w:val="00637F43"/>
    <w:rsid w:val="00641587"/>
    <w:rsid w:val="00641F0D"/>
    <w:rsid w:val="00643772"/>
    <w:rsid w:val="00644A1B"/>
    <w:rsid w:val="00650E6C"/>
    <w:rsid w:val="006536D8"/>
    <w:rsid w:val="00653BDC"/>
    <w:rsid w:val="00654399"/>
    <w:rsid w:val="00654BA4"/>
    <w:rsid w:val="0066195A"/>
    <w:rsid w:val="0066281B"/>
    <w:rsid w:val="00663FBE"/>
    <w:rsid w:val="00664931"/>
    <w:rsid w:val="00666319"/>
    <w:rsid w:val="006670C8"/>
    <w:rsid w:val="00672790"/>
    <w:rsid w:val="006841A7"/>
    <w:rsid w:val="00687348"/>
    <w:rsid w:val="00691D3A"/>
    <w:rsid w:val="00693721"/>
    <w:rsid w:val="00694C22"/>
    <w:rsid w:val="006963BC"/>
    <w:rsid w:val="00696A87"/>
    <w:rsid w:val="006970F4"/>
    <w:rsid w:val="006A2E15"/>
    <w:rsid w:val="006A4398"/>
    <w:rsid w:val="006B3479"/>
    <w:rsid w:val="006B3A1E"/>
    <w:rsid w:val="006C455B"/>
    <w:rsid w:val="006C73D0"/>
    <w:rsid w:val="006D5669"/>
    <w:rsid w:val="006E7CBB"/>
    <w:rsid w:val="006E7EBE"/>
    <w:rsid w:val="006F7028"/>
    <w:rsid w:val="006F749E"/>
    <w:rsid w:val="007024F1"/>
    <w:rsid w:val="0070711F"/>
    <w:rsid w:val="00707D60"/>
    <w:rsid w:val="00713417"/>
    <w:rsid w:val="007142E3"/>
    <w:rsid w:val="00714EDD"/>
    <w:rsid w:val="0071596F"/>
    <w:rsid w:val="00723505"/>
    <w:rsid w:val="007263B9"/>
    <w:rsid w:val="007352F2"/>
    <w:rsid w:val="0075009F"/>
    <w:rsid w:val="00752A48"/>
    <w:rsid w:val="007537A8"/>
    <w:rsid w:val="00757503"/>
    <w:rsid w:val="00757707"/>
    <w:rsid w:val="00761148"/>
    <w:rsid w:val="007633DD"/>
    <w:rsid w:val="007755E3"/>
    <w:rsid w:val="00775977"/>
    <w:rsid w:val="00781E6A"/>
    <w:rsid w:val="0079284E"/>
    <w:rsid w:val="007A4876"/>
    <w:rsid w:val="007B1F57"/>
    <w:rsid w:val="007B3118"/>
    <w:rsid w:val="007B370F"/>
    <w:rsid w:val="007B4938"/>
    <w:rsid w:val="007B71AB"/>
    <w:rsid w:val="007D02D8"/>
    <w:rsid w:val="007D4C60"/>
    <w:rsid w:val="007E3706"/>
    <w:rsid w:val="007E6762"/>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2013"/>
    <w:rsid w:val="00845FCF"/>
    <w:rsid w:val="008507FE"/>
    <w:rsid w:val="00851F24"/>
    <w:rsid w:val="00853ABC"/>
    <w:rsid w:val="00853E5E"/>
    <w:rsid w:val="00855C5B"/>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34D"/>
    <w:rsid w:val="008E0DC0"/>
    <w:rsid w:val="008E0DF5"/>
    <w:rsid w:val="008E3273"/>
    <w:rsid w:val="008E34C2"/>
    <w:rsid w:val="008F0C45"/>
    <w:rsid w:val="008F7821"/>
    <w:rsid w:val="00904B00"/>
    <w:rsid w:val="009112D0"/>
    <w:rsid w:val="00920472"/>
    <w:rsid w:val="00931A95"/>
    <w:rsid w:val="009330C3"/>
    <w:rsid w:val="009347F5"/>
    <w:rsid w:val="00940C0F"/>
    <w:rsid w:val="00944E3A"/>
    <w:rsid w:val="00951DA7"/>
    <w:rsid w:val="00951DC3"/>
    <w:rsid w:val="0095548F"/>
    <w:rsid w:val="00956DD0"/>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20A4"/>
    <w:rsid w:val="009B3667"/>
    <w:rsid w:val="009B5381"/>
    <w:rsid w:val="009C3CB9"/>
    <w:rsid w:val="009C4A13"/>
    <w:rsid w:val="009C745D"/>
    <w:rsid w:val="009D50C1"/>
    <w:rsid w:val="009E097A"/>
    <w:rsid w:val="009E0AAA"/>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42056"/>
    <w:rsid w:val="00A52189"/>
    <w:rsid w:val="00A57463"/>
    <w:rsid w:val="00A664DF"/>
    <w:rsid w:val="00A71219"/>
    <w:rsid w:val="00A713D0"/>
    <w:rsid w:val="00A722D4"/>
    <w:rsid w:val="00A75AAA"/>
    <w:rsid w:val="00A82A29"/>
    <w:rsid w:val="00A86B6F"/>
    <w:rsid w:val="00A959E1"/>
    <w:rsid w:val="00AA516A"/>
    <w:rsid w:val="00AA5B0E"/>
    <w:rsid w:val="00AA6A4A"/>
    <w:rsid w:val="00AB17F9"/>
    <w:rsid w:val="00AB4DBF"/>
    <w:rsid w:val="00AC0504"/>
    <w:rsid w:val="00AC1DB7"/>
    <w:rsid w:val="00AC381D"/>
    <w:rsid w:val="00AC3A7C"/>
    <w:rsid w:val="00AC62A6"/>
    <w:rsid w:val="00AC664F"/>
    <w:rsid w:val="00AC7116"/>
    <w:rsid w:val="00AC750B"/>
    <w:rsid w:val="00AD1E15"/>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350"/>
    <w:rsid w:val="00B24588"/>
    <w:rsid w:val="00B30F2D"/>
    <w:rsid w:val="00B34928"/>
    <w:rsid w:val="00B35B74"/>
    <w:rsid w:val="00B3665F"/>
    <w:rsid w:val="00B403F1"/>
    <w:rsid w:val="00B40AB8"/>
    <w:rsid w:val="00B4163B"/>
    <w:rsid w:val="00B447D7"/>
    <w:rsid w:val="00B51621"/>
    <w:rsid w:val="00B556C9"/>
    <w:rsid w:val="00B60113"/>
    <w:rsid w:val="00B6081E"/>
    <w:rsid w:val="00B61016"/>
    <w:rsid w:val="00B624EB"/>
    <w:rsid w:val="00B65D21"/>
    <w:rsid w:val="00B71BAA"/>
    <w:rsid w:val="00B75E76"/>
    <w:rsid w:val="00B76A1F"/>
    <w:rsid w:val="00B806DD"/>
    <w:rsid w:val="00B82F8C"/>
    <w:rsid w:val="00B8460F"/>
    <w:rsid w:val="00B84D34"/>
    <w:rsid w:val="00B95477"/>
    <w:rsid w:val="00BA1D81"/>
    <w:rsid w:val="00BA7130"/>
    <w:rsid w:val="00BB436B"/>
    <w:rsid w:val="00BB6D61"/>
    <w:rsid w:val="00BC58DF"/>
    <w:rsid w:val="00BC6431"/>
    <w:rsid w:val="00BD205B"/>
    <w:rsid w:val="00BD74AE"/>
    <w:rsid w:val="00BE16BC"/>
    <w:rsid w:val="00BE35F6"/>
    <w:rsid w:val="00BE3971"/>
    <w:rsid w:val="00BE3FE7"/>
    <w:rsid w:val="00BE6EDF"/>
    <w:rsid w:val="00BF2922"/>
    <w:rsid w:val="00BF2D74"/>
    <w:rsid w:val="00BF4CC8"/>
    <w:rsid w:val="00BF51ED"/>
    <w:rsid w:val="00BF75B6"/>
    <w:rsid w:val="00BF77FB"/>
    <w:rsid w:val="00C00FB2"/>
    <w:rsid w:val="00C02547"/>
    <w:rsid w:val="00C025C8"/>
    <w:rsid w:val="00C04E54"/>
    <w:rsid w:val="00C058D5"/>
    <w:rsid w:val="00C07489"/>
    <w:rsid w:val="00C1124F"/>
    <w:rsid w:val="00C14903"/>
    <w:rsid w:val="00C1686C"/>
    <w:rsid w:val="00C168F3"/>
    <w:rsid w:val="00C25C48"/>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3C3"/>
    <w:rsid w:val="00C71475"/>
    <w:rsid w:val="00C76958"/>
    <w:rsid w:val="00C77EF7"/>
    <w:rsid w:val="00C80D25"/>
    <w:rsid w:val="00C81407"/>
    <w:rsid w:val="00C82053"/>
    <w:rsid w:val="00C820F1"/>
    <w:rsid w:val="00C822C1"/>
    <w:rsid w:val="00C859F7"/>
    <w:rsid w:val="00C85A38"/>
    <w:rsid w:val="00C86AC1"/>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E64F2"/>
    <w:rsid w:val="00CF0C67"/>
    <w:rsid w:val="00CF0F40"/>
    <w:rsid w:val="00CF3AED"/>
    <w:rsid w:val="00CF4753"/>
    <w:rsid w:val="00D0083B"/>
    <w:rsid w:val="00D02068"/>
    <w:rsid w:val="00D04DF4"/>
    <w:rsid w:val="00D1456C"/>
    <w:rsid w:val="00D15403"/>
    <w:rsid w:val="00D172D8"/>
    <w:rsid w:val="00D26488"/>
    <w:rsid w:val="00D318C1"/>
    <w:rsid w:val="00D3231A"/>
    <w:rsid w:val="00D3520E"/>
    <w:rsid w:val="00D3539A"/>
    <w:rsid w:val="00D35B2D"/>
    <w:rsid w:val="00D44183"/>
    <w:rsid w:val="00D44A55"/>
    <w:rsid w:val="00D47931"/>
    <w:rsid w:val="00D47B74"/>
    <w:rsid w:val="00D47F3F"/>
    <w:rsid w:val="00D5276C"/>
    <w:rsid w:val="00D5581C"/>
    <w:rsid w:val="00D60B31"/>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C6796"/>
    <w:rsid w:val="00DD01A0"/>
    <w:rsid w:val="00DD1BE3"/>
    <w:rsid w:val="00DD4F5D"/>
    <w:rsid w:val="00DD680A"/>
    <w:rsid w:val="00DD7F1B"/>
    <w:rsid w:val="00DE1A87"/>
    <w:rsid w:val="00DE451F"/>
    <w:rsid w:val="00DF3E68"/>
    <w:rsid w:val="00E03D2D"/>
    <w:rsid w:val="00E12A7A"/>
    <w:rsid w:val="00E21B31"/>
    <w:rsid w:val="00E27FD6"/>
    <w:rsid w:val="00E36A0F"/>
    <w:rsid w:val="00E400C7"/>
    <w:rsid w:val="00E40322"/>
    <w:rsid w:val="00E40CB4"/>
    <w:rsid w:val="00E41DB9"/>
    <w:rsid w:val="00E4627E"/>
    <w:rsid w:val="00E56612"/>
    <w:rsid w:val="00E623D5"/>
    <w:rsid w:val="00E66F23"/>
    <w:rsid w:val="00E71CC0"/>
    <w:rsid w:val="00E731AE"/>
    <w:rsid w:val="00E74310"/>
    <w:rsid w:val="00E762BB"/>
    <w:rsid w:val="00E865C8"/>
    <w:rsid w:val="00E8661B"/>
    <w:rsid w:val="00E9084E"/>
    <w:rsid w:val="00E962E6"/>
    <w:rsid w:val="00E97D7C"/>
    <w:rsid w:val="00EA1793"/>
    <w:rsid w:val="00EA689F"/>
    <w:rsid w:val="00EB5157"/>
    <w:rsid w:val="00EB74F2"/>
    <w:rsid w:val="00EC1434"/>
    <w:rsid w:val="00EC72B0"/>
    <w:rsid w:val="00EC77B3"/>
    <w:rsid w:val="00ED0142"/>
    <w:rsid w:val="00ED74AF"/>
    <w:rsid w:val="00EE18F2"/>
    <w:rsid w:val="00EE365D"/>
    <w:rsid w:val="00EF33BE"/>
    <w:rsid w:val="00EF4F97"/>
    <w:rsid w:val="00F05673"/>
    <w:rsid w:val="00F06848"/>
    <w:rsid w:val="00F126FC"/>
    <w:rsid w:val="00F12983"/>
    <w:rsid w:val="00F15359"/>
    <w:rsid w:val="00F175C4"/>
    <w:rsid w:val="00F23714"/>
    <w:rsid w:val="00F245A2"/>
    <w:rsid w:val="00F309CB"/>
    <w:rsid w:val="00F33725"/>
    <w:rsid w:val="00F33EED"/>
    <w:rsid w:val="00F33EEE"/>
    <w:rsid w:val="00F37677"/>
    <w:rsid w:val="00F37B05"/>
    <w:rsid w:val="00F42A7B"/>
    <w:rsid w:val="00F44A0E"/>
    <w:rsid w:val="00F4763C"/>
    <w:rsid w:val="00F51559"/>
    <w:rsid w:val="00F522CA"/>
    <w:rsid w:val="00F540BA"/>
    <w:rsid w:val="00F570C8"/>
    <w:rsid w:val="00F570F0"/>
    <w:rsid w:val="00F572B0"/>
    <w:rsid w:val="00F60E60"/>
    <w:rsid w:val="00F64069"/>
    <w:rsid w:val="00F640D9"/>
    <w:rsid w:val="00F64D6D"/>
    <w:rsid w:val="00F654D4"/>
    <w:rsid w:val="00F66182"/>
    <w:rsid w:val="00F71399"/>
    <w:rsid w:val="00F82EE1"/>
    <w:rsid w:val="00F93134"/>
    <w:rsid w:val="00FA3E17"/>
    <w:rsid w:val="00FB078F"/>
    <w:rsid w:val="00FB2818"/>
    <w:rsid w:val="00FB3586"/>
    <w:rsid w:val="00FC128B"/>
    <w:rsid w:val="00FC3F00"/>
    <w:rsid w:val="00FC750D"/>
    <w:rsid w:val="00FD0EA3"/>
    <w:rsid w:val="00FE34E4"/>
    <w:rsid w:val="00FF1D71"/>
    <w:rsid w:val="00FF5141"/>
    <w:rsid w:val="00FF74B3"/>
    <w:rsid w:val="021DCD60"/>
    <w:rsid w:val="09BE419D"/>
    <w:rsid w:val="14ED6DAE"/>
    <w:rsid w:val="24AC7BB8"/>
    <w:rsid w:val="34EC78E5"/>
    <w:rsid w:val="48937FD4"/>
    <w:rsid w:val="570EF2A8"/>
    <w:rsid w:val="5AFDEAAF"/>
    <w:rsid w:val="5C6ADC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ferconlinesupport@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5231</Characters>
  <Application>Microsoft Office Word</Application>
  <DocSecurity>0</DocSecurity>
  <Lines>174</Lines>
  <Paragraphs>88</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2016-12-20T13:40:00Z</cp:lastPrinted>
  <dcterms:created xsi:type="dcterms:W3CDTF">2026-04-29T18:48:00Z</dcterms:created>
  <dcterms:modified xsi:type="dcterms:W3CDTF">2026-05-21T04:21:00Z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a0887f3f-219c-4ca7-86ba-aca6b0335152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2026-04-29T18:47:55Z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