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E7E96" w14:paraId="051B7624" w14:textId="77777777">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Supporting Statement</w:t>
      </w:r>
    </w:p>
    <w:p w:rsidR="003E7E96" w14:paraId="098FF4FA" w14:textId="77777777">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FERC-725N, Mandatory Reliability Standards: Transmission Planning (TPL)</w:t>
      </w:r>
      <w:r>
        <w:rPr>
          <w:rFonts w:ascii="Times New Roman" w:eastAsia="Calibri" w:hAnsi="Times New Roman" w:cs="Times New Roman"/>
          <w:b/>
          <w:sz w:val="26"/>
          <w:szCs w:val="26"/>
          <w:vertAlign w:val="superscript"/>
        </w:rPr>
        <w:t xml:space="preserve"> </w:t>
      </w:r>
      <w:r>
        <w:rPr>
          <w:rFonts w:ascii="Times New Roman" w:eastAsia="Calibri" w:hAnsi="Times New Roman" w:cs="Times New Roman"/>
          <w:b/>
          <w:sz w:val="26"/>
          <w:szCs w:val="26"/>
        </w:rPr>
        <w:t xml:space="preserve">Reliability Standards, </w:t>
      </w:r>
    </w:p>
    <w:p w:rsidR="003E7E96" w14:paraId="72B5BDFD" w14:textId="77777777">
      <w:pPr>
        <w:spacing w:after="0" w:line="240" w:lineRule="auto"/>
        <w:jc w:val="center"/>
        <w:rPr>
          <w:rFonts w:ascii="Times New Roman" w:eastAsia="Calibri" w:hAnsi="Times New Roman" w:cs="Times New Roman"/>
          <w:sz w:val="26"/>
          <w:szCs w:val="26"/>
        </w:rPr>
      </w:pPr>
    </w:p>
    <w:p w:rsidR="003E7E96" w14:paraId="41467B6D" w14:textId="77777777">
      <w:pPr>
        <w:spacing w:after="0" w:line="240" w:lineRule="auto"/>
        <w:rPr>
          <w:rFonts w:ascii="Times New Roman" w:eastAsia="Calibri" w:hAnsi="Times New Roman" w:cs="Times New Roman"/>
          <w:sz w:val="26"/>
          <w:szCs w:val="26"/>
        </w:rPr>
      </w:pPr>
    </w:p>
    <w:p w:rsidR="003E7E96" w14:paraId="47F9DE23" w14:textId="511A29EB">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The reporting and recordkeeping requirements for </w:t>
      </w:r>
      <w:r w:rsidRPr="00C90824" w:rsidR="00C90824">
        <w:rPr>
          <w:rFonts w:ascii="Times New Roman" w:hAnsi="Times New Roman" w:cs="Times New Roman"/>
          <w:sz w:val="26"/>
          <w:szCs w:val="26"/>
        </w:rPr>
        <w:t>Reliability Standards TPL-001-5.1 (Transmission System Planning Performance Requirements), TPL-007-4 (Transmission System Planning Performance Requirements)</w:t>
      </w:r>
      <w:r w:rsidRPr="00C90824" w:rsidR="00C90824">
        <w:rPr>
          <w:rFonts w:ascii="Times New Roman" w:hAnsi="Times New Roman" w:cs="Times New Roman"/>
          <w:sz w:val="26"/>
          <w:szCs w:val="26"/>
          <w:vertAlign w:val="superscript"/>
        </w:rPr>
        <w:t xml:space="preserve"> </w:t>
      </w:r>
      <w:r w:rsidRPr="00C90824" w:rsidR="00C90824">
        <w:rPr>
          <w:rFonts w:ascii="Times New Roman" w:hAnsi="Times New Roman" w:cs="Times New Roman"/>
          <w:sz w:val="26"/>
          <w:szCs w:val="26"/>
        </w:rPr>
        <w:t>TPL-008-1 (Transmission System Planning Performance Requirements for Extreme Temperatures Events</w:t>
      </w:r>
      <w:r>
        <w:rPr>
          <w:rFonts w:ascii="Times New Roman" w:eastAsia="Cambria" w:hAnsi="Times New Roman" w:cs="Times New Roman"/>
          <w:sz w:val="26"/>
          <w:szCs w:val="26"/>
        </w:rPr>
        <w:t>)</w:t>
      </w:r>
      <w:r>
        <w:rPr>
          <w:rStyle w:val="FootnoteReference"/>
          <w:rFonts w:ascii="Times New Roman" w:hAnsi="Times New Roman" w:cs="Times New Roman"/>
          <w:sz w:val="26"/>
          <w:szCs w:val="26"/>
          <w:vertAlign w:val="superscript"/>
        </w:rPr>
        <w:footnoteReference w:id="3"/>
      </w:r>
      <w:r>
        <w:rPr>
          <w:rFonts w:ascii="Times New Roman" w:hAnsi="Times New Roman" w:cs="Times New Roman"/>
          <w:sz w:val="26"/>
          <w:szCs w:val="26"/>
          <w:vertAlign w:val="superscript"/>
        </w:rPr>
        <w:t xml:space="preserve"> </w:t>
      </w:r>
      <w:r>
        <w:rPr>
          <w:rFonts w:ascii="Times New Roman" w:eastAsia="Calibri" w:hAnsi="Times New Roman" w:cs="Times New Roman"/>
          <w:sz w:val="26"/>
          <w:szCs w:val="26"/>
        </w:rPr>
        <w:t>are included in FERC-725N</w:t>
      </w:r>
      <w:r w:rsidR="000355FB">
        <w:rPr>
          <w:rFonts w:ascii="Times New Roman" w:eastAsia="Calibri" w:hAnsi="Times New Roman" w:cs="Times New Roman"/>
          <w:sz w:val="26"/>
          <w:szCs w:val="26"/>
        </w:rPr>
        <w:t>.</w:t>
      </w:r>
      <w:r>
        <w:rPr>
          <w:rFonts w:ascii="Times New Roman" w:eastAsia="Calibri" w:hAnsi="Times New Roman" w:cs="Times New Roman"/>
          <w:sz w:val="26"/>
          <w:szCs w:val="26"/>
        </w:rPr>
        <w:t xml:space="preserve"> </w:t>
      </w:r>
      <w:r w:rsidR="000D24E6">
        <w:rPr>
          <w:rFonts w:ascii="Times New Roman" w:eastAsia="Calibri" w:hAnsi="Times New Roman" w:cs="Times New Roman"/>
          <w:sz w:val="26"/>
          <w:szCs w:val="26"/>
        </w:rPr>
        <w:t xml:space="preserve"> </w:t>
      </w:r>
      <w:r>
        <w:rPr>
          <w:rFonts w:ascii="Times New Roman" w:eastAsia="Calibri" w:hAnsi="Times New Roman" w:cs="Times New Roman"/>
          <w:sz w:val="26"/>
          <w:szCs w:val="26"/>
        </w:rPr>
        <w:t>The Federal Energy Regulatory Commission (Commission or FERC) is requesting that the Office of Management and Budget (OMB) approve the reporting and recordkeeping requirements in FERC-725N</w:t>
      </w:r>
      <w:r w:rsidR="008C3FFB">
        <w:rPr>
          <w:rFonts w:ascii="Times New Roman" w:eastAsia="Calibri" w:hAnsi="Times New Roman" w:cs="Times New Roman"/>
          <w:sz w:val="26"/>
          <w:szCs w:val="26"/>
        </w:rPr>
        <w:t xml:space="preserve"> for </w:t>
      </w:r>
      <w:r w:rsidR="000355FB">
        <w:rPr>
          <w:rFonts w:ascii="Times New Roman" w:eastAsia="Calibri" w:hAnsi="Times New Roman" w:cs="Times New Roman"/>
          <w:sz w:val="26"/>
          <w:szCs w:val="26"/>
        </w:rPr>
        <w:t xml:space="preserve">a </w:t>
      </w:r>
      <w:r w:rsidR="000355FB">
        <w:rPr>
          <w:rFonts w:ascii="Times New Roman" w:eastAsia="Calibri" w:hAnsi="Times New Roman" w:cs="Times New Roman"/>
          <w:sz w:val="26"/>
          <w:szCs w:val="26"/>
        </w:rPr>
        <w:t>three year</w:t>
      </w:r>
      <w:r w:rsidR="000355FB">
        <w:rPr>
          <w:rFonts w:ascii="Times New Roman" w:eastAsia="Calibri" w:hAnsi="Times New Roman" w:cs="Times New Roman"/>
          <w:sz w:val="26"/>
          <w:szCs w:val="26"/>
        </w:rPr>
        <w:t xml:space="preserve"> extension.</w:t>
      </w:r>
      <w:r>
        <w:rPr>
          <w:rFonts w:ascii="Times New Roman" w:eastAsia="Calibri" w:hAnsi="Times New Roman" w:cs="Times New Roman"/>
          <w:sz w:val="26"/>
          <w:szCs w:val="26"/>
        </w:rPr>
        <w:t xml:space="preserve">  The text of the reporting and recordkeeping requirements of Reliability Standard</w:t>
      </w:r>
      <w:r w:rsidR="00C90824">
        <w:rPr>
          <w:rFonts w:ascii="Times New Roman" w:eastAsia="Calibri" w:hAnsi="Times New Roman" w:cs="Times New Roman"/>
          <w:sz w:val="26"/>
          <w:szCs w:val="26"/>
        </w:rPr>
        <w:t>s TPL-001-5.1,</w:t>
      </w:r>
      <w:r>
        <w:rPr>
          <w:rFonts w:ascii="Times New Roman" w:eastAsia="Calibri" w:hAnsi="Times New Roman" w:cs="Times New Roman"/>
          <w:sz w:val="26"/>
          <w:szCs w:val="26"/>
        </w:rPr>
        <w:t xml:space="preserve"> TPL-007-4</w:t>
      </w:r>
      <w:r w:rsidR="00C90824">
        <w:rPr>
          <w:rFonts w:ascii="Times New Roman" w:eastAsia="Calibri" w:hAnsi="Times New Roman" w:cs="Times New Roman"/>
          <w:sz w:val="26"/>
          <w:szCs w:val="26"/>
        </w:rPr>
        <w:t>, and TPL-008-1</w:t>
      </w:r>
      <w:r>
        <w:rPr>
          <w:rFonts w:ascii="Times New Roman" w:eastAsia="Calibri" w:hAnsi="Times New Roman" w:cs="Times New Roman"/>
          <w:sz w:val="26"/>
          <w:szCs w:val="26"/>
        </w:rPr>
        <w:t xml:space="preserve"> </w:t>
      </w:r>
      <w:r w:rsidR="00C90824">
        <w:rPr>
          <w:rFonts w:ascii="Times New Roman" w:eastAsia="Calibri" w:hAnsi="Times New Roman" w:cs="Times New Roman"/>
          <w:sz w:val="26"/>
          <w:szCs w:val="26"/>
        </w:rPr>
        <w:t>are</w:t>
      </w:r>
      <w:r>
        <w:rPr>
          <w:rFonts w:ascii="Times New Roman" w:eastAsia="Calibri" w:hAnsi="Times New Roman" w:cs="Times New Roman"/>
          <w:sz w:val="26"/>
          <w:szCs w:val="26"/>
        </w:rPr>
        <w:t xml:space="preserve"> included in ROCIS and reginfo.gov under Supplementary Documents.</w:t>
      </w:r>
    </w:p>
    <w:p w:rsidR="003E7E96" w14:paraId="57CBC0E0" w14:textId="77777777">
      <w:pPr>
        <w:spacing w:after="0" w:line="240" w:lineRule="auto"/>
        <w:rPr>
          <w:rFonts w:ascii="Times New Roman" w:eastAsia="Calibri" w:hAnsi="Times New Roman" w:cs="Times New Roman"/>
          <w:sz w:val="26"/>
          <w:szCs w:val="26"/>
        </w:rPr>
      </w:pPr>
    </w:p>
    <w:p w:rsidR="003E7E96" w14:paraId="3EB33B40" w14:textId="77777777">
      <w:pPr>
        <w:numPr>
          <w:ilvl w:val="0"/>
          <w:numId w:val="1"/>
        </w:numPr>
        <w:spacing w:after="0" w:line="240" w:lineRule="auto"/>
        <w:ind w:left="360"/>
        <w:contextualSpacing/>
        <w:rPr>
          <w:rFonts w:ascii="Times New Roman" w:eastAsia="Calibri" w:hAnsi="Times New Roman" w:cs="Times New Roman"/>
          <w:b/>
          <w:sz w:val="26"/>
          <w:szCs w:val="26"/>
        </w:rPr>
      </w:pPr>
      <w:r>
        <w:rPr>
          <w:rFonts w:ascii="Times New Roman" w:eastAsia="Calibri" w:hAnsi="Times New Roman" w:cs="Times New Roman"/>
          <w:b/>
          <w:sz w:val="26"/>
          <w:szCs w:val="26"/>
        </w:rPr>
        <w:t>CIRCUMSTANCES THAT MAKE THE COLLECTION OF INFORMATION NECESSARY</w:t>
      </w:r>
    </w:p>
    <w:p w:rsidR="003E7E96" w14:paraId="7CF4D2F9" w14:textId="77777777">
      <w:pPr>
        <w:spacing w:after="0" w:line="240" w:lineRule="auto"/>
        <w:rPr>
          <w:rFonts w:ascii="Times New Roman" w:eastAsia="Calibri" w:hAnsi="Times New Roman" w:cs="Times New Roman"/>
          <w:sz w:val="26"/>
          <w:szCs w:val="26"/>
        </w:rPr>
      </w:pPr>
    </w:p>
    <w:p w:rsidR="003E7E96" w14:paraId="574E9AA9" w14:textId="77777777">
      <w:pPr>
        <w:autoSpaceDE w:val="0"/>
        <w:autoSpaceDN w:val="0"/>
        <w:adjustRightInd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On August 8, 2005, The Electricity Modernization Act of 2005, which is Title XII of the Energy Policy Act of 2005 (</w:t>
      </w:r>
      <w:r>
        <w:rPr>
          <w:rFonts w:ascii="Times New Roman" w:eastAsia="Times New Roman" w:hAnsi="Times New Roman" w:cs="Times New Roman"/>
          <w:sz w:val="26"/>
          <w:szCs w:val="26"/>
        </w:rPr>
        <w:t>EPAct</w:t>
      </w:r>
      <w:r>
        <w:rPr>
          <w:rFonts w:ascii="Times New Roman" w:eastAsia="Times New Roman" w:hAnsi="Times New Roman" w:cs="Times New Roman"/>
          <w:sz w:val="26"/>
          <w:szCs w:val="26"/>
        </w:rPr>
        <w:t xml:space="preserve"> 2005), was enacted into law.</w:t>
      </w:r>
      <w:r>
        <w:rPr>
          <w:rFonts w:ascii="Times New Roman" w:eastAsia="Times New Roman" w:hAnsi="Times New Roman" w:cs="Times New Roman"/>
          <w:sz w:val="26"/>
          <w:szCs w:val="26"/>
          <w:vertAlign w:val="superscript"/>
        </w:rPr>
        <w:footnoteReference w:id="4"/>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EPAct</w:t>
      </w:r>
      <w:r>
        <w:rPr>
          <w:rFonts w:ascii="Times New Roman" w:eastAsia="Times New Roman" w:hAnsi="Times New Roman" w:cs="Times New Roman"/>
          <w:sz w:val="26"/>
          <w:szCs w:val="26"/>
        </w:rPr>
        <w:t xml:space="preserve"> 2005 added a new section 215 to the Federal Power Act (FPA), which requires a Commission-certified Electric Reliability Organization (ERO) to develop mandatory and enforceable Reliability Standards, which are subject to Commission review and approval.  Once approved, the Reliability Standards may be enforced by the ERO, subject to Commission oversight.</w:t>
      </w:r>
    </w:p>
    <w:p w:rsidR="003E7E96" w14:paraId="7D901723" w14:textId="77777777">
      <w:pPr>
        <w:spacing w:after="0" w:line="240" w:lineRule="auto"/>
        <w:rPr>
          <w:rFonts w:ascii="Times New Roman" w:eastAsia="Calibri" w:hAnsi="Times New Roman" w:cs="Times New Roman"/>
          <w:sz w:val="26"/>
          <w:szCs w:val="26"/>
        </w:rPr>
      </w:pPr>
    </w:p>
    <w:p w:rsidR="000F067C" w:rsidP="00C90824" w14:paraId="07009D7C" w14:textId="77777777">
      <w:pPr>
        <w:autoSpaceDE w:val="0"/>
        <w:autoSpaceDN w:val="0"/>
        <w:adjustRightInd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Pursuant to section 215(d)(2) of the Federal Power Act (FPA),</w:t>
      </w:r>
      <w:r>
        <w:rPr>
          <w:rFonts w:ascii="Times New Roman" w:eastAsia="Times New Roman" w:hAnsi="Times New Roman" w:cs="Times New Roman"/>
          <w:b/>
          <w:sz w:val="26"/>
          <w:szCs w:val="26"/>
          <w:vertAlign w:val="superscript"/>
        </w:rPr>
        <w:footnoteReference w:id="5"/>
      </w:r>
      <w:r>
        <w:rPr>
          <w:rFonts w:ascii="Times New Roman" w:eastAsia="Times New Roman" w:hAnsi="Times New Roman" w:cs="Times New Roman"/>
          <w:sz w:val="26"/>
          <w:szCs w:val="26"/>
        </w:rPr>
        <w:t xml:space="preserve"> the Commission proposes to approve </w:t>
      </w:r>
      <w:r w:rsidRPr="00C90824" w:rsidR="00C90824">
        <w:rPr>
          <w:rFonts w:ascii="Times New Roman" w:eastAsia="Times New Roman" w:hAnsi="Times New Roman" w:cs="Times New Roman"/>
          <w:sz w:val="26"/>
          <w:szCs w:val="26"/>
        </w:rPr>
        <w:t>Reliability Standards TPL-001-5.1 (Transmission System Planning Performance Requirements), TPL-007-4 (Transmission System Planning Performance Requirements)</w:t>
      </w:r>
      <w:r w:rsidRPr="00C90824" w:rsidR="00C90824">
        <w:rPr>
          <w:rFonts w:ascii="Times New Roman" w:eastAsia="Times New Roman" w:hAnsi="Times New Roman" w:cs="Times New Roman"/>
          <w:sz w:val="26"/>
          <w:szCs w:val="26"/>
          <w:vertAlign w:val="superscript"/>
        </w:rPr>
        <w:t xml:space="preserve"> </w:t>
      </w:r>
      <w:r w:rsidRPr="00C90824" w:rsidR="00C90824">
        <w:rPr>
          <w:rFonts w:ascii="Times New Roman" w:eastAsia="Times New Roman" w:hAnsi="Times New Roman" w:cs="Times New Roman"/>
          <w:sz w:val="26"/>
          <w:szCs w:val="26"/>
        </w:rPr>
        <w:t xml:space="preserve">TPL-008-1 (Transmission System Planning Performance Requirements for Extreme Temperatures Events).  </w:t>
      </w:r>
    </w:p>
    <w:p w:rsidR="000F067C" w:rsidP="00C90824" w14:paraId="0DAF702F" w14:textId="77777777">
      <w:pPr>
        <w:autoSpaceDE w:val="0"/>
        <w:autoSpaceDN w:val="0"/>
        <w:adjustRightInd w:val="0"/>
        <w:spacing w:after="0" w:line="240" w:lineRule="auto"/>
        <w:rPr>
          <w:rFonts w:ascii="Times New Roman" w:eastAsia="Times New Roman" w:hAnsi="Times New Roman" w:cs="Times New Roman"/>
          <w:sz w:val="26"/>
          <w:szCs w:val="26"/>
        </w:rPr>
      </w:pPr>
    </w:p>
    <w:p w:rsidR="000F067C" w:rsidP="00C90824" w14:paraId="4567EA43" w14:textId="77777777">
      <w:pPr>
        <w:autoSpaceDE w:val="0"/>
        <w:autoSpaceDN w:val="0"/>
        <w:adjustRightInd w:val="0"/>
        <w:spacing w:after="0" w:line="240" w:lineRule="auto"/>
        <w:rPr>
          <w:rFonts w:ascii="Times New Roman" w:eastAsia="Times New Roman" w:hAnsi="Times New Roman" w:cs="Times New Roman"/>
          <w:sz w:val="26"/>
          <w:szCs w:val="26"/>
        </w:rPr>
      </w:pPr>
      <w:r w:rsidRPr="00C90824">
        <w:rPr>
          <w:rFonts w:ascii="Times New Roman" w:eastAsia="Times New Roman" w:hAnsi="Times New Roman" w:cs="Times New Roman"/>
          <w:sz w:val="26"/>
          <w:szCs w:val="26"/>
        </w:rPr>
        <w:t xml:space="preserve">Reliability Standard TPL-001-5.1 requires planning coordinators and transmission planners to establish Transmission system planning performance requirements within the planning horizon to develop a Bulk Electric System (BES) that will operate reliably over a broad spectrum of System conditions and following a wide range of probable Contingencies. </w:t>
      </w:r>
    </w:p>
    <w:p w:rsidR="000F067C" w:rsidP="00C90824" w14:paraId="21FEFCF6" w14:textId="77777777">
      <w:pPr>
        <w:autoSpaceDE w:val="0"/>
        <w:autoSpaceDN w:val="0"/>
        <w:adjustRightInd w:val="0"/>
        <w:spacing w:after="0" w:line="240" w:lineRule="auto"/>
        <w:rPr>
          <w:rFonts w:ascii="Times New Roman" w:eastAsia="Times New Roman" w:hAnsi="Times New Roman" w:cs="Times New Roman"/>
          <w:sz w:val="26"/>
          <w:szCs w:val="26"/>
        </w:rPr>
      </w:pPr>
    </w:p>
    <w:p w:rsidR="000F067C" w:rsidP="00C90824" w14:paraId="46930805" w14:textId="77777777">
      <w:pPr>
        <w:autoSpaceDE w:val="0"/>
        <w:autoSpaceDN w:val="0"/>
        <w:adjustRightInd w:val="0"/>
        <w:spacing w:after="0" w:line="240" w:lineRule="auto"/>
        <w:rPr>
          <w:rFonts w:ascii="Times New Roman" w:hAnsi="Times New Roman" w:cs="Times New Roman"/>
          <w:sz w:val="26"/>
          <w:szCs w:val="26"/>
        </w:rPr>
      </w:pPr>
      <w:r>
        <w:rPr>
          <w:rFonts w:ascii="Times New Roman" w:eastAsia="Times New Roman" w:hAnsi="Times New Roman" w:cs="Times New Roman"/>
          <w:sz w:val="26"/>
          <w:szCs w:val="26"/>
        </w:rPr>
        <w:t xml:space="preserve">Reliability Standard TPL-007-4 (Transmission System Planning Performance Requirements).  </w:t>
      </w:r>
      <w:r w:rsidRPr="009D6137" w:rsidR="009D6137">
        <w:rPr>
          <w:rFonts w:ascii="Times New Roman" w:hAnsi="Times New Roman" w:cs="Times New Roman"/>
          <w:sz w:val="26"/>
          <w:szCs w:val="26"/>
        </w:rPr>
        <w:t xml:space="preserve"> </w:t>
      </w:r>
      <w:r w:rsidR="009D6137">
        <w:rPr>
          <w:rFonts w:ascii="Times New Roman" w:hAnsi="Times New Roman" w:cs="Times New Roman"/>
          <w:sz w:val="26"/>
          <w:szCs w:val="26"/>
        </w:rPr>
        <w:t>Reliability Standard TPL-007-4 requires owners and operators of the Bulk</w:t>
      </w:r>
      <w:r w:rsidR="00437CC5">
        <w:rPr>
          <w:rFonts w:ascii="Times New Roman" w:hAnsi="Times New Roman" w:cs="Times New Roman"/>
          <w:sz w:val="26"/>
          <w:szCs w:val="26"/>
        </w:rPr>
        <w:t>-</w:t>
      </w:r>
      <w:r w:rsidR="009D6137">
        <w:rPr>
          <w:rFonts w:ascii="Times New Roman" w:hAnsi="Times New Roman" w:cs="Times New Roman"/>
          <w:sz w:val="26"/>
          <w:szCs w:val="26"/>
        </w:rPr>
        <w:t xml:space="preserve">Power System (“BPS”) to conduct initial and on-going vulnerability assessments of the potential impact of defined geomagnetic disturbance (“GMD”) events on BPS equipment and the </w:t>
      </w:r>
      <w:r w:rsidR="009D6137">
        <w:rPr>
          <w:rFonts w:ascii="Times New Roman" w:hAnsi="Times New Roman" w:cs="Times New Roman"/>
          <w:sz w:val="26"/>
          <w:szCs w:val="26"/>
        </w:rPr>
        <w:t>BPS as a whole</w:t>
      </w:r>
      <w:r w:rsidR="009D6137">
        <w:rPr>
          <w:rFonts w:ascii="Times New Roman" w:hAnsi="Times New Roman" w:cs="Times New Roman"/>
          <w:sz w:val="26"/>
          <w:szCs w:val="26"/>
        </w:rPr>
        <w:t xml:space="preserve">.  </w:t>
      </w:r>
    </w:p>
    <w:p w:rsidR="000F067C" w:rsidP="00C90824" w14:paraId="398808C4" w14:textId="77777777">
      <w:pPr>
        <w:autoSpaceDE w:val="0"/>
        <w:autoSpaceDN w:val="0"/>
        <w:adjustRightInd w:val="0"/>
        <w:spacing w:after="0" w:line="240" w:lineRule="auto"/>
        <w:rPr>
          <w:rFonts w:ascii="Times New Roman" w:hAnsi="Times New Roman" w:cs="Times New Roman"/>
          <w:sz w:val="26"/>
          <w:szCs w:val="26"/>
        </w:rPr>
      </w:pPr>
    </w:p>
    <w:p w:rsidR="00C90824" w:rsidRPr="00C90824" w:rsidP="00C90824" w14:paraId="66313CB2" w14:textId="758990E1">
      <w:pPr>
        <w:autoSpaceDE w:val="0"/>
        <w:autoSpaceDN w:val="0"/>
        <w:adjustRightInd w:val="0"/>
        <w:spacing w:after="0" w:line="240" w:lineRule="auto"/>
        <w:rPr>
          <w:rFonts w:ascii="Times New Roman" w:hAnsi="Times New Roman" w:cs="Times New Roman"/>
          <w:sz w:val="26"/>
          <w:szCs w:val="26"/>
        </w:rPr>
      </w:pPr>
      <w:r w:rsidRPr="00C90824">
        <w:rPr>
          <w:rFonts w:ascii="Times New Roman" w:hAnsi="Times New Roman" w:cs="Times New Roman"/>
          <w:sz w:val="26"/>
          <w:szCs w:val="26"/>
        </w:rPr>
        <w:t xml:space="preserve">Reliability Standard TPL-008-1 requires planning coordinators and transmission planners to establish Transmission system planning performance requirements to develop a Bulk Power System (BPS) that will operate reliably during extreme heat and extreme cold temperature events.  </w:t>
      </w:r>
    </w:p>
    <w:p w:rsidR="00C90824" w:rsidRPr="00C90824" w:rsidP="00C90824" w14:paraId="09F252F5" w14:textId="77777777">
      <w:pPr>
        <w:autoSpaceDE w:val="0"/>
        <w:autoSpaceDN w:val="0"/>
        <w:adjustRightInd w:val="0"/>
        <w:spacing w:after="0" w:line="240" w:lineRule="auto"/>
        <w:rPr>
          <w:rFonts w:ascii="Times New Roman" w:hAnsi="Times New Roman" w:cs="Times New Roman"/>
          <w:sz w:val="26"/>
          <w:szCs w:val="26"/>
        </w:rPr>
      </w:pPr>
    </w:p>
    <w:p w:rsidR="00C90824" w:rsidRPr="00C90824" w:rsidP="00C90824" w14:paraId="306546C3" w14:textId="450CC49F">
      <w:pPr>
        <w:autoSpaceDE w:val="0"/>
        <w:autoSpaceDN w:val="0"/>
        <w:adjustRightInd w:val="0"/>
        <w:spacing w:after="0" w:line="240" w:lineRule="auto"/>
        <w:rPr>
          <w:rFonts w:ascii="Times New Roman" w:hAnsi="Times New Roman" w:cs="Times New Roman"/>
          <w:sz w:val="26"/>
          <w:szCs w:val="26"/>
        </w:rPr>
      </w:pPr>
      <w:r w:rsidRPr="00C90824">
        <w:rPr>
          <w:rFonts w:ascii="Times New Roman" w:hAnsi="Times New Roman" w:cs="Times New Roman"/>
          <w:sz w:val="26"/>
          <w:szCs w:val="26"/>
        </w:rPr>
        <w:t xml:space="preserve">The overall function of the NERC TPL (Transmission System Planning) standards is to establish mandatory performance requirements for the Bulk Electric System (BES). </w:t>
      </w:r>
      <w:r w:rsidR="00073AF7">
        <w:rPr>
          <w:rFonts w:ascii="Times New Roman" w:hAnsi="Times New Roman" w:cs="Times New Roman"/>
          <w:sz w:val="26"/>
          <w:szCs w:val="26"/>
        </w:rPr>
        <w:t xml:space="preserve"> </w:t>
      </w:r>
      <w:r w:rsidRPr="00C90824">
        <w:rPr>
          <w:rFonts w:ascii="Times New Roman" w:hAnsi="Times New Roman" w:cs="Times New Roman"/>
          <w:sz w:val="26"/>
          <w:szCs w:val="26"/>
        </w:rPr>
        <w:t>It ensures the grid is planned and developed to operate reliably under a broad spectrum of conditions, including normal operations and a wide range of probable contingencies</w:t>
      </w:r>
    </w:p>
    <w:p w:rsidR="00006455" w14:paraId="1BD4A070" w14:textId="385884CD">
      <w:pPr>
        <w:autoSpaceDE w:val="0"/>
        <w:autoSpaceDN w:val="0"/>
        <w:adjustRightInd w:val="0"/>
        <w:spacing w:after="0" w:line="240" w:lineRule="auto"/>
        <w:rPr>
          <w:rFonts w:ascii="Times New Roman" w:hAnsi="Times New Roman" w:cs="Times New Roman"/>
          <w:sz w:val="26"/>
          <w:szCs w:val="26"/>
        </w:rPr>
      </w:pPr>
    </w:p>
    <w:p w:rsidR="00006455" w:rsidP="00251F29" w14:paraId="64F5560F" w14:textId="77777777">
      <w:pPr>
        <w:autoSpaceDE w:val="0"/>
        <w:autoSpaceDN w:val="0"/>
        <w:adjustRightInd w:val="0"/>
        <w:spacing w:after="0" w:line="240" w:lineRule="auto"/>
        <w:ind w:left="720"/>
        <w:rPr>
          <w:rFonts w:ascii="Times New Roman" w:hAnsi="Times New Roman" w:cs="Times New Roman"/>
          <w:sz w:val="26"/>
          <w:szCs w:val="26"/>
        </w:rPr>
      </w:pPr>
    </w:p>
    <w:p w:rsidR="003E7E96" w14:paraId="4095D372" w14:textId="77777777">
      <w:pPr>
        <w:spacing w:after="0" w:line="240" w:lineRule="auto"/>
        <w:rPr>
          <w:rFonts w:ascii="Times New Roman" w:eastAsia="Times New Roman" w:hAnsi="Times New Roman" w:cs="Times New Roman"/>
          <w:sz w:val="26"/>
          <w:szCs w:val="26"/>
        </w:rPr>
      </w:pPr>
    </w:p>
    <w:p w:rsidR="003E7E96" w14:paraId="4EDD974D" w14:textId="77777777">
      <w:pPr>
        <w:numPr>
          <w:ilvl w:val="0"/>
          <w:numId w:val="1"/>
        </w:numPr>
        <w:spacing w:after="0" w:line="240" w:lineRule="auto"/>
        <w:ind w:left="360"/>
        <w:contextualSpacing/>
        <w:rPr>
          <w:rFonts w:ascii="Times New Roman" w:eastAsia="Calibri" w:hAnsi="Times New Roman" w:cs="Times New Roman"/>
          <w:b/>
          <w:sz w:val="26"/>
          <w:szCs w:val="26"/>
        </w:rPr>
      </w:pPr>
      <w:r>
        <w:rPr>
          <w:rFonts w:ascii="Times New Roman" w:eastAsia="Calibri" w:hAnsi="Times New Roman" w:cs="Times New Roman"/>
          <w:b/>
          <w:sz w:val="26"/>
          <w:szCs w:val="26"/>
        </w:rPr>
        <w:t>HOW, BY WHOM, AND FOR WHAT PURPOSE THE INFORMATION IS TO BE USED AND THE CONSEQUENCES OF NOT COLLECTING THE INFORMATION</w:t>
      </w:r>
    </w:p>
    <w:p w:rsidR="003E7E96" w14:paraId="26024B7A" w14:textId="77777777">
      <w:pPr>
        <w:pStyle w:val="FERCparanumber"/>
        <w:numPr>
          <w:ilvl w:val="0"/>
          <w:numId w:val="0"/>
        </w:numPr>
        <w:spacing w:line="240" w:lineRule="auto"/>
        <w:rPr>
          <w:szCs w:val="26"/>
        </w:rPr>
      </w:pPr>
    </w:p>
    <w:p w:rsidR="00C90824" w:rsidP="00C76A7B" w14:paraId="49D8046C" w14:textId="7E337FDC">
      <w:pPr>
        <w:autoSpaceDE w:val="0"/>
        <w:autoSpaceDN w:val="0"/>
        <w:adjustRightInd w:val="0"/>
        <w:spacing w:after="0" w:line="240" w:lineRule="auto"/>
        <w:rPr>
          <w:rFonts w:ascii="Times New Roman" w:hAnsi="Times New Roman" w:cs="Times New Roman"/>
          <w:sz w:val="26"/>
          <w:szCs w:val="26"/>
        </w:rPr>
      </w:pPr>
      <w:r>
        <w:rPr>
          <w:rFonts w:ascii="Times New Roman" w:eastAsia="Times New Roman" w:hAnsi="Times New Roman" w:cs="Times New Roman"/>
          <w:sz w:val="26"/>
          <w:szCs w:val="26"/>
        </w:rPr>
        <w:t xml:space="preserve">The purpose of </w:t>
      </w:r>
      <w:r w:rsidRPr="00C90824">
        <w:rPr>
          <w:rFonts w:ascii="Times New Roman" w:eastAsia="Times New Roman" w:hAnsi="Times New Roman" w:cs="Times New Roman"/>
          <w:sz w:val="26"/>
          <w:szCs w:val="26"/>
        </w:rPr>
        <w:t>Reliability Standard TPL-001-5.1 requires planning coordinators and transmission planners to establish Transmission system planning performance requirements within the planning horizon to develop a Bulk Electric System (BES) that will operate reliably over a broad spectrum of System conditions and following a wide range of probable Contingencies.</w:t>
      </w:r>
      <w:r w:rsidR="0079046F">
        <w:rPr>
          <w:rFonts w:ascii="Times New Roman" w:eastAsia="Times New Roman" w:hAnsi="Times New Roman" w:cs="Times New Roman"/>
          <w:sz w:val="26"/>
          <w:szCs w:val="26"/>
        </w:rPr>
        <w:t xml:space="preserve">  </w:t>
      </w:r>
      <w:r w:rsidR="00235D52">
        <w:rPr>
          <w:rFonts w:ascii="Times New Roman" w:eastAsia="Times New Roman" w:hAnsi="Times New Roman" w:cs="Times New Roman"/>
          <w:sz w:val="26"/>
          <w:szCs w:val="26"/>
        </w:rPr>
        <w:t>These entities</w:t>
      </w:r>
      <w:r w:rsidR="007E5F7E">
        <w:rPr>
          <w:rFonts w:ascii="Times New Roman" w:eastAsia="Times New Roman" w:hAnsi="Times New Roman" w:cs="Times New Roman"/>
          <w:sz w:val="26"/>
          <w:szCs w:val="26"/>
        </w:rPr>
        <w:t xml:space="preserve"> </w:t>
      </w:r>
      <w:r w:rsidRPr="007E5F7E" w:rsidR="007E5F7E">
        <w:rPr>
          <w:rFonts w:ascii="Times New Roman" w:eastAsia="Times New Roman" w:hAnsi="Times New Roman" w:cs="Times New Roman"/>
          <w:sz w:val="26"/>
          <w:szCs w:val="26"/>
        </w:rPr>
        <w:t xml:space="preserve">maintain System models within </w:t>
      </w:r>
      <w:r w:rsidR="007E5F7E">
        <w:rPr>
          <w:rFonts w:ascii="Times New Roman" w:eastAsia="Times New Roman" w:hAnsi="Times New Roman" w:cs="Times New Roman"/>
          <w:sz w:val="26"/>
          <w:szCs w:val="26"/>
        </w:rPr>
        <w:t>their</w:t>
      </w:r>
      <w:r w:rsidRPr="007E5F7E" w:rsidR="007E5F7E">
        <w:rPr>
          <w:rFonts w:ascii="Times New Roman" w:eastAsia="Times New Roman" w:hAnsi="Times New Roman" w:cs="Times New Roman"/>
          <w:sz w:val="26"/>
          <w:szCs w:val="26"/>
        </w:rPr>
        <w:t xml:space="preserve"> respective area</w:t>
      </w:r>
      <w:r w:rsidR="007E5F7E">
        <w:rPr>
          <w:rFonts w:ascii="Times New Roman" w:eastAsia="Times New Roman" w:hAnsi="Times New Roman" w:cs="Times New Roman"/>
          <w:sz w:val="26"/>
          <w:szCs w:val="26"/>
        </w:rPr>
        <w:t>s</w:t>
      </w:r>
      <w:r w:rsidRPr="007E5F7E" w:rsidR="007E5F7E">
        <w:rPr>
          <w:rFonts w:ascii="Times New Roman" w:eastAsia="Times New Roman" w:hAnsi="Times New Roman" w:cs="Times New Roman"/>
          <w:sz w:val="26"/>
          <w:szCs w:val="26"/>
        </w:rPr>
        <w:t xml:space="preserve"> for performing the studies needed to complete </w:t>
      </w:r>
      <w:r w:rsidRPr="007E5F7E" w:rsidR="007E5F7E">
        <w:rPr>
          <w:rFonts w:ascii="Times New Roman" w:eastAsia="Times New Roman" w:hAnsi="Times New Roman" w:cs="Times New Roman"/>
          <w:sz w:val="26"/>
          <w:szCs w:val="26"/>
        </w:rPr>
        <w:t>its</w:t>
      </w:r>
      <w:r w:rsidRPr="007E5F7E" w:rsidR="007E5F7E">
        <w:rPr>
          <w:rFonts w:ascii="Times New Roman" w:eastAsia="Times New Roman" w:hAnsi="Times New Roman" w:cs="Times New Roman"/>
          <w:sz w:val="26"/>
          <w:szCs w:val="26"/>
        </w:rPr>
        <w:t xml:space="preserve"> Planning Assessment</w:t>
      </w:r>
      <w:r w:rsidR="004116EB">
        <w:rPr>
          <w:rFonts w:ascii="Times New Roman" w:eastAsia="Times New Roman" w:hAnsi="Times New Roman" w:cs="Times New Roman"/>
          <w:sz w:val="26"/>
          <w:szCs w:val="26"/>
        </w:rPr>
        <w:t xml:space="preserve">, which </w:t>
      </w:r>
      <w:r w:rsidR="00E91457">
        <w:rPr>
          <w:rFonts w:ascii="Times New Roman" w:eastAsia="Times New Roman" w:hAnsi="Times New Roman" w:cs="Times New Roman"/>
          <w:sz w:val="26"/>
          <w:szCs w:val="26"/>
        </w:rPr>
        <w:t>d</w:t>
      </w:r>
      <w:r w:rsidRPr="00E91457" w:rsidR="00E91457">
        <w:rPr>
          <w:rFonts w:ascii="Times New Roman" w:eastAsia="Times New Roman" w:hAnsi="Times New Roman" w:cs="Times New Roman"/>
          <w:sz w:val="26"/>
          <w:szCs w:val="26"/>
        </w:rPr>
        <w:t>ocumented evaluation of future Transmission System performance and Corrective Action Plans to remedy identified deficiencies</w:t>
      </w:r>
      <w:r w:rsidR="00E91457">
        <w:rPr>
          <w:rFonts w:ascii="Times New Roman" w:eastAsia="Times New Roman" w:hAnsi="Times New Roman" w:cs="Times New Roman"/>
          <w:sz w:val="26"/>
          <w:szCs w:val="26"/>
        </w:rPr>
        <w:t>.</w:t>
      </w:r>
    </w:p>
    <w:p w:rsidR="00C90824" w:rsidP="00C76A7B" w14:paraId="48423690" w14:textId="77777777">
      <w:pPr>
        <w:autoSpaceDE w:val="0"/>
        <w:autoSpaceDN w:val="0"/>
        <w:adjustRightInd w:val="0"/>
        <w:spacing w:after="0" w:line="240" w:lineRule="auto"/>
        <w:rPr>
          <w:rFonts w:ascii="Times New Roman" w:hAnsi="Times New Roman" w:cs="Times New Roman"/>
          <w:sz w:val="26"/>
          <w:szCs w:val="26"/>
        </w:rPr>
      </w:pPr>
    </w:p>
    <w:p w:rsidR="00C90824" w:rsidP="00C76A7B" w14:paraId="38976104" w14:textId="77777777">
      <w:pPr>
        <w:autoSpaceDE w:val="0"/>
        <w:autoSpaceDN w:val="0"/>
        <w:adjustRightInd w:val="0"/>
        <w:spacing w:after="0" w:line="240" w:lineRule="auto"/>
        <w:rPr>
          <w:rFonts w:ascii="Times New Roman" w:hAnsi="Times New Roman" w:cs="Times New Roman"/>
          <w:sz w:val="26"/>
          <w:szCs w:val="26"/>
        </w:rPr>
      </w:pPr>
      <w:r w:rsidRPr="004525D4">
        <w:rPr>
          <w:rFonts w:ascii="Times New Roman" w:hAnsi="Times New Roman" w:cs="Times New Roman"/>
          <w:sz w:val="26"/>
          <w:szCs w:val="26"/>
        </w:rPr>
        <w:t xml:space="preserve">The purpose of proposed Reliability Standard TPL-007-4, which remains unchanged from prior versions of the standard, is to “[e]stablish requirements for Transmission system planned performance during geomagnetic disturbance (GMD) events.” </w:t>
      </w:r>
      <w:r>
        <w:rPr>
          <w:rFonts w:ascii="Times New Roman" w:hAnsi="Times New Roman" w:cs="Times New Roman"/>
          <w:sz w:val="26"/>
          <w:szCs w:val="26"/>
        </w:rPr>
        <w:t xml:space="preserve"> </w:t>
      </w:r>
      <w:r w:rsidRPr="004525D4">
        <w:rPr>
          <w:rFonts w:ascii="Times New Roman" w:hAnsi="Times New Roman" w:cs="Times New Roman"/>
          <w:sz w:val="26"/>
          <w:szCs w:val="26"/>
        </w:rPr>
        <w:t xml:space="preserve">The applicability of the proposed standard also remains unchanged from prior versions: the standard </w:t>
      </w:r>
      <w:r>
        <w:rPr>
          <w:rFonts w:ascii="Times New Roman" w:hAnsi="Times New Roman" w:cs="Times New Roman"/>
          <w:sz w:val="26"/>
          <w:szCs w:val="26"/>
        </w:rPr>
        <w:t>applies</w:t>
      </w:r>
      <w:r w:rsidRPr="004525D4">
        <w:rPr>
          <w:rFonts w:ascii="Times New Roman" w:hAnsi="Times New Roman" w:cs="Times New Roman"/>
          <w:sz w:val="26"/>
          <w:szCs w:val="26"/>
        </w:rPr>
        <w:t xml:space="preserve"> to</w:t>
      </w:r>
      <w:r>
        <w:rPr>
          <w:rFonts w:ascii="Times New Roman" w:hAnsi="Times New Roman" w:cs="Times New Roman"/>
          <w:sz w:val="26"/>
          <w:szCs w:val="26"/>
        </w:rPr>
        <w:t xml:space="preserve"> registered</w:t>
      </w:r>
      <w:r w:rsidRPr="004525D4">
        <w:rPr>
          <w:rFonts w:ascii="Times New Roman" w:hAnsi="Times New Roman" w:cs="Times New Roman"/>
          <w:sz w:val="26"/>
          <w:szCs w:val="26"/>
        </w:rPr>
        <w:t>: (1) Planning Coordinators and Transmission Planners whose planning areas have a Facility that includes a power transformer with a high side, wye-grounded winding with terminal voltage greater than 200 kV; and (2) Transmission Owners and Generator Owners that own a Facility that includes such equipment.</w:t>
      </w:r>
      <w:r>
        <w:rPr>
          <w:rFonts w:ascii="Times New Roman" w:hAnsi="Times New Roman" w:cs="Times New Roman"/>
          <w:sz w:val="26"/>
          <w:szCs w:val="26"/>
        </w:rPr>
        <w:t xml:space="preserve">    </w:t>
      </w:r>
    </w:p>
    <w:p w:rsidR="00C90824" w:rsidP="00C76A7B" w14:paraId="7096C576" w14:textId="77777777">
      <w:pPr>
        <w:autoSpaceDE w:val="0"/>
        <w:autoSpaceDN w:val="0"/>
        <w:adjustRightInd w:val="0"/>
        <w:spacing w:after="0" w:line="240" w:lineRule="auto"/>
        <w:rPr>
          <w:rFonts w:ascii="Times New Roman" w:hAnsi="Times New Roman" w:cs="Times New Roman"/>
          <w:sz w:val="26"/>
          <w:szCs w:val="26"/>
        </w:rPr>
      </w:pPr>
    </w:p>
    <w:p w:rsidR="00C90824" w:rsidP="00C76A7B" w14:paraId="42739E01" w14:textId="4841C4B9">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The purpose of </w:t>
      </w:r>
      <w:r w:rsidRPr="00C90824">
        <w:rPr>
          <w:rFonts w:ascii="Times New Roman" w:hAnsi="Times New Roman" w:cs="Times New Roman"/>
          <w:sz w:val="26"/>
          <w:szCs w:val="26"/>
        </w:rPr>
        <w:t xml:space="preserve">Reliability Standard TPL-008-1 requires planning coordinators and transmission planners to establish Transmission system planning performance </w:t>
      </w:r>
      <w:r w:rsidRPr="00C90824">
        <w:rPr>
          <w:rFonts w:ascii="Times New Roman" w:hAnsi="Times New Roman" w:cs="Times New Roman"/>
          <w:sz w:val="26"/>
          <w:szCs w:val="26"/>
        </w:rPr>
        <w:t>requirements to develop a Bulk Power System (BPS) that will operate reliably during extreme heat and extreme cold temperature events</w:t>
      </w:r>
      <w:r>
        <w:rPr>
          <w:rFonts w:ascii="Times New Roman" w:hAnsi="Times New Roman" w:cs="Times New Roman"/>
          <w:sz w:val="26"/>
          <w:szCs w:val="26"/>
        </w:rPr>
        <w:t>.</w:t>
      </w:r>
      <w:r w:rsidR="00CF77B7">
        <w:rPr>
          <w:rFonts w:ascii="Times New Roman" w:hAnsi="Times New Roman" w:cs="Times New Roman"/>
          <w:sz w:val="26"/>
          <w:szCs w:val="26"/>
        </w:rPr>
        <w:t xml:space="preserve">  This effort</w:t>
      </w:r>
      <w:r w:rsidR="00677334">
        <w:rPr>
          <w:rFonts w:ascii="Times New Roman" w:hAnsi="Times New Roman" w:cs="Times New Roman"/>
          <w:sz w:val="26"/>
          <w:szCs w:val="26"/>
        </w:rPr>
        <w:t xml:space="preserve"> d</w:t>
      </w:r>
      <w:r w:rsidRPr="00677334" w:rsidR="00677334">
        <w:rPr>
          <w:rFonts w:ascii="Times New Roman" w:hAnsi="Times New Roman" w:cs="Times New Roman"/>
          <w:sz w:val="26"/>
          <w:szCs w:val="26"/>
        </w:rPr>
        <w:t>ocument</w:t>
      </w:r>
      <w:r w:rsidR="00677334">
        <w:rPr>
          <w:rFonts w:ascii="Times New Roman" w:hAnsi="Times New Roman" w:cs="Times New Roman"/>
          <w:sz w:val="26"/>
          <w:szCs w:val="26"/>
        </w:rPr>
        <w:t>s</w:t>
      </w:r>
      <w:r w:rsidRPr="00677334" w:rsidR="00677334">
        <w:rPr>
          <w:rFonts w:ascii="Times New Roman" w:hAnsi="Times New Roman" w:cs="Times New Roman"/>
          <w:sz w:val="26"/>
          <w:szCs w:val="26"/>
        </w:rPr>
        <w:t xml:space="preserve"> evaluation of future Bulk Electric System performance for extreme heat and extreme </w:t>
      </w:r>
      <w:r w:rsidRPr="00677334" w:rsidR="00677334">
        <w:rPr>
          <w:rFonts w:ascii="Times New Roman" w:hAnsi="Times New Roman" w:cs="Times New Roman"/>
          <w:sz w:val="26"/>
          <w:szCs w:val="26"/>
        </w:rPr>
        <w:t>cold benchmark</w:t>
      </w:r>
      <w:r w:rsidRPr="00677334" w:rsidR="00677334">
        <w:rPr>
          <w:rFonts w:ascii="Times New Roman" w:hAnsi="Times New Roman" w:cs="Times New Roman"/>
          <w:sz w:val="26"/>
          <w:szCs w:val="26"/>
        </w:rPr>
        <w:t xml:space="preserve"> temperature events</w:t>
      </w:r>
      <w:r w:rsidR="00677334">
        <w:rPr>
          <w:rFonts w:ascii="Times New Roman" w:hAnsi="Times New Roman" w:cs="Times New Roman"/>
          <w:sz w:val="26"/>
          <w:szCs w:val="26"/>
        </w:rPr>
        <w:t xml:space="preserve"> and creation </w:t>
      </w:r>
      <w:r w:rsidR="002A09D1">
        <w:rPr>
          <w:rFonts w:ascii="Times New Roman" w:hAnsi="Times New Roman" w:cs="Times New Roman"/>
          <w:sz w:val="26"/>
          <w:szCs w:val="26"/>
        </w:rPr>
        <w:t>of corrective action plans.</w:t>
      </w:r>
    </w:p>
    <w:p w:rsidR="00C90824" w:rsidP="00C90824" w14:paraId="449021DC" w14:textId="0090F0E1">
      <w:pPr>
        <w:autoSpaceDE w:val="0"/>
        <w:autoSpaceDN w:val="0"/>
        <w:adjustRightInd w:val="0"/>
        <w:spacing w:after="0" w:line="240" w:lineRule="auto"/>
        <w:rPr>
          <w:rFonts w:ascii="Times New Roman" w:hAnsi="Times New Roman" w:cs="Times New Roman"/>
          <w:sz w:val="26"/>
          <w:szCs w:val="26"/>
        </w:rPr>
      </w:pPr>
    </w:p>
    <w:p w:rsidR="003E7E96" w:rsidP="004F7025" w14:paraId="081BE7EF" w14:textId="553DF295">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p>
    <w:p w:rsidR="003E7E96" w14:paraId="319D73DF" w14:textId="77777777">
      <w:pPr>
        <w:spacing w:after="0" w:line="240" w:lineRule="auto"/>
        <w:rPr>
          <w:rFonts w:ascii="Times New Roman" w:eastAsia="Calibri" w:hAnsi="Times New Roman" w:cs="Times New Roman"/>
          <w:sz w:val="26"/>
          <w:szCs w:val="26"/>
        </w:rPr>
      </w:pPr>
    </w:p>
    <w:p w:rsidR="003E7E96" w14:paraId="007306C3" w14:textId="77777777">
      <w:pPr>
        <w:numPr>
          <w:ilvl w:val="0"/>
          <w:numId w:val="1"/>
        </w:numPr>
        <w:spacing w:after="0" w:line="240" w:lineRule="auto"/>
        <w:ind w:left="360"/>
        <w:contextualSpacing/>
        <w:rPr>
          <w:rFonts w:ascii="Times New Roman" w:eastAsia="Calibri" w:hAnsi="Times New Roman" w:cs="Times New Roman"/>
          <w:b/>
          <w:sz w:val="26"/>
          <w:szCs w:val="26"/>
        </w:rPr>
      </w:pPr>
      <w:r>
        <w:rPr>
          <w:rFonts w:ascii="Times New Roman" w:eastAsia="Calibri" w:hAnsi="Times New Roman" w:cs="Times New Roman"/>
          <w:b/>
          <w:sz w:val="26"/>
          <w:szCs w:val="26"/>
        </w:rPr>
        <w:t>DESCRIBE ANY CONSIDERATION OF THE USE OF IMPROVED INFORMATION TECHNOLOGY TO REDUCE THE BURDEN AND TECHNICAL OR LEGAL OBSTACLES TO REDUCING BURDEN</w:t>
      </w:r>
    </w:p>
    <w:p w:rsidR="003E7E96" w14:paraId="57D704A9" w14:textId="77777777">
      <w:pPr>
        <w:spacing w:after="0" w:line="240" w:lineRule="auto"/>
        <w:rPr>
          <w:rFonts w:ascii="Times New Roman" w:eastAsia="Calibri" w:hAnsi="Times New Roman" w:cs="Times New Roman"/>
          <w:sz w:val="26"/>
          <w:szCs w:val="26"/>
        </w:rPr>
      </w:pPr>
    </w:p>
    <w:p w:rsidR="003E7E96" w14:paraId="6EDAAC79" w14:textId="77777777">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The use of current or improved technology is not covered in Reliability Standards and is, therefore, left to the discretion of each reporting entity. Commission staff think that nearly </w:t>
      </w:r>
      <w:r>
        <w:rPr>
          <w:rFonts w:ascii="Times New Roman" w:eastAsia="Calibri" w:hAnsi="Times New Roman" w:cs="Times New Roman"/>
          <w:sz w:val="26"/>
          <w:szCs w:val="26"/>
        </w:rPr>
        <w:t>all of</w:t>
      </w:r>
      <w:r>
        <w:rPr>
          <w:rFonts w:ascii="Times New Roman" w:eastAsia="Calibri" w:hAnsi="Times New Roman" w:cs="Times New Roman"/>
          <w:sz w:val="26"/>
          <w:szCs w:val="26"/>
        </w:rPr>
        <w:t xml:space="preserve"> the respondents are likely to make and keep related records in an electronic format.  Each of the six Regional Entities has a well-established compliance portal for registered entities to electronically submit compliance information and reports.  The compliance portals allow documents developed by the registered entities to be attached and uploaded to the Regional Entity’s portal.  Compliance data can also be submitted by filling out data forms on the portals.  These portals are accessible through an internet browser password protected user interface.</w:t>
      </w:r>
    </w:p>
    <w:p w:rsidR="003E7E96" w14:paraId="56178488" w14:textId="77777777">
      <w:pPr>
        <w:spacing w:after="0" w:line="240" w:lineRule="auto"/>
        <w:rPr>
          <w:rFonts w:ascii="Times New Roman" w:eastAsia="Calibri" w:hAnsi="Times New Roman" w:cs="Times New Roman"/>
          <w:sz w:val="26"/>
          <w:szCs w:val="26"/>
        </w:rPr>
      </w:pPr>
    </w:p>
    <w:p w:rsidR="003E7E96" w14:paraId="5F4448DF" w14:textId="77777777">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The submittals are not made to FERC.</w:t>
      </w:r>
    </w:p>
    <w:p w:rsidR="003E7E96" w14:paraId="59AC6954" w14:textId="77777777">
      <w:pPr>
        <w:spacing w:after="0" w:line="240" w:lineRule="auto"/>
        <w:rPr>
          <w:rFonts w:ascii="Times New Roman" w:eastAsia="Calibri" w:hAnsi="Times New Roman" w:cs="Times New Roman"/>
          <w:sz w:val="26"/>
          <w:szCs w:val="26"/>
        </w:rPr>
      </w:pPr>
    </w:p>
    <w:p w:rsidR="003E7E96" w14:paraId="46519EF2" w14:textId="77777777">
      <w:pPr>
        <w:numPr>
          <w:ilvl w:val="0"/>
          <w:numId w:val="1"/>
        </w:numPr>
        <w:spacing w:after="0" w:line="240" w:lineRule="auto"/>
        <w:ind w:left="360"/>
        <w:contextualSpacing/>
        <w:rPr>
          <w:rFonts w:ascii="Times New Roman" w:eastAsia="Calibri" w:hAnsi="Times New Roman" w:cs="Times New Roman"/>
          <w:b/>
          <w:sz w:val="26"/>
          <w:szCs w:val="26"/>
        </w:rPr>
      </w:pPr>
      <w:r>
        <w:rPr>
          <w:rFonts w:ascii="Times New Roman" w:eastAsia="Calibri" w:hAnsi="Times New Roman" w:cs="Times New Roman"/>
          <w:b/>
          <w:sz w:val="26"/>
          <w:szCs w:val="26"/>
        </w:rPr>
        <w:t>DESCRIBE EFFORTS TO IDENTIFY DUPLICATION AND SHOW SPECIFICALLY WHY ANY SIMILAR INFORMATION ALREADY AVAILABLE CANNOT BE USED OR MODIFIED FOR USE FOR THE PURPOSE(S) DESCRIBED IN INSTRUCTION NO. 2</w:t>
      </w:r>
    </w:p>
    <w:p w:rsidR="003E7E96" w14:paraId="444B852D" w14:textId="77777777">
      <w:pPr>
        <w:spacing w:after="0" w:line="240" w:lineRule="auto"/>
        <w:rPr>
          <w:rFonts w:ascii="Times New Roman" w:eastAsia="Calibri" w:hAnsi="Times New Roman" w:cs="Times New Roman"/>
          <w:sz w:val="26"/>
          <w:szCs w:val="26"/>
        </w:rPr>
      </w:pPr>
    </w:p>
    <w:p w:rsidR="003E7E96" w14:paraId="2040F255" w14:textId="77777777">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The information collection requirements are unique to the proposed Reliability Standard and to the FERC-725N information collection.  The Commission does not know of any duplication </w:t>
      </w:r>
      <w:r>
        <w:rPr>
          <w:rFonts w:ascii="Times New Roman" w:eastAsia="Calibri" w:hAnsi="Times New Roman" w:cs="Times New Roman"/>
          <w:sz w:val="26"/>
          <w:szCs w:val="26"/>
        </w:rPr>
        <w:t>in</w:t>
      </w:r>
      <w:r>
        <w:rPr>
          <w:rFonts w:ascii="Times New Roman" w:eastAsia="Calibri" w:hAnsi="Times New Roman" w:cs="Times New Roman"/>
          <w:sz w:val="26"/>
          <w:szCs w:val="26"/>
        </w:rPr>
        <w:t xml:space="preserve"> the requirements. </w:t>
      </w:r>
    </w:p>
    <w:p w:rsidR="003E7E96" w14:paraId="769D5854" w14:textId="77777777">
      <w:pPr>
        <w:spacing w:after="0" w:line="240" w:lineRule="auto"/>
        <w:rPr>
          <w:rFonts w:ascii="Times New Roman" w:eastAsia="Calibri" w:hAnsi="Times New Roman" w:cs="Times New Roman"/>
          <w:sz w:val="26"/>
          <w:szCs w:val="26"/>
        </w:rPr>
      </w:pPr>
    </w:p>
    <w:p w:rsidR="003E7E96" w14:paraId="0D528A3A" w14:textId="77777777">
      <w:pPr>
        <w:numPr>
          <w:ilvl w:val="0"/>
          <w:numId w:val="1"/>
        </w:numPr>
        <w:spacing w:after="0" w:line="240" w:lineRule="auto"/>
        <w:ind w:left="360"/>
        <w:contextualSpacing/>
        <w:rPr>
          <w:rFonts w:ascii="Times New Roman" w:eastAsia="Calibri" w:hAnsi="Times New Roman" w:cs="Times New Roman"/>
          <w:b/>
          <w:sz w:val="26"/>
          <w:szCs w:val="26"/>
        </w:rPr>
      </w:pPr>
      <w:r>
        <w:rPr>
          <w:rFonts w:ascii="Times New Roman" w:eastAsia="Calibri" w:hAnsi="Times New Roman" w:cs="Times New Roman"/>
          <w:b/>
          <w:sz w:val="26"/>
          <w:szCs w:val="26"/>
        </w:rPr>
        <w:t>METHODS USED TO MINIMIZE THE BURDEN IN COLLECTION OF INFORMATION INVOLVING SMALL ENTITIES</w:t>
      </w:r>
    </w:p>
    <w:p w:rsidR="003E7E96" w14:paraId="328D825A" w14:textId="77777777">
      <w:pPr>
        <w:spacing w:after="0" w:line="240" w:lineRule="auto"/>
        <w:rPr>
          <w:rFonts w:ascii="Times New Roman" w:eastAsia="Calibri" w:hAnsi="Times New Roman" w:cs="Times New Roman"/>
          <w:sz w:val="26"/>
          <w:szCs w:val="26"/>
        </w:rPr>
      </w:pPr>
    </w:p>
    <w:p w:rsidR="003E7E96" w14:paraId="79CE81C5" w14:textId="77777777">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Small entities generally can reduce their burden by taking part in a joint registration organization or a coordinated functional registration.  These options allow an entity the ability to share its compliance burden with other similar entities.</w:t>
      </w:r>
    </w:p>
    <w:p w:rsidR="003E7E96" w14:paraId="025562EC" w14:textId="77777777">
      <w:pPr>
        <w:spacing w:after="0" w:line="240" w:lineRule="auto"/>
        <w:rPr>
          <w:rFonts w:ascii="Times New Roman" w:eastAsia="Calibri" w:hAnsi="Times New Roman" w:cs="Times New Roman"/>
          <w:sz w:val="26"/>
          <w:szCs w:val="26"/>
        </w:rPr>
      </w:pPr>
    </w:p>
    <w:p w:rsidR="003E7E96" w14:paraId="20C0B10F" w14:textId="77777777">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Detailed information regarding these options is available in NERC’s Rules of Procedure </w:t>
      </w:r>
      <w:r>
        <w:rPr>
          <w:rFonts w:ascii="Times New Roman" w:eastAsia="Calibri" w:hAnsi="Times New Roman" w:cs="Times New Roman"/>
          <w:sz w:val="26"/>
          <w:szCs w:val="26"/>
        </w:rPr>
        <w:t>at</w:t>
      </w:r>
      <w:r>
        <w:rPr>
          <w:rFonts w:ascii="Times New Roman" w:eastAsia="Calibri" w:hAnsi="Times New Roman" w:cs="Times New Roman"/>
          <w:sz w:val="26"/>
          <w:szCs w:val="26"/>
        </w:rPr>
        <w:t xml:space="preserve"> sections 507 and 508.</w:t>
      </w:r>
      <w:r>
        <w:rPr>
          <w:rFonts w:ascii="Times New Roman" w:eastAsia="Calibri" w:hAnsi="Times New Roman" w:cs="Times New Roman"/>
          <w:sz w:val="26"/>
          <w:szCs w:val="26"/>
          <w:vertAlign w:val="superscript"/>
        </w:rPr>
        <w:footnoteReference w:id="6"/>
      </w:r>
    </w:p>
    <w:p w:rsidR="003E7E96" w14:paraId="1B553E35" w14:textId="77777777">
      <w:pPr>
        <w:spacing w:after="0" w:line="240" w:lineRule="auto"/>
        <w:rPr>
          <w:rFonts w:ascii="Times New Roman" w:eastAsia="Calibri" w:hAnsi="Times New Roman" w:cs="Times New Roman"/>
          <w:sz w:val="26"/>
          <w:szCs w:val="26"/>
        </w:rPr>
      </w:pPr>
    </w:p>
    <w:p w:rsidR="003E7E96" w14:paraId="304032C0" w14:textId="77777777">
      <w:pPr>
        <w:numPr>
          <w:ilvl w:val="0"/>
          <w:numId w:val="1"/>
        </w:numPr>
        <w:spacing w:after="0" w:line="240" w:lineRule="auto"/>
        <w:ind w:left="360"/>
        <w:contextualSpacing/>
        <w:rPr>
          <w:rFonts w:ascii="Times New Roman" w:eastAsia="Calibri" w:hAnsi="Times New Roman" w:cs="Times New Roman"/>
          <w:b/>
          <w:sz w:val="26"/>
          <w:szCs w:val="26"/>
        </w:rPr>
      </w:pPr>
      <w:r>
        <w:rPr>
          <w:rFonts w:ascii="Times New Roman" w:eastAsia="Calibri" w:hAnsi="Times New Roman" w:cs="Times New Roman"/>
          <w:b/>
          <w:sz w:val="26"/>
          <w:szCs w:val="26"/>
        </w:rPr>
        <w:t>CONSEQUENCE TO FEDERAL PROGRAM IF COLLECTION WERE CONDUCTED LESS FREQUENTLY</w:t>
      </w:r>
    </w:p>
    <w:p w:rsidR="003E7E96" w14:paraId="29E7ABC5" w14:textId="77777777">
      <w:pPr>
        <w:spacing w:after="0" w:line="240" w:lineRule="auto"/>
        <w:rPr>
          <w:rFonts w:ascii="Times New Roman" w:eastAsia="Calibri" w:hAnsi="Times New Roman" w:cs="Times New Roman"/>
          <w:sz w:val="26"/>
          <w:szCs w:val="26"/>
        </w:rPr>
      </w:pPr>
    </w:p>
    <w:p w:rsidR="00C90824" w14:paraId="04D9298A" w14:textId="501C77FF">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For TPL-001-5.1 if this standard and the associated information collection requirements did not exist or were performed less frequently, </w:t>
      </w:r>
      <w:r w:rsidR="00E6032E">
        <w:rPr>
          <w:rFonts w:ascii="Times New Roman" w:eastAsia="Calibri" w:hAnsi="Times New Roman" w:cs="Times New Roman"/>
          <w:sz w:val="26"/>
          <w:szCs w:val="26"/>
        </w:rPr>
        <w:t xml:space="preserve">it would result in failure to </w:t>
      </w:r>
      <w:r w:rsidRPr="00E6032E" w:rsidR="00E6032E">
        <w:rPr>
          <w:rFonts w:ascii="Times New Roman" w:eastAsia="Calibri" w:hAnsi="Times New Roman" w:cs="Times New Roman"/>
          <w:sz w:val="26"/>
          <w:szCs w:val="26"/>
        </w:rPr>
        <w:t xml:space="preserve">maintain System models within </w:t>
      </w:r>
      <w:r w:rsidR="00E6032E">
        <w:rPr>
          <w:rFonts w:ascii="Times New Roman" w:eastAsia="Calibri" w:hAnsi="Times New Roman" w:cs="Times New Roman"/>
          <w:sz w:val="26"/>
          <w:szCs w:val="26"/>
        </w:rPr>
        <w:t>their</w:t>
      </w:r>
      <w:r w:rsidRPr="00E6032E" w:rsidR="00E6032E">
        <w:rPr>
          <w:rFonts w:ascii="Times New Roman" w:eastAsia="Calibri" w:hAnsi="Times New Roman" w:cs="Times New Roman"/>
          <w:sz w:val="26"/>
          <w:szCs w:val="26"/>
        </w:rPr>
        <w:t xml:space="preserve"> respective area</w:t>
      </w:r>
      <w:r w:rsidR="00E6032E">
        <w:rPr>
          <w:rFonts w:ascii="Times New Roman" w:eastAsia="Calibri" w:hAnsi="Times New Roman" w:cs="Times New Roman"/>
          <w:sz w:val="26"/>
          <w:szCs w:val="26"/>
        </w:rPr>
        <w:t>s</w:t>
      </w:r>
      <w:r w:rsidRPr="00E6032E" w:rsidR="00E6032E">
        <w:rPr>
          <w:rFonts w:ascii="Times New Roman" w:eastAsia="Calibri" w:hAnsi="Times New Roman" w:cs="Times New Roman"/>
          <w:sz w:val="26"/>
          <w:szCs w:val="26"/>
        </w:rPr>
        <w:t xml:space="preserve"> for performing the studies needed to complete its Planning Assessment</w:t>
      </w:r>
      <w:r w:rsidR="00E6032E">
        <w:rPr>
          <w:rFonts w:ascii="Times New Roman" w:eastAsia="Calibri" w:hAnsi="Times New Roman" w:cs="Times New Roman"/>
          <w:sz w:val="26"/>
          <w:szCs w:val="26"/>
        </w:rPr>
        <w:t xml:space="preserve">.  With inaccurate studies the bulk-electric system efficient operations would be in jeopardy and may lead to potential system events. </w:t>
      </w:r>
    </w:p>
    <w:p w:rsidR="00C90824" w14:paraId="726172EC" w14:textId="77777777">
      <w:pPr>
        <w:spacing w:after="0" w:line="240" w:lineRule="auto"/>
        <w:rPr>
          <w:rFonts w:ascii="Times New Roman" w:eastAsia="Calibri" w:hAnsi="Times New Roman" w:cs="Times New Roman"/>
          <w:sz w:val="26"/>
          <w:szCs w:val="26"/>
        </w:rPr>
      </w:pPr>
    </w:p>
    <w:p w:rsidR="003E7E96" w14:paraId="37B56B00" w14:textId="53758AF4">
      <w:pPr>
        <w:spacing w:after="0" w:line="240" w:lineRule="auto"/>
        <w:rPr>
          <w:rFonts w:ascii="Times New Roman" w:hAnsi="Times New Roman" w:cs="Times New Roman"/>
          <w:sz w:val="26"/>
          <w:szCs w:val="26"/>
        </w:rPr>
      </w:pPr>
      <w:r>
        <w:rPr>
          <w:rFonts w:ascii="Times New Roman" w:eastAsia="Calibri" w:hAnsi="Times New Roman" w:cs="Times New Roman"/>
          <w:sz w:val="26"/>
          <w:szCs w:val="26"/>
        </w:rPr>
        <w:t>For TPL-007-</w:t>
      </w:r>
      <w:r>
        <w:rPr>
          <w:rFonts w:ascii="Times New Roman" w:eastAsia="Calibri" w:hAnsi="Times New Roman" w:cs="Times New Roman"/>
          <w:sz w:val="26"/>
          <w:szCs w:val="26"/>
        </w:rPr>
        <w:t>4 ,i</w:t>
      </w:r>
      <w:r w:rsidR="00CD4424">
        <w:rPr>
          <w:rFonts w:ascii="Times New Roman" w:eastAsia="Calibri" w:hAnsi="Times New Roman" w:cs="Times New Roman"/>
          <w:sz w:val="26"/>
          <w:szCs w:val="26"/>
        </w:rPr>
        <w:t>f</w:t>
      </w:r>
      <w:r w:rsidR="00CD4424">
        <w:rPr>
          <w:rFonts w:ascii="Times New Roman" w:eastAsia="Calibri" w:hAnsi="Times New Roman" w:cs="Times New Roman"/>
          <w:sz w:val="26"/>
          <w:szCs w:val="26"/>
        </w:rPr>
        <w:t xml:space="preserve"> this standard and the associated information collection requirements did not exist or were performed less frequently, the reduction or elimination of transmission system planning would likely lead to lower system reliability and higher vulnerability and risk, such as transmission system outages and loss of load.</w:t>
      </w:r>
      <w:r w:rsidR="00783B00">
        <w:rPr>
          <w:rFonts w:ascii="Times New Roman" w:eastAsia="Calibri" w:hAnsi="Times New Roman" w:cs="Times New Roman"/>
          <w:sz w:val="26"/>
          <w:szCs w:val="26"/>
        </w:rPr>
        <w:t xml:space="preserve">  </w:t>
      </w:r>
      <w:r w:rsidRPr="00C76A7B" w:rsidR="00783B00">
        <w:rPr>
          <w:rFonts w:ascii="Times New Roman" w:hAnsi="Times New Roman" w:cs="Times New Roman"/>
          <w:sz w:val="26"/>
          <w:szCs w:val="26"/>
        </w:rPr>
        <w:t xml:space="preserve">During a </w:t>
      </w:r>
      <w:r w:rsidR="00783B00">
        <w:rPr>
          <w:rFonts w:ascii="Times New Roman" w:hAnsi="Times New Roman" w:cs="Times New Roman"/>
          <w:sz w:val="26"/>
          <w:szCs w:val="26"/>
        </w:rPr>
        <w:t>GMD</w:t>
      </w:r>
      <w:r w:rsidRPr="00C76A7B" w:rsidR="00783B00">
        <w:rPr>
          <w:rFonts w:ascii="Times New Roman" w:hAnsi="Times New Roman" w:cs="Times New Roman"/>
          <w:sz w:val="26"/>
          <w:szCs w:val="26"/>
        </w:rPr>
        <w:t xml:space="preserve"> event, GIC </w:t>
      </w:r>
      <w:r w:rsidR="00783B00">
        <w:rPr>
          <w:rFonts w:ascii="Times New Roman" w:hAnsi="Times New Roman" w:cs="Times New Roman"/>
          <w:sz w:val="26"/>
          <w:szCs w:val="26"/>
        </w:rPr>
        <w:t xml:space="preserve">on the BPS </w:t>
      </w:r>
      <w:r w:rsidRPr="00C76A7B" w:rsidR="00783B00">
        <w:rPr>
          <w:rFonts w:ascii="Times New Roman" w:hAnsi="Times New Roman" w:cs="Times New Roman"/>
          <w:sz w:val="26"/>
          <w:szCs w:val="26"/>
        </w:rPr>
        <w:t>may cause</w:t>
      </w:r>
      <w:r w:rsidR="00783B00">
        <w:rPr>
          <w:rFonts w:ascii="Times New Roman" w:hAnsi="Times New Roman" w:cs="Times New Roman"/>
          <w:sz w:val="26"/>
          <w:szCs w:val="26"/>
        </w:rPr>
        <w:t xml:space="preserve"> </w:t>
      </w:r>
      <w:r w:rsidRPr="00C76A7B" w:rsidR="00783B00">
        <w:rPr>
          <w:rFonts w:ascii="Times New Roman" w:hAnsi="Times New Roman" w:cs="Times New Roman"/>
          <w:sz w:val="26"/>
          <w:szCs w:val="26"/>
        </w:rPr>
        <w:t>transformer hot-spot heating or damage, loss of Reactive Power sources, increased</w:t>
      </w:r>
      <w:r w:rsidR="00783B00">
        <w:rPr>
          <w:rFonts w:ascii="Times New Roman" w:hAnsi="Times New Roman" w:cs="Times New Roman"/>
          <w:sz w:val="26"/>
          <w:szCs w:val="26"/>
        </w:rPr>
        <w:t xml:space="preserve"> </w:t>
      </w:r>
      <w:r w:rsidRPr="00C76A7B" w:rsidR="00783B00">
        <w:rPr>
          <w:rFonts w:ascii="Times New Roman" w:hAnsi="Times New Roman" w:cs="Times New Roman"/>
          <w:sz w:val="26"/>
          <w:szCs w:val="26"/>
        </w:rPr>
        <w:t xml:space="preserve">Reactive Power demand, and </w:t>
      </w:r>
      <w:r w:rsidRPr="00C76A7B" w:rsidR="00783B00">
        <w:rPr>
          <w:rFonts w:ascii="Times New Roman" w:hAnsi="Times New Roman" w:cs="Times New Roman"/>
          <w:sz w:val="26"/>
          <w:szCs w:val="26"/>
        </w:rPr>
        <w:t>Misoperation</w:t>
      </w:r>
      <w:r w:rsidRPr="00C76A7B" w:rsidR="00783B00">
        <w:rPr>
          <w:rFonts w:ascii="Times New Roman" w:hAnsi="Times New Roman" w:cs="Times New Roman"/>
          <w:sz w:val="26"/>
          <w:szCs w:val="26"/>
        </w:rPr>
        <w:t>(s), the combination of which may result in</w:t>
      </w:r>
      <w:r w:rsidR="00783B00">
        <w:rPr>
          <w:rFonts w:ascii="Times New Roman" w:hAnsi="Times New Roman" w:cs="Times New Roman"/>
          <w:sz w:val="26"/>
          <w:szCs w:val="26"/>
        </w:rPr>
        <w:t xml:space="preserve"> </w:t>
      </w:r>
      <w:r w:rsidRPr="00C76A7B" w:rsidR="00783B00">
        <w:rPr>
          <w:rFonts w:ascii="Times New Roman" w:hAnsi="Times New Roman" w:cs="Times New Roman"/>
          <w:sz w:val="26"/>
          <w:szCs w:val="26"/>
        </w:rPr>
        <w:t>voltage collapse and blackout.</w:t>
      </w:r>
      <w:r w:rsidR="00783B00">
        <w:rPr>
          <w:rFonts w:ascii="Times New Roman" w:hAnsi="Times New Roman" w:cs="Times New Roman"/>
          <w:sz w:val="26"/>
          <w:szCs w:val="26"/>
        </w:rPr>
        <w:t xml:space="preserve">  Conducting </w:t>
      </w:r>
      <w:r w:rsidR="00783B00">
        <w:rPr>
          <w:rFonts w:ascii="Times New Roman" w:hAnsi="Times New Roman" w:cs="Times New Roman"/>
          <w:sz w:val="26"/>
          <w:szCs w:val="26"/>
        </w:rPr>
        <w:t>the vulnerability</w:t>
      </w:r>
      <w:r w:rsidR="00783B00">
        <w:rPr>
          <w:rFonts w:ascii="Times New Roman" w:hAnsi="Times New Roman" w:cs="Times New Roman"/>
          <w:sz w:val="26"/>
          <w:szCs w:val="26"/>
        </w:rPr>
        <w:t xml:space="preserve"> assessment and corrective action planning once every 5 years allows for system planners to reassess how changes in the system topology </w:t>
      </w:r>
      <w:r w:rsidR="00783B00">
        <w:rPr>
          <w:rFonts w:ascii="Times New Roman" w:hAnsi="Times New Roman" w:cs="Times New Roman"/>
          <w:sz w:val="26"/>
          <w:szCs w:val="26"/>
        </w:rPr>
        <w:t>effect</w:t>
      </w:r>
      <w:r w:rsidR="00783B00">
        <w:rPr>
          <w:rFonts w:ascii="Times New Roman" w:hAnsi="Times New Roman" w:cs="Times New Roman"/>
          <w:sz w:val="26"/>
          <w:szCs w:val="26"/>
        </w:rPr>
        <w:t xml:space="preserve"> their system’s GMD vulnerabilities.</w:t>
      </w:r>
    </w:p>
    <w:p w:rsidR="00E6032E" w14:paraId="6361A6A5" w14:textId="77777777">
      <w:pPr>
        <w:spacing w:after="0" w:line="240" w:lineRule="auto"/>
        <w:rPr>
          <w:rFonts w:ascii="Times New Roman" w:hAnsi="Times New Roman" w:cs="Times New Roman"/>
          <w:sz w:val="26"/>
          <w:szCs w:val="26"/>
        </w:rPr>
      </w:pPr>
    </w:p>
    <w:p w:rsidR="00E6032E" w14:paraId="52971A65" w14:textId="2C02DCAA">
      <w:pPr>
        <w:spacing w:after="0" w:line="240" w:lineRule="auto"/>
        <w:rPr>
          <w:rFonts w:ascii="Times New Roman" w:eastAsia="Calibri" w:hAnsi="Times New Roman" w:cs="Times New Roman"/>
          <w:sz w:val="26"/>
          <w:szCs w:val="26"/>
        </w:rPr>
      </w:pPr>
      <w:r>
        <w:rPr>
          <w:rFonts w:ascii="Times New Roman" w:hAnsi="Times New Roman" w:cs="Times New Roman"/>
          <w:sz w:val="26"/>
          <w:szCs w:val="26"/>
        </w:rPr>
        <w:t>For TPL-008-1,</w:t>
      </w:r>
      <w:r w:rsidRPr="00E6032E">
        <w:rPr>
          <w:rFonts w:ascii="Times New Roman" w:eastAsia="Calibri" w:hAnsi="Times New Roman" w:cs="Times New Roman"/>
          <w:sz w:val="26"/>
          <w:szCs w:val="26"/>
        </w:rPr>
        <w:t xml:space="preserve"> </w:t>
      </w:r>
      <w:r>
        <w:rPr>
          <w:rFonts w:ascii="Times New Roman" w:eastAsia="Calibri" w:hAnsi="Times New Roman" w:cs="Times New Roman"/>
          <w:sz w:val="26"/>
          <w:szCs w:val="26"/>
        </w:rPr>
        <w:t>if this standard and the associated information collection requirements did not exist or were performed less frequently the extreme temperature assessment may not be accurately performed every five years and the coordination of across entities could impact the reliability of the bulk electric system leading to entities not being able to manage system operations in periods of extreme weather.</w:t>
      </w:r>
    </w:p>
    <w:p w:rsidR="003E7E96" w14:paraId="45D6AEF3" w14:textId="77777777">
      <w:pPr>
        <w:spacing w:after="0" w:line="240" w:lineRule="auto"/>
        <w:rPr>
          <w:rFonts w:ascii="Times New Roman" w:eastAsia="Calibri" w:hAnsi="Times New Roman" w:cs="Times New Roman"/>
          <w:sz w:val="26"/>
          <w:szCs w:val="26"/>
        </w:rPr>
      </w:pPr>
    </w:p>
    <w:p w:rsidR="003E7E96" w14:paraId="580272D9" w14:textId="77777777">
      <w:pPr>
        <w:numPr>
          <w:ilvl w:val="0"/>
          <w:numId w:val="1"/>
        </w:numPr>
        <w:spacing w:after="0" w:line="240" w:lineRule="auto"/>
        <w:ind w:left="360"/>
        <w:contextualSpacing/>
        <w:rPr>
          <w:rFonts w:ascii="Times New Roman" w:eastAsia="Calibri" w:hAnsi="Times New Roman" w:cs="Times New Roman"/>
          <w:b/>
          <w:sz w:val="26"/>
          <w:szCs w:val="26"/>
        </w:rPr>
      </w:pPr>
      <w:r>
        <w:rPr>
          <w:rFonts w:ascii="Times New Roman" w:eastAsia="Calibri" w:hAnsi="Times New Roman" w:cs="Times New Roman"/>
          <w:b/>
          <w:sz w:val="26"/>
          <w:szCs w:val="26"/>
        </w:rPr>
        <w:t>EXPLAIN ANY SPECIAL CIRCUMSTANCES RELATING TO THE INFORMATION COLLECTION</w:t>
      </w:r>
    </w:p>
    <w:p w:rsidR="003E7E96" w14:paraId="70FCCF1D" w14:textId="77777777">
      <w:pPr>
        <w:spacing w:after="0" w:line="240" w:lineRule="auto"/>
        <w:rPr>
          <w:rFonts w:ascii="Times New Roman" w:eastAsia="Calibri" w:hAnsi="Times New Roman" w:cs="Times New Roman"/>
          <w:sz w:val="26"/>
          <w:szCs w:val="26"/>
        </w:rPr>
      </w:pPr>
    </w:p>
    <w:p w:rsidR="003E7E96" w14:paraId="2DA27509" w14:textId="072F7222">
      <w:pPr>
        <w:spacing w:after="0" w:line="240" w:lineRule="auto"/>
        <w:rPr>
          <w:rFonts w:ascii="Times New Roman" w:eastAsia="Calibri" w:hAnsi="Times New Roman" w:cs="Times New Roman"/>
          <w:color w:val="000000"/>
          <w:sz w:val="26"/>
          <w:szCs w:val="26"/>
        </w:rPr>
      </w:pPr>
      <w:r>
        <w:rPr>
          <w:rFonts w:ascii="Times New Roman" w:eastAsia="Calibri" w:hAnsi="Times New Roman" w:cs="Times New Roman"/>
          <w:sz w:val="26"/>
          <w:szCs w:val="26"/>
        </w:rPr>
        <w:t>There are no special circumstances related to the Reliability Standard</w:t>
      </w:r>
      <w:r w:rsidR="00E6032E">
        <w:rPr>
          <w:rFonts w:ascii="Times New Roman" w:eastAsia="Calibri" w:hAnsi="Times New Roman" w:cs="Times New Roman"/>
          <w:sz w:val="26"/>
          <w:szCs w:val="26"/>
        </w:rPr>
        <w:t>s TPL-001-5.1,</w:t>
      </w:r>
      <w:r>
        <w:rPr>
          <w:rFonts w:ascii="Times New Roman" w:eastAsia="Calibri" w:hAnsi="Times New Roman" w:cs="Times New Roman"/>
          <w:sz w:val="26"/>
          <w:szCs w:val="26"/>
        </w:rPr>
        <w:t xml:space="preserve"> TPL-007-4</w:t>
      </w:r>
      <w:r w:rsidR="00E6032E">
        <w:rPr>
          <w:rFonts w:ascii="Times New Roman" w:eastAsia="Calibri" w:hAnsi="Times New Roman" w:cs="Times New Roman"/>
          <w:sz w:val="26"/>
          <w:szCs w:val="26"/>
        </w:rPr>
        <w:t xml:space="preserve"> and TPL-008-1</w:t>
      </w:r>
      <w:r>
        <w:rPr>
          <w:rFonts w:ascii="Times New Roman" w:eastAsia="Calibri" w:hAnsi="Times New Roman" w:cs="Times New Roman"/>
          <w:sz w:val="26"/>
          <w:szCs w:val="26"/>
        </w:rPr>
        <w:t>.</w:t>
      </w:r>
    </w:p>
    <w:p w:rsidR="003E7E96" w14:paraId="4C70AA84" w14:textId="77777777">
      <w:pPr>
        <w:autoSpaceDE w:val="0"/>
        <w:autoSpaceDN w:val="0"/>
        <w:adjustRightInd w:val="0"/>
        <w:spacing w:after="0" w:line="240" w:lineRule="auto"/>
        <w:rPr>
          <w:rFonts w:ascii="Times New Roman" w:eastAsia="Calibri" w:hAnsi="Times New Roman" w:cs="Times New Roman"/>
          <w:color w:val="000000"/>
          <w:sz w:val="26"/>
          <w:szCs w:val="26"/>
        </w:rPr>
      </w:pPr>
    </w:p>
    <w:p w:rsidR="003E7E96" w14:paraId="194A7866" w14:textId="77777777">
      <w:pPr>
        <w:numPr>
          <w:ilvl w:val="0"/>
          <w:numId w:val="1"/>
        </w:numPr>
        <w:spacing w:after="0" w:line="240" w:lineRule="auto"/>
        <w:ind w:left="360"/>
        <w:contextualSpacing/>
        <w:rPr>
          <w:rFonts w:ascii="Times New Roman" w:eastAsia="Calibri" w:hAnsi="Times New Roman" w:cs="Times New Roman"/>
          <w:b/>
          <w:sz w:val="26"/>
          <w:szCs w:val="26"/>
        </w:rPr>
      </w:pPr>
      <w:r>
        <w:rPr>
          <w:rFonts w:ascii="Times New Roman" w:eastAsia="Calibri" w:hAnsi="Times New Roman" w:cs="Times New Roman"/>
          <w:b/>
          <w:sz w:val="26"/>
          <w:szCs w:val="26"/>
        </w:rPr>
        <w:t>DESCRIBE EFFORTS TO CONSULT OUTSIDE THE AGENCY: SUMMARIZE PUBLIC COMMENTS AND THE AGENCY’S RESPONSE</w:t>
      </w:r>
    </w:p>
    <w:p w:rsidR="003E7E96" w14:paraId="58F9B0DA" w14:textId="181C4F40">
      <w:pPr>
        <w:spacing w:after="0" w:line="240" w:lineRule="auto"/>
        <w:rPr>
          <w:rFonts w:ascii="Times New Roman" w:eastAsia="Calibri" w:hAnsi="Times New Roman" w:cs="Times New Roman"/>
          <w:bCs/>
          <w:sz w:val="26"/>
          <w:szCs w:val="26"/>
        </w:rPr>
      </w:pPr>
      <w:r>
        <w:rPr>
          <w:rFonts w:ascii="Times New Roman" w:eastAsia="Calibri" w:hAnsi="Times New Roman" w:cs="Times New Roman"/>
          <w:bCs/>
          <w:sz w:val="26"/>
          <w:szCs w:val="26"/>
        </w:rPr>
        <w:t>In accordance with OMB requirements, the Commission published a 60-day notice</w:t>
      </w:r>
      <w:r>
        <w:rPr>
          <w:rStyle w:val="FootnoteReference"/>
          <w:rFonts w:ascii="Times New Roman" w:eastAsia="Calibri" w:hAnsi="Times New Roman" w:cs="Times New Roman"/>
          <w:bCs/>
          <w:sz w:val="26"/>
          <w:szCs w:val="26"/>
          <w:vertAlign w:val="superscript"/>
        </w:rPr>
        <w:footnoteReference w:id="7"/>
      </w:r>
      <w:r>
        <w:rPr>
          <w:rFonts w:ascii="Times New Roman" w:eastAsia="Calibri" w:hAnsi="Times New Roman" w:cs="Times New Roman"/>
          <w:bCs/>
          <w:sz w:val="26"/>
          <w:szCs w:val="26"/>
          <w:vertAlign w:val="superscript"/>
        </w:rPr>
        <w:t xml:space="preserve"> </w:t>
      </w:r>
      <w:r>
        <w:rPr>
          <w:rFonts w:ascii="Times New Roman" w:eastAsia="Calibri" w:hAnsi="Times New Roman" w:cs="Times New Roman"/>
          <w:bCs/>
          <w:sz w:val="26"/>
          <w:szCs w:val="26"/>
        </w:rPr>
        <w:t xml:space="preserve"> and a 30-day notice</w:t>
      </w:r>
      <w:r>
        <w:rPr>
          <w:rStyle w:val="FootnoteReference"/>
          <w:rFonts w:ascii="Times New Roman" w:eastAsia="Calibri" w:hAnsi="Times New Roman" w:cs="Times New Roman"/>
          <w:bCs/>
          <w:sz w:val="26"/>
          <w:szCs w:val="26"/>
          <w:vertAlign w:val="superscript"/>
        </w:rPr>
        <w:footnoteReference w:id="8"/>
      </w:r>
      <w:r>
        <w:rPr>
          <w:rFonts w:ascii="Times New Roman" w:eastAsia="Calibri" w:hAnsi="Times New Roman" w:cs="Times New Roman"/>
          <w:bCs/>
          <w:sz w:val="26"/>
          <w:szCs w:val="26"/>
          <w:vertAlign w:val="superscript"/>
        </w:rPr>
        <w:t xml:space="preserve"> </w:t>
      </w:r>
      <w:r>
        <w:rPr>
          <w:rFonts w:ascii="Times New Roman" w:eastAsia="Calibri" w:hAnsi="Times New Roman" w:cs="Times New Roman"/>
          <w:bCs/>
          <w:sz w:val="26"/>
          <w:szCs w:val="26"/>
        </w:rPr>
        <w:t xml:space="preserve"> to the public regarding this information collection on </w:t>
      </w:r>
      <w:r w:rsidRPr="004F7025" w:rsidR="00226737">
        <w:rPr>
          <w:rFonts w:ascii="Times New Roman" w:eastAsia="Calibri" w:hAnsi="Times New Roman" w:cs="Times New Roman"/>
          <w:bCs/>
          <w:sz w:val="26"/>
          <w:szCs w:val="26"/>
        </w:rPr>
        <w:t>3</w:t>
      </w:r>
      <w:r w:rsidRPr="004F7025">
        <w:rPr>
          <w:rFonts w:ascii="Times New Roman" w:eastAsia="Calibri" w:hAnsi="Times New Roman" w:cs="Times New Roman"/>
          <w:bCs/>
          <w:sz w:val="26"/>
          <w:szCs w:val="26"/>
        </w:rPr>
        <w:t>/</w:t>
      </w:r>
      <w:r w:rsidRPr="004F7025" w:rsidR="00226737">
        <w:rPr>
          <w:rFonts w:ascii="Times New Roman" w:eastAsia="Calibri" w:hAnsi="Times New Roman" w:cs="Times New Roman"/>
          <w:bCs/>
          <w:sz w:val="26"/>
          <w:szCs w:val="26"/>
        </w:rPr>
        <w:t>4</w:t>
      </w:r>
      <w:r w:rsidRPr="004F7025">
        <w:rPr>
          <w:rFonts w:ascii="Times New Roman" w:eastAsia="Calibri" w:hAnsi="Times New Roman" w:cs="Times New Roman"/>
          <w:bCs/>
          <w:sz w:val="26"/>
          <w:szCs w:val="26"/>
        </w:rPr>
        <w:t>/202</w:t>
      </w:r>
      <w:r w:rsidRPr="004F7025" w:rsidR="00226737">
        <w:rPr>
          <w:rFonts w:ascii="Times New Roman" w:eastAsia="Calibri" w:hAnsi="Times New Roman" w:cs="Times New Roman"/>
          <w:bCs/>
          <w:sz w:val="26"/>
          <w:szCs w:val="26"/>
        </w:rPr>
        <w:t>6</w:t>
      </w:r>
      <w:r w:rsidRPr="004F7025">
        <w:rPr>
          <w:rFonts w:ascii="Times New Roman" w:eastAsia="Calibri" w:hAnsi="Times New Roman" w:cs="Times New Roman"/>
          <w:bCs/>
          <w:sz w:val="26"/>
          <w:szCs w:val="26"/>
        </w:rPr>
        <w:t xml:space="preserve"> and </w:t>
      </w:r>
      <w:r w:rsidRPr="004F7025" w:rsidR="00B77470">
        <w:rPr>
          <w:rFonts w:ascii="Times New Roman" w:eastAsia="Calibri" w:hAnsi="Times New Roman" w:cs="Times New Roman"/>
          <w:bCs/>
          <w:sz w:val="26"/>
          <w:szCs w:val="26"/>
        </w:rPr>
        <w:t>5</w:t>
      </w:r>
      <w:r w:rsidRPr="004F7025">
        <w:rPr>
          <w:rFonts w:ascii="Times New Roman" w:eastAsia="Calibri" w:hAnsi="Times New Roman" w:cs="Times New Roman"/>
          <w:bCs/>
          <w:sz w:val="26"/>
          <w:szCs w:val="26"/>
        </w:rPr>
        <w:t>/</w:t>
      </w:r>
      <w:r w:rsidRPr="004F7025" w:rsidR="00B77470">
        <w:rPr>
          <w:rFonts w:ascii="Times New Roman" w:eastAsia="Calibri" w:hAnsi="Times New Roman" w:cs="Times New Roman"/>
          <w:bCs/>
          <w:sz w:val="26"/>
          <w:szCs w:val="26"/>
        </w:rPr>
        <w:t>29</w:t>
      </w:r>
      <w:r w:rsidRPr="004F7025">
        <w:rPr>
          <w:rFonts w:ascii="Times New Roman" w:eastAsia="Calibri" w:hAnsi="Times New Roman" w:cs="Times New Roman"/>
          <w:bCs/>
          <w:sz w:val="26"/>
          <w:szCs w:val="26"/>
        </w:rPr>
        <w:t>/2</w:t>
      </w:r>
      <w:r w:rsidRPr="004F7025" w:rsidR="000355FB">
        <w:rPr>
          <w:rFonts w:ascii="Times New Roman" w:eastAsia="Calibri" w:hAnsi="Times New Roman" w:cs="Times New Roman"/>
          <w:bCs/>
          <w:sz w:val="26"/>
          <w:szCs w:val="26"/>
        </w:rPr>
        <w:t>0</w:t>
      </w:r>
      <w:r w:rsidRPr="004F7025" w:rsidR="00226737">
        <w:rPr>
          <w:rFonts w:ascii="Times New Roman" w:eastAsia="Calibri" w:hAnsi="Times New Roman" w:cs="Times New Roman"/>
          <w:bCs/>
          <w:sz w:val="26"/>
          <w:szCs w:val="26"/>
        </w:rPr>
        <w:t>26</w:t>
      </w:r>
      <w:r w:rsidRPr="004F7025">
        <w:rPr>
          <w:rFonts w:ascii="Times New Roman" w:eastAsia="Calibri" w:hAnsi="Times New Roman" w:cs="Times New Roman"/>
          <w:bCs/>
          <w:sz w:val="26"/>
          <w:szCs w:val="26"/>
        </w:rPr>
        <w:t xml:space="preserve"> respectively.  Within the public notices, the Commission noted that it would be requesting a three-year extension of the public reporting burden.  The Co</w:t>
      </w:r>
      <w:r>
        <w:rPr>
          <w:rFonts w:ascii="Times New Roman" w:eastAsia="Calibri" w:hAnsi="Times New Roman" w:cs="Times New Roman"/>
          <w:bCs/>
          <w:sz w:val="26"/>
          <w:szCs w:val="26"/>
        </w:rPr>
        <w:t>mmission received no comments from the public regarding this information collection.</w:t>
      </w:r>
    </w:p>
    <w:p w:rsidR="003E7E96" w14:paraId="7E028630" w14:textId="77777777">
      <w:pPr>
        <w:spacing w:after="0" w:line="240" w:lineRule="auto"/>
        <w:rPr>
          <w:rFonts w:ascii="Times New Roman" w:eastAsia="Calibri" w:hAnsi="Times New Roman" w:cs="Times New Roman"/>
          <w:bCs/>
          <w:sz w:val="26"/>
          <w:szCs w:val="26"/>
        </w:rPr>
      </w:pPr>
    </w:p>
    <w:p w:rsidR="003E7E96" w14:paraId="41E2EE53" w14:textId="77777777">
      <w:pPr>
        <w:spacing w:after="0" w:line="240" w:lineRule="auto"/>
        <w:rPr>
          <w:rFonts w:ascii="Times New Roman" w:eastAsia="Calibri" w:hAnsi="Times New Roman" w:cs="Times New Roman"/>
          <w:sz w:val="26"/>
          <w:szCs w:val="26"/>
        </w:rPr>
      </w:pPr>
    </w:p>
    <w:p w:rsidR="003E7E96" w14:paraId="39DDCEFA" w14:textId="77777777">
      <w:pPr>
        <w:numPr>
          <w:ilvl w:val="0"/>
          <w:numId w:val="1"/>
        </w:numPr>
        <w:spacing w:after="0" w:line="240" w:lineRule="auto"/>
        <w:ind w:left="360"/>
        <w:contextualSpacing/>
        <w:rPr>
          <w:rFonts w:ascii="Times New Roman" w:eastAsia="Calibri" w:hAnsi="Times New Roman" w:cs="Times New Roman"/>
          <w:b/>
          <w:sz w:val="26"/>
          <w:szCs w:val="26"/>
        </w:rPr>
      </w:pPr>
      <w:r>
        <w:rPr>
          <w:rFonts w:ascii="Times New Roman" w:eastAsia="Calibri" w:hAnsi="Times New Roman" w:cs="Times New Roman"/>
          <w:b/>
          <w:sz w:val="26"/>
          <w:szCs w:val="26"/>
        </w:rPr>
        <w:t>EXPLAIN ANY PAYMENT OR GIFTS TO RESPONDENTS</w:t>
      </w:r>
    </w:p>
    <w:p w:rsidR="003E7E96" w14:paraId="0D5A2B15" w14:textId="77777777">
      <w:pPr>
        <w:spacing w:after="0" w:line="240" w:lineRule="auto"/>
        <w:rPr>
          <w:rFonts w:ascii="Times New Roman" w:eastAsia="Calibri" w:hAnsi="Times New Roman" w:cs="Times New Roman"/>
          <w:sz w:val="26"/>
          <w:szCs w:val="26"/>
        </w:rPr>
      </w:pPr>
    </w:p>
    <w:p w:rsidR="003E7E96" w14:paraId="57338B6F" w14:textId="77777777">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The Commission does not make payments or provide gifts for respondents related to this collection.</w:t>
      </w:r>
    </w:p>
    <w:p w:rsidR="003E7E96" w14:paraId="6F79141D" w14:textId="77777777">
      <w:pPr>
        <w:spacing w:after="0" w:line="240" w:lineRule="auto"/>
        <w:rPr>
          <w:rFonts w:ascii="Times New Roman" w:eastAsia="Calibri" w:hAnsi="Times New Roman" w:cs="Times New Roman"/>
          <w:sz w:val="26"/>
          <w:szCs w:val="26"/>
        </w:rPr>
      </w:pPr>
    </w:p>
    <w:p w:rsidR="003E7E96" w14:paraId="130580DE" w14:textId="77777777">
      <w:pPr>
        <w:numPr>
          <w:ilvl w:val="0"/>
          <w:numId w:val="1"/>
        </w:numPr>
        <w:spacing w:after="0" w:line="240" w:lineRule="auto"/>
        <w:ind w:left="360"/>
        <w:contextualSpacing/>
        <w:rPr>
          <w:rFonts w:ascii="Times New Roman" w:eastAsia="Calibri" w:hAnsi="Times New Roman" w:cs="Times New Roman"/>
          <w:b/>
          <w:sz w:val="26"/>
          <w:szCs w:val="26"/>
        </w:rPr>
      </w:pPr>
      <w:r>
        <w:rPr>
          <w:rFonts w:ascii="Times New Roman" w:eastAsia="Calibri" w:hAnsi="Times New Roman" w:cs="Times New Roman"/>
          <w:b/>
          <w:sz w:val="26"/>
          <w:szCs w:val="26"/>
        </w:rPr>
        <w:t>DESCRIBE ANY ASSURANCE OF CONFIDENTIALITY PROVIDED TO RESPONDENTS</w:t>
      </w:r>
    </w:p>
    <w:p w:rsidR="003E7E96" w14:paraId="552D8084" w14:textId="77777777">
      <w:pPr>
        <w:spacing w:after="0" w:line="240" w:lineRule="auto"/>
        <w:rPr>
          <w:rFonts w:ascii="Times New Roman" w:eastAsia="Calibri" w:hAnsi="Times New Roman" w:cs="Times New Roman"/>
          <w:sz w:val="26"/>
          <w:szCs w:val="26"/>
        </w:rPr>
      </w:pPr>
    </w:p>
    <w:p w:rsidR="003E7E96" w14:paraId="4DA826D0" w14:textId="77777777">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According to the NERC Rule of Procedure 1502, “a Receiving Entity shall keep in confidence and not copy, disclose, or distribute any Confidential Information or any part thereof without the permission of the Submitting Entity, except as otherwise legally required.”  This serves to protect confidential information submitted to NERC or Regional Entities.</w:t>
      </w:r>
    </w:p>
    <w:p w:rsidR="003E7E96" w14:paraId="46E5D1C1" w14:textId="77777777">
      <w:pPr>
        <w:spacing w:after="0" w:line="240" w:lineRule="auto"/>
        <w:rPr>
          <w:rFonts w:ascii="Times New Roman" w:eastAsia="Calibri" w:hAnsi="Times New Roman" w:cs="Times New Roman"/>
          <w:sz w:val="26"/>
          <w:szCs w:val="26"/>
        </w:rPr>
      </w:pPr>
    </w:p>
    <w:p w:rsidR="003E7E96" w14:paraId="79ACAAEF" w14:textId="77777777">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Responding entities do not submit the information covered by the approved Reliability Standard to FERC.  Rather, they maintain it internally or provide it to NERC or the Regional Entities.  Since there are no submittals made to the Commission, FERC provides no specific provisions </w:t>
      </w:r>
      <w:r>
        <w:rPr>
          <w:rFonts w:ascii="Times New Roman" w:eastAsia="Calibri" w:hAnsi="Times New Roman" w:cs="Times New Roman"/>
          <w:sz w:val="26"/>
          <w:szCs w:val="26"/>
        </w:rPr>
        <w:t>in order to</w:t>
      </w:r>
      <w:r>
        <w:rPr>
          <w:rFonts w:ascii="Times New Roman" w:eastAsia="Calibri" w:hAnsi="Times New Roman" w:cs="Times New Roman"/>
          <w:sz w:val="26"/>
          <w:szCs w:val="26"/>
        </w:rPr>
        <w:t xml:space="preserve"> protect confidentiality unless and until any such information is submitted to FERC as part of an enforcement action or other compliance review. </w:t>
      </w:r>
    </w:p>
    <w:p w:rsidR="003E7E96" w14:paraId="70267A26" w14:textId="77777777">
      <w:pPr>
        <w:spacing w:after="0" w:line="240" w:lineRule="auto"/>
        <w:rPr>
          <w:rFonts w:ascii="Times New Roman" w:eastAsia="Calibri" w:hAnsi="Times New Roman" w:cs="Times New Roman"/>
          <w:sz w:val="26"/>
          <w:szCs w:val="26"/>
        </w:rPr>
      </w:pPr>
    </w:p>
    <w:p w:rsidR="003E7E96" w14:paraId="0F28F03B" w14:textId="77777777">
      <w:pPr>
        <w:numPr>
          <w:ilvl w:val="0"/>
          <w:numId w:val="1"/>
        </w:numPr>
        <w:spacing w:after="0" w:line="240" w:lineRule="auto"/>
        <w:ind w:left="360"/>
        <w:contextualSpacing/>
        <w:rPr>
          <w:rFonts w:ascii="Times New Roman" w:eastAsia="Calibri" w:hAnsi="Times New Roman" w:cs="Times New Roman"/>
          <w:b/>
          <w:sz w:val="26"/>
          <w:szCs w:val="26"/>
        </w:rPr>
      </w:pPr>
      <w:r>
        <w:rPr>
          <w:rFonts w:ascii="Times New Roman" w:eastAsia="Calibri" w:hAnsi="Times New Roman" w:cs="Times New Roman"/>
          <w:b/>
          <w:sz w:val="26"/>
          <w:szCs w:val="26"/>
        </w:rPr>
        <w:t>PROVIDE ADDITIONAL JUSTIFICATION FOR ANY QUESTIONS OF A SENSITIVE NATURE, SUCH AS SEXUAL BEHAVIOR AND ATTITUDES, RELIGIOUS BELIEFS, AND OTHER MATTERS THAT ARE COMMONLY CONSIDERED PRIVATE</w:t>
      </w:r>
    </w:p>
    <w:p w:rsidR="003E7E96" w14:paraId="3094B49E" w14:textId="77777777">
      <w:pPr>
        <w:spacing w:after="0" w:line="240" w:lineRule="auto"/>
        <w:rPr>
          <w:rFonts w:ascii="Times New Roman" w:eastAsia="Calibri" w:hAnsi="Times New Roman" w:cs="Times New Roman"/>
          <w:sz w:val="26"/>
          <w:szCs w:val="26"/>
        </w:rPr>
      </w:pPr>
    </w:p>
    <w:p w:rsidR="003E7E96" w14:paraId="53E1D92E" w14:textId="77777777">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This collection does not include any questions of a sensitive nature.</w:t>
      </w:r>
    </w:p>
    <w:p w:rsidR="003E7E96" w14:paraId="1A559401" w14:textId="77777777">
      <w:pPr>
        <w:spacing w:after="0" w:line="240" w:lineRule="auto"/>
        <w:rPr>
          <w:rFonts w:ascii="Times New Roman" w:eastAsia="Calibri" w:hAnsi="Times New Roman" w:cs="Times New Roman"/>
          <w:sz w:val="26"/>
          <w:szCs w:val="26"/>
        </w:rPr>
      </w:pPr>
    </w:p>
    <w:p w:rsidR="003E7E96" w14:paraId="601B991E" w14:textId="77777777">
      <w:pPr>
        <w:numPr>
          <w:ilvl w:val="0"/>
          <w:numId w:val="1"/>
        </w:numPr>
        <w:spacing w:after="0" w:line="240" w:lineRule="auto"/>
        <w:ind w:left="360"/>
        <w:contextualSpacing/>
        <w:rPr>
          <w:rFonts w:ascii="Times New Roman" w:eastAsia="Calibri" w:hAnsi="Times New Roman" w:cs="Times New Roman"/>
          <w:b/>
          <w:sz w:val="26"/>
          <w:szCs w:val="26"/>
        </w:rPr>
      </w:pPr>
      <w:r>
        <w:rPr>
          <w:rFonts w:ascii="Times New Roman" w:eastAsia="Calibri" w:hAnsi="Times New Roman" w:cs="Times New Roman"/>
          <w:b/>
          <w:sz w:val="26"/>
          <w:szCs w:val="26"/>
        </w:rPr>
        <w:t>ESTIMATED BURDEN OF COLLECTION OF INFORMATION</w:t>
      </w:r>
    </w:p>
    <w:p w:rsidR="006D65CB" w:rsidP="006D65CB" w14:paraId="1DCDFAED" w14:textId="77777777">
      <w:pPr>
        <w:spacing w:line="240" w:lineRule="auto"/>
        <w:rPr>
          <w:rFonts w:ascii="Times New Roman" w:eastAsia="Calibri" w:hAnsi="Times New Roman" w:cs="Times New Roman"/>
          <w:sz w:val="26"/>
          <w:szCs w:val="26"/>
        </w:rPr>
      </w:pPr>
    </w:p>
    <w:p w:rsidR="006D65CB" w:rsidRPr="004E65E4" w:rsidP="006D65CB" w14:paraId="02202693" w14:textId="0D5ECC9B">
      <w:pPr>
        <w:spacing w:line="240" w:lineRule="auto"/>
        <w:rPr>
          <w:rFonts w:ascii="Times New Roman" w:eastAsia="Calibri" w:hAnsi="Times New Roman" w:cs="Times New Roman"/>
          <w:sz w:val="26"/>
          <w:szCs w:val="26"/>
        </w:rPr>
      </w:pPr>
      <w:r w:rsidRPr="004E65E4">
        <w:rPr>
          <w:rFonts w:ascii="Times New Roman" w:eastAsia="Calibri" w:hAnsi="Times New Roman" w:cs="Times New Roman"/>
          <w:sz w:val="26"/>
          <w:szCs w:val="26"/>
        </w:rPr>
        <w:t xml:space="preserve">For </w:t>
      </w:r>
      <w:r w:rsidR="00FC57AF">
        <w:rPr>
          <w:rFonts w:ascii="Times New Roman" w:eastAsia="Calibri" w:hAnsi="Times New Roman" w:cs="Times New Roman"/>
          <w:sz w:val="26"/>
          <w:szCs w:val="26"/>
        </w:rPr>
        <w:t xml:space="preserve">each TPL Reliability Standard the </w:t>
      </w:r>
      <w:r w:rsidRPr="004E65E4">
        <w:rPr>
          <w:rFonts w:ascii="Times New Roman" w:eastAsia="Calibri" w:hAnsi="Times New Roman" w:cs="Times New Roman"/>
          <w:sz w:val="26"/>
          <w:szCs w:val="26"/>
        </w:rPr>
        <w:t xml:space="preserve">number of respondents has been </w:t>
      </w:r>
      <w:r w:rsidR="00FC57AF">
        <w:rPr>
          <w:rFonts w:ascii="Times New Roman" w:eastAsia="Calibri" w:hAnsi="Times New Roman" w:cs="Times New Roman"/>
          <w:sz w:val="26"/>
          <w:szCs w:val="26"/>
        </w:rPr>
        <w:t xml:space="preserve">reviewed using the </w:t>
      </w:r>
      <w:r w:rsidRPr="008D3C4D" w:rsidR="00FC57AF">
        <w:rPr>
          <w:rFonts w:ascii="Times New Roman" w:hAnsi="Times New Roman" w:cs="Times New Roman"/>
          <w:iCs/>
          <w:sz w:val="26"/>
          <w:szCs w:val="26"/>
        </w:rPr>
        <w:t xml:space="preserve">NERC Compliance Registration information of </w:t>
      </w:r>
      <w:r w:rsidR="00FC57AF">
        <w:rPr>
          <w:rFonts w:ascii="Times New Roman" w:hAnsi="Times New Roman" w:cs="Times New Roman"/>
          <w:iCs/>
          <w:sz w:val="26"/>
          <w:szCs w:val="26"/>
        </w:rPr>
        <w:t>February 9, 2026,</w:t>
      </w:r>
      <w:r w:rsidRPr="008D3C4D" w:rsidR="00FC57AF">
        <w:rPr>
          <w:rFonts w:ascii="Times New Roman" w:hAnsi="Times New Roman" w:cs="Times New Roman"/>
          <w:iCs/>
          <w:sz w:val="26"/>
          <w:szCs w:val="26"/>
        </w:rPr>
        <w:t xml:space="preserve"> for unique US </w:t>
      </w:r>
      <w:r w:rsidRPr="008D3C4D" w:rsidR="00FC57AF">
        <w:rPr>
          <w:rFonts w:ascii="Times New Roman" w:hAnsi="Times New Roman" w:cs="Times New Roman"/>
          <w:iCs/>
          <w:sz w:val="26"/>
          <w:szCs w:val="26"/>
        </w:rPr>
        <w:t>entities</w:t>
      </w:r>
      <w:r w:rsidR="00FC57AF">
        <w:rPr>
          <w:rFonts w:ascii="Times New Roman" w:hAnsi="Times New Roman" w:cs="Times New Roman"/>
          <w:iCs/>
          <w:sz w:val="26"/>
          <w:szCs w:val="26"/>
        </w:rPr>
        <w:t>.</w:t>
      </w:r>
      <w:r w:rsidR="00BB211A">
        <w:rPr>
          <w:rFonts w:ascii="Times New Roman" w:hAnsi="Times New Roman" w:cs="Times New Roman"/>
          <w:iCs/>
          <w:sz w:val="26"/>
          <w:szCs w:val="26"/>
        </w:rPr>
        <w:t xml:space="preserve"> </w:t>
      </w:r>
      <w:r w:rsidRPr="004E65E4" w:rsidR="00FC57AF">
        <w:rPr>
          <w:rFonts w:ascii="Times New Roman" w:eastAsia="Calibri" w:hAnsi="Times New Roman" w:cs="Times New Roman"/>
          <w:sz w:val="26"/>
          <w:szCs w:val="26"/>
        </w:rPr>
        <w:t xml:space="preserve"> </w:t>
      </w:r>
      <w:r w:rsidRPr="004E65E4">
        <w:rPr>
          <w:rFonts w:ascii="Times New Roman" w:eastAsia="Calibri" w:hAnsi="Times New Roman" w:cs="Times New Roman"/>
          <w:sz w:val="26"/>
          <w:szCs w:val="26"/>
        </w:rPr>
        <w:t>With this</w:t>
      </w:r>
      <w:r w:rsidR="00464ECB">
        <w:rPr>
          <w:rFonts w:ascii="Times New Roman" w:eastAsia="Calibri" w:hAnsi="Times New Roman" w:cs="Times New Roman"/>
          <w:sz w:val="26"/>
          <w:szCs w:val="26"/>
        </w:rPr>
        <w:t xml:space="preserve"> </w:t>
      </w:r>
      <w:r w:rsidRPr="004E65E4">
        <w:rPr>
          <w:rFonts w:ascii="Times New Roman" w:eastAsia="Calibri" w:hAnsi="Times New Roman" w:cs="Times New Roman"/>
          <w:sz w:val="26"/>
          <w:szCs w:val="26"/>
        </w:rPr>
        <w:t>renewal</w:t>
      </w:r>
      <w:r w:rsidR="00FC57AF">
        <w:rPr>
          <w:rFonts w:ascii="Times New Roman" w:eastAsia="Calibri" w:hAnsi="Times New Roman" w:cs="Times New Roman"/>
          <w:sz w:val="26"/>
          <w:szCs w:val="26"/>
        </w:rPr>
        <w:t>,</w:t>
      </w:r>
      <w:r w:rsidRPr="004E65E4">
        <w:rPr>
          <w:rFonts w:ascii="Times New Roman" w:eastAsia="Calibri" w:hAnsi="Times New Roman" w:cs="Times New Roman"/>
          <w:sz w:val="26"/>
          <w:szCs w:val="26"/>
        </w:rPr>
        <w:t xml:space="preserve"> the table</w:t>
      </w:r>
      <w:r w:rsidR="00FC57AF">
        <w:rPr>
          <w:rFonts w:ascii="Times New Roman" w:eastAsia="Calibri" w:hAnsi="Times New Roman" w:cs="Times New Roman"/>
          <w:sz w:val="26"/>
          <w:szCs w:val="26"/>
        </w:rPr>
        <w:t>s</w:t>
      </w:r>
      <w:r w:rsidRPr="004E65E4">
        <w:rPr>
          <w:rFonts w:ascii="Times New Roman" w:eastAsia="Calibri" w:hAnsi="Times New Roman" w:cs="Times New Roman"/>
          <w:sz w:val="26"/>
          <w:szCs w:val="26"/>
        </w:rPr>
        <w:t xml:space="preserve"> more accurately represent the entities on a yearly basis</w:t>
      </w:r>
      <w:r w:rsidR="00FC57AF">
        <w:rPr>
          <w:rFonts w:ascii="Times New Roman" w:eastAsia="Calibri" w:hAnsi="Times New Roman" w:cs="Times New Roman"/>
          <w:sz w:val="26"/>
          <w:szCs w:val="26"/>
        </w:rPr>
        <w:t xml:space="preserve"> who </w:t>
      </w:r>
      <w:r w:rsidR="00FC57AF">
        <w:rPr>
          <w:rFonts w:ascii="Times New Roman" w:eastAsia="Calibri" w:hAnsi="Times New Roman" w:cs="Times New Roman"/>
          <w:sz w:val="26"/>
          <w:szCs w:val="26"/>
        </w:rPr>
        <w:t>have to</w:t>
      </w:r>
      <w:r w:rsidR="00FC57AF">
        <w:rPr>
          <w:rFonts w:ascii="Times New Roman" w:eastAsia="Calibri" w:hAnsi="Times New Roman" w:cs="Times New Roman"/>
          <w:sz w:val="26"/>
          <w:szCs w:val="26"/>
        </w:rPr>
        <w:t xml:space="preserve"> comply</w:t>
      </w:r>
      <w:r w:rsidRPr="004E65E4">
        <w:rPr>
          <w:rFonts w:ascii="Times New Roman" w:eastAsia="Calibri" w:hAnsi="Times New Roman" w:cs="Times New Roman"/>
          <w:sz w:val="26"/>
          <w:szCs w:val="26"/>
        </w:rPr>
        <w:t>.</w:t>
      </w:r>
    </w:p>
    <w:p w:rsidR="006D65CB" w:rsidRPr="004E65E4" w:rsidP="006D65CB" w14:paraId="26748C07" w14:textId="66F68FED">
      <w:pPr>
        <w:spacing w:line="240" w:lineRule="auto"/>
        <w:rPr>
          <w:rFonts w:ascii="Times New Roman" w:eastAsia="Calibri" w:hAnsi="Times New Roman" w:cs="Times New Roman"/>
          <w:sz w:val="26"/>
          <w:szCs w:val="26"/>
        </w:rPr>
      </w:pPr>
      <w:r w:rsidRPr="004E65E4">
        <w:rPr>
          <w:rFonts w:ascii="Times New Roman" w:eastAsia="Calibri" w:hAnsi="Times New Roman" w:cs="Times New Roman"/>
          <w:sz w:val="26"/>
          <w:szCs w:val="26"/>
        </w:rPr>
        <w:t>The entities with responsibility for th</w:t>
      </w:r>
      <w:r w:rsidRPr="006D65CB">
        <w:rPr>
          <w:rFonts w:ascii="Times New Roman" w:eastAsia="Calibri" w:hAnsi="Times New Roman" w:cs="Times New Roman"/>
          <w:sz w:val="26"/>
          <w:szCs w:val="26"/>
        </w:rPr>
        <w:t>e</w:t>
      </w:r>
      <w:r w:rsidRPr="004E65E4">
        <w:rPr>
          <w:rFonts w:ascii="Times New Roman" w:eastAsia="Calibri" w:hAnsi="Times New Roman" w:cs="Times New Roman"/>
          <w:sz w:val="26"/>
          <w:szCs w:val="26"/>
        </w:rPr>
        <w:t>s</w:t>
      </w:r>
      <w:r w:rsidRPr="006D65CB">
        <w:rPr>
          <w:rFonts w:ascii="Times New Roman" w:eastAsia="Calibri" w:hAnsi="Times New Roman" w:cs="Times New Roman"/>
          <w:sz w:val="26"/>
          <w:szCs w:val="26"/>
        </w:rPr>
        <w:t>e</w:t>
      </w:r>
      <w:r w:rsidRPr="004E65E4">
        <w:rPr>
          <w:rFonts w:ascii="Times New Roman" w:eastAsia="Calibri" w:hAnsi="Times New Roman" w:cs="Times New Roman"/>
          <w:sz w:val="26"/>
          <w:szCs w:val="26"/>
        </w:rPr>
        <w:t xml:space="preserve"> standards </w:t>
      </w:r>
      <w:r w:rsidR="00FC57AF">
        <w:rPr>
          <w:rFonts w:ascii="Times New Roman" w:eastAsia="Calibri" w:hAnsi="Times New Roman" w:cs="Times New Roman"/>
          <w:sz w:val="26"/>
          <w:szCs w:val="26"/>
        </w:rPr>
        <w:t xml:space="preserve">include </w:t>
      </w:r>
      <w:r w:rsidRPr="004E65E4">
        <w:rPr>
          <w:rFonts w:ascii="Times New Roman" w:eastAsia="Calibri" w:hAnsi="Times New Roman" w:cs="Times New Roman"/>
          <w:sz w:val="26"/>
          <w:szCs w:val="26"/>
        </w:rPr>
        <w:t>planning coordinators (PC=6</w:t>
      </w:r>
      <w:r w:rsidR="00FC57AF">
        <w:rPr>
          <w:rFonts w:ascii="Times New Roman" w:eastAsia="Calibri" w:hAnsi="Times New Roman" w:cs="Times New Roman"/>
          <w:sz w:val="26"/>
          <w:szCs w:val="26"/>
        </w:rPr>
        <w:t>0</w:t>
      </w:r>
      <w:r w:rsidRPr="004E65E4">
        <w:rPr>
          <w:rFonts w:ascii="Times New Roman" w:eastAsia="Calibri" w:hAnsi="Times New Roman" w:cs="Times New Roman"/>
          <w:sz w:val="26"/>
          <w:szCs w:val="26"/>
        </w:rPr>
        <w:t>)</w:t>
      </w:r>
      <w:r w:rsidR="00FC57AF">
        <w:rPr>
          <w:rFonts w:ascii="Times New Roman" w:eastAsia="Calibri" w:hAnsi="Times New Roman" w:cs="Times New Roman"/>
          <w:sz w:val="26"/>
          <w:szCs w:val="26"/>
        </w:rPr>
        <w:t xml:space="preserve">, </w:t>
      </w:r>
      <w:r w:rsidRPr="004E65E4">
        <w:rPr>
          <w:rFonts w:ascii="Times New Roman" w:eastAsia="Calibri" w:hAnsi="Times New Roman" w:cs="Times New Roman"/>
          <w:sz w:val="26"/>
          <w:szCs w:val="26"/>
        </w:rPr>
        <w:t>transmission planners (TP=2</w:t>
      </w:r>
      <w:r w:rsidR="00FC57AF">
        <w:rPr>
          <w:rFonts w:ascii="Times New Roman" w:eastAsia="Calibri" w:hAnsi="Times New Roman" w:cs="Times New Roman"/>
          <w:sz w:val="26"/>
          <w:szCs w:val="26"/>
        </w:rPr>
        <w:t>10</w:t>
      </w:r>
      <w:r w:rsidRPr="004E65E4">
        <w:rPr>
          <w:rFonts w:ascii="Times New Roman" w:eastAsia="Calibri" w:hAnsi="Times New Roman" w:cs="Times New Roman"/>
          <w:sz w:val="26"/>
          <w:szCs w:val="26"/>
        </w:rPr>
        <w:t>)</w:t>
      </w:r>
      <w:r w:rsidR="00FC57AF">
        <w:rPr>
          <w:rFonts w:ascii="Times New Roman" w:eastAsia="Calibri" w:hAnsi="Times New Roman" w:cs="Times New Roman"/>
          <w:sz w:val="26"/>
          <w:szCs w:val="26"/>
        </w:rPr>
        <w:t>, generator owners (GO=1,354) and transmission owners (TO=341)</w:t>
      </w:r>
      <w:r w:rsidRPr="004E65E4">
        <w:rPr>
          <w:rFonts w:ascii="Times New Roman" w:eastAsia="Calibri" w:hAnsi="Times New Roman" w:cs="Times New Roman"/>
          <w:sz w:val="26"/>
          <w:szCs w:val="26"/>
        </w:rPr>
        <w:t xml:space="preserve"> </w:t>
      </w:r>
      <w:r w:rsidR="00FC57AF">
        <w:rPr>
          <w:rFonts w:ascii="Times New Roman" w:eastAsia="Calibri" w:hAnsi="Times New Roman" w:cs="Times New Roman"/>
          <w:sz w:val="26"/>
          <w:szCs w:val="26"/>
        </w:rPr>
        <w:t xml:space="preserve">and the entity count </w:t>
      </w:r>
      <w:r w:rsidR="00422FF7">
        <w:rPr>
          <w:rFonts w:ascii="Times New Roman" w:eastAsia="Calibri" w:hAnsi="Times New Roman" w:cs="Times New Roman"/>
          <w:sz w:val="26"/>
          <w:szCs w:val="26"/>
        </w:rPr>
        <w:t>represents</w:t>
      </w:r>
      <w:r w:rsidR="00BB211A">
        <w:rPr>
          <w:rFonts w:ascii="Times New Roman" w:eastAsia="Calibri" w:hAnsi="Times New Roman" w:cs="Times New Roman"/>
          <w:sz w:val="26"/>
          <w:szCs w:val="26"/>
        </w:rPr>
        <w:t xml:space="preserve"> only</w:t>
      </w:r>
      <w:r w:rsidR="00422FF7">
        <w:rPr>
          <w:rFonts w:ascii="Times New Roman" w:eastAsia="Calibri" w:hAnsi="Times New Roman" w:cs="Times New Roman"/>
          <w:sz w:val="26"/>
          <w:szCs w:val="26"/>
        </w:rPr>
        <w:t xml:space="preserve"> </w:t>
      </w:r>
      <w:r w:rsidRPr="004E65E4">
        <w:rPr>
          <w:rFonts w:ascii="Times New Roman" w:eastAsia="Calibri" w:hAnsi="Times New Roman" w:cs="Times New Roman"/>
          <w:sz w:val="26"/>
          <w:szCs w:val="26"/>
        </w:rPr>
        <w:t>unique US entities.</w:t>
      </w:r>
    </w:p>
    <w:p w:rsidR="00E53AC4" w14:paraId="0CCE50D0" w14:textId="77777777">
      <w:pPr>
        <w:spacing w:after="0" w:line="240" w:lineRule="auto"/>
        <w:rPr>
          <w:rFonts w:ascii="Times New Roman" w:eastAsia="Calibri" w:hAnsi="Times New Roman" w:cs="Times New Roman"/>
          <w:sz w:val="26"/>
          <w:szCs w:val="26"/>
        </w:rPr>
      </w:pPr>
    </w:p>
    <w:p w:rsidR="003E7E96" w14:paraId="61FEE752" w14:textId="77777777">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The Commission estimates the b</w:t>
      </w:r>
      <w:r>
        <w:rPr>
          <w:rFonts w:ascii="Times New Roman" w:hAnsi="Times New Roman" w:cs="Times New Roman"/>
          <w:sz w:val="26"/>
          <w:szCs w:val="26"/>
        </w:rPr>
        <w:t>urden</w:t>
      </w:r>
      <w:r>
        <w:rPr>
          <w:rFonts w:ascii="Times New Roman" w:hAnsi="Times New Roman" w:cs="Times New Roman"/>
          <w:b/>
          <w:sz w:val="26"/>
          <w:szCs w:val="26"/>
          <w:vertAlign w:val="superscript"/>
        </w:rPr>
        <w:footnoteReference w:id="9"/>
      </w:r>
      <w:r>
        <w:rPr>
          <w:rFonts w:ascii="Times New Roman" w:eastAsia="Calibri" w:hAnsi="Times New Roman" w:cs="Times New Roman"/>
          <w:sz w:val="26"/>
          <w:szCs w:val="26"/>
        </w:rPr>
        <w:t xml:space="preserve"> and </w:t>
      </w:r>
      <w:r w:rsidRPr="00E53AC4" w:rsidR="00E53AC4">
        <w:rPr>
          <w:rFonts w:ascii="Times New Roman" w:eastAsia="Times New Roman" w:hAnsi="Times New Roman" w:cs="Times New Roman"/>
          <w:sz w:val="26"/>
          <w:szCs w:val="26"/>
        </w:rPr>
        <w:t>cost</w:t>
      </w:r>
      <w:r>
        <w:rPr>
          <w:rFonts w:ascii="Times New Roman" w:eastAsia="Times New Roman" w:hAnsi="Times New Roman" w:cs="Times New Roman"/>
          <w:b/>
          <w:sz w:val="26"/>
          <w:szCs w:val="26"/>
          <w:vertAlign w:val="superscript"/>
        </w:rPr>
        <w:footnoteReference w:id="10"/>
      </w:r>
      <w:r w:rsidRPr="00E53AC4" w:rsidR="00E53AC4">
        <w:rPr>
          <w:rFonts w:ascii="Times New Roman" w:eastAsia="Times New Roman" w:hAnsi="Times New Roman" w:cs="Times New Roman"/>
          <w:sz w:val="26"/>
          <w:szCs w:val="26"/>
        </w:rPr>
        <w:t xml:space="preserve"> as follows:</w:t>
      </w:r>
    </w:p>
    <w:tbl>
      <w:tblPr>
        <w:tblW w:w="522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67"/>
        <w:gridCol w:w="1410"/>
        <w:gridCol w:w="1660"/>
        <w:gridCol w:w="1631"/>
        <w:gridCol w:w="1506"/>
        <w:gridCol w:w="1891"/>
      </w:tblGrid>
      <w:tr w14:paraId="4534604C" w14:textId="77777777" w:rsidTr="006B5726">
        <w:tblPrEx>
          <w:tblW w:w="522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800"/>
        </w:trPr>
        <w:tc>
          <w:tcPr>
            <w:tcW w:w="5000" w:type="pct"/>
            <w:gridSpan w:val="6"/>
            <w:shd w:val="clear" w:color="auto" w:fill="D9D9D9" w:themeFill="background1" w:themeFillShade="D9"/>
          </w:tcPr>
          <w:p w:rsidR="00466C81" w:rsidRPr="00466C81" w:rsidP="00861D61" w14:paraId="4C0A60E7" w14:textId="77777777">
            <w:pPr>
              <w:spacing w:after="0" w:line="240" w:lineRule="auto"/>
              <w:jc w:val="center"/>
              <w:rPr>
                <w:rFonts w:ascii="Times New Roman" w:eastAsia="Calibri" w:hAnsi="Times New Roman" w:cs="Times New Roman"/>
                <w:b/>
                <w:bCs/>
                <w:sz w:val="26"/>
                <w:szCs w:val="26"/>
              </w:rPr>
            </w:pPr>
            <w:r w:rsidRPr="00466C81">
              <w:rPr>
                <w:rFonts w:ascii="Times New Roman" w:eastAsia="Calibri" w:hAnsi="Times New Roman" w:cs="Times New Roman"/>
                <w:b/>
                <w:bCs/>
                <w:sz w:val="26"/>
                <w:szCs w:val="26"/>
              </w:rPr>
              <w:t>Annual Collection TPL-001-5.1 FERC 725N</w:t>
            </w:r>
          </w:p>
        </w:tc>
      </w:tr>
      <w:tr w14:paraId="39C449A0" w14:textId="77777777" w:rsidTr="006B5726">
        <w:tblPrEx>
          <w:tblW w:w="5222" w:type="pct"/>
          <w:tblInd w:w="-72" w:type="dxa"/>
          <w:tblLayout w:type="fixed"/>
          <w:tblLook w:val="01E0"/>
        </w:tblPrEx>
        <w:trPr>
          <w:cantSplit/>
          <w:trHeight w:val="2157"/>
        </w:trPr>
        <w:tc>
          <w:tcPr>
            <w:tcW w:w="854" w:type="pct"/>
            <w:shd w:val="clear" w:color="auto" w:fill="D9D9D9" w:themeFill="background1" w:themeFillShade="D9"/>
          </w:tcPr>
          <w:p w:rsidR="00466C81" w:rsidRPr="00466C81" w:rsidP="00466C81" w14:paraId="055F3069" w14:textId="77777777">
            <w:pPr>
              <w:spacing w:after="0" w:line="240" w:lineRule="auto"/>
              <w:rPr>
                <w:rFonts w:ascii="Times New Roman" w:eastAsia="Calibri" w:hAnsi="Times New Roman" w:cs="Times New Roman"/>
                <w:b/>
                <w:sz w:val="26"/>
                <w:szCs w:val="26"/>
              </w:rPr>
            </w:pPr>
          </w:p>
          <w:p w:rsidR="00466C81" w:rsidRPr="00466C81" w:rsidP="00466C81" w14:paraId="2FD0D5BB" w14:textId="77777777">
            <w:pPr>
              <w:spacing w:after="0" w:line="240" w:lineRule="auto"/>
              <w:rPr>
                <w:rFonts w:ascii="Times New Roman" w:eastAsia="Calibri" w:hAnsi="Times New Roman" w:cs="Times New Roman"/>
                <w:sz w:val="26"/>
                <w:szCs w:val="26"/>
              </w:rPr>
            </w:pPr>
            <w:r w:rsidRPr="00466C81">
              <w:rPr>
                <w:rFonts w:ascii="Times New Roman" w:eastAsia="Calibri" w:hAnsi="Times New Roman" w:cs="Times New Roman"/>
                <w:sz w:val="26"/>
                <w:szCs w:val="26"/>
              </w:rPr>
              <w:t>Reliability Standard or Process</w:t>
            </w:r>
          </w:p>
        </w:tc>
        <w:tc>
          <w:tcPr>
            <w:tcW w:w="722" w:type="pct"/>
            <w:shd w:val="clear" w:color="auto" w:fill="D9D9D9" w:themeFill="background1" w:themeFillShade="D9"/>
          </w:tcPr>
          <w:p w:rsidR="00466C81" w:rsidRPr="00466C81" w:rsidP="00466C81" w14:paraId="79A43980" w14:textId="77777777">
            <w:pPr>
              <w:spacing w:after="0" w:line="240" w:lineRule="auto"/>
              <w:rPr>
                <w:rFonts w:ascii="Times New Roman" w:eastAsia="Calibri" w:hAnsi="Times New Roman" w:cs="Times New Roman"/>
                <w:b/>
                <w:bCs/>
                <w:sz w:val="26"/>
                <w:szCs w:val="26"/>
              </w:rPr>
            </w:pPr>
            <w:r w:rsidRPr="00466C81">
              <w:rPr>
                <w:rFonts w:ascii="Times New Roman" w:eastAsia="Calibri" w:hAnsi="Times New Roman" w:cs="Times New Roman"/>
                <w:b/>
                <w:bCs/>
                <w:sz w:val="26"/>
                <w:szCs w:val="26"/>
              </w:rPr>
              <w:t>Type and Number of Entities</w:t>
            </w:r>
            <w:r>
              <w:rPr>
                <w:rFonts w:ascii="Times New Roman" w:eastAsia="Calibri" w:hAnsi="Times New Roman" w:cs="Times New Roman"/>
                <w:sz w:val="26"/>
                <w:szCs w:val="26"/>
                <w:vertAlign w:val="superscript"/>
              </w:rPr>
              <w:footnoteReference w:id="11"/>
            </w:r>
            <w:r w:rsidRPr="00466C81">
              <w:rPr>
                <w:rFonts w:ascii="Times New Roman" w:eastAsia="Calibri" w:hAnsi="Times New Roman" w:cs="Times New Roman"/>
                <w:b/>
                <w:sz w:val="26"/>
                <w:szCs w:val="26"/>
              </w:rPr>
              <w:br/>
            </w:r>
            <w:r w:rsidRPr="00466C81">
              <w:rPr>
                <w:rFonts w:ascii="Times New Roman" w:eastAsia="Calibri" w:hAnsi="Times New Roman" w:cs="Times New Roman"/>
                <w:b/>
                <w:bCs/>
                <w:sz w:val="26"/>
                <w:szCs w:val="26"/>
              </w:rPr>
              <w:t>(1)</w:t>
            </w:r>
          </w:p>
        </w:tc>
        <w:tc>
          <w:tcPr>
            <w:tcW w:w="850" w:type="pct"/>
            <w:shd w:val="clear" w:color="auto" w:fill="D9D9D9" w:themeFill="background1" w:themeFillShade="D9"/>
          </w:tcPr>
          <w:p w:rsidR="00466C81" w:rsidRPr="00466C81" w:rsidP="00466C81" w14:paraId="2C3EEA26" w14:textId="77777777">
            <w:pPr>
              <w:spacing w:after="0" w:line="240" w:lineRule="auto"/>
              <w:rPr>
                <w:rFonts w:ascii="Times New Roman" w:eastAsia="Calibri" w:hAnsi="Times New Roman" w:cs="Times New Roman"/>
                <w:b/>
                <w:bCs/>
                <w:sz w:val="26"/>
                <w:szCs w:val="26"/>
              </w:rPr>
            </w:pPr>
            <w:r w:rsidRPr="00466C81">
              <w:rPr>
                <w:rFonts w:ascii="Times New Roman" w:eastAsia="Calibri" w:hAnsi="Times New Roman" w:cs="Times New Roman"/>
                <w:b/>
                <w:bCs/>
                <w:sz w:val="26"/>
                <w:szCs w:val="26"/>
              </w:rPr>
              <w:t>Annual Number of Responses per Entity</w:t>
            </w:r>
          </w:p>
          <w:p w:rsidR="00466C81" w:rsidRPr="00466C81" w:rsidP="00466C81" w14:paraId="04A97705" w14:textId="77777777">
            <w:pPr>
              <w:spacing w:after="0" w:line="240" w:lineRule="auto"/>
              <w:rPr>
                <w:rFonts w:ascii="Times New Roman" w:eastAsia="Calibri" w:hAnsi="Times New Roman" w:cs="Times New Roman"/>
                <w:b/>
                <w:sz w:val="26"/>
                <w:szCs w:val="26"/>
              </w:rPr>
            </w:pPr>
            <w:r w:rsidRPr="00466C81">
              <w:rPr>
                <w:rFonts w:ascii="Times New Roman" w:eastAsia="Calibri" w:hAnsi="Times New Roman" w:cs="Times New Roman"/>
                <w:b/>
                <w:sz w:val="26"/>
                <w:szCs w:val="26"/>
              </w:rPr>
              <w:t>(2)</w:t>
            </w:r>
          </w:p>
        </w:tc>
        <w:tc>
          <w:tcPr>
            <w:tcW w:w="835" w:type="pct"/>
            <w:shd w:val="clear" w:color="auto" w:fill="D9D9D9" w:themeFill="background1" w:themeFillShade="D9"/>
          </w:tcPr>
          <w:p w:rsidR="00466C81" w:rsidRPr="00466C81" w:rsidP="00466C81" w14:paraId="7447ABAB" w14:textId="77777777">
            <w:pPr>
              <w:spacing w:after="0" w:line="240" w:lineRule="auto"/>
              <w:rPr>
                <w:rFonts w:ascii="Times New Roman" w:eastAsia="Calibri" w:hAnsi="Times New Roman" w:cs="Times New Roman"/>
                <w:b/>
                <w:bCs/>
                <w:sz w:val="26"/>
                <w:szCs w:val="26"/>
              </w:rPr>
            </w:pPr>
            <w:r w:rsidRPr="00466C81">
              <w:rPr>
                <w:rFonts w:ascii="Times New Roman" w:eastAsia="Calibri" w:hAnsi="Times New Roman" w:cs="Times New Roman"/>
                <w:b/>
                <w:bCs/>
                <w:sz w:val="26"/>
                <w:szCs w:val="26"/>
              </w:rPr>
              <w:t>Total Number of Responses (</w:t>
            </w:r>
            <w:r w:rsidRPr="00466C81">
              <w:rPr>
                <w:rFonts w:ascii="Times New Roman" w:eastAsia="Calibri" w:hAnsi="Times New Roman" w:cs="Times New Roman"/>
                <w:b/>
                <w:bCs/>
                <w:sz w:val="26"/>
                <w:szCs w:val="26"/>
              </w:rPr>
              <w:t>1)*</w:t>
            </w:r>
            <w:r w:rsidRPr="00466C81">
              <w:rPr>
                <w:rFonts w:ascii="Times New Roman" w:eastAsia="Calibri" w:hAnsi="Times New Roman" w:cs="Times New Roman"/>
                <w:b/>
                <w:bCs/>
                <w:sz w:val="26"/>
                <w:szCs w:val="26"/>
              </w:rPr>
              <w:t>(</w:t>
            </w:r>
            <w:r w:rsidRPr="00466C81">
              <w:rPr>
                <w:rFonts w:ascii="Times New Roman" w:eastAsia="Calibri" w:hAnsi="Times New Roman" w:cs="Times New Roman"/>
                <w:b/>
                <w:bCs/>
                <w:sz w:val="26"/>
                <w:szCs w:val="26"/>
              </w:rPr>
              <w:t>2)=</w:t>
            </w:r>
            <w:r w:rsidRPr="00466C81">
              <w:rPr>
                <w:rFonts w:ascii="Times New Roman" w:eastAsia="Calibri" w:hAnsi="Times New Roman" w:cs="Times New Roman"/>
                <w:b/>
                <w:bCs/>
                <w:sz w:val="26"/>
                <w:szCs w:val="26"/>
              </w:rPr>
              <w:t>(3)</w:t>
            </w:r>
          </w:p>
        </w:tc>
        <w:tc>
          <w:tcPr>
            <w:tcW w:w="771" w:type="pct"/>
            <w:shd w:val="clear" w:color="auto" w:fill="D9D9D9" w:themeFill="background1" w:themeFillShade="D9"/>
          </w:tcPr>
          <w:p w:rsidR="00466C81" w:rsidRPr="00466C81" w:rsidP="00466C81" w14:paraId="7C91A971" w14:textId="77777777">
            <w:pPr>
              <w:spacing w:after="0" w:line="240" w:lineRule="auto"/>
              <w:rPr>
                <w:rFonts w:ascii="Times New Roman" w:eastAsia="Calibri" w:hAnsi="Times New Roman" w:cs="Times New Roman"/>
                <w:b/>
                <w:sz w:val="26"/>
                <w:szCs w:val="26"/>
              </w:rPr>
            </w:pPr>
            <w:r w:rsidRPr="00466C81">
              <w:rPr>
                <w:rFonts w:ascii="Times New Roman" w:eastAsia="Calibri" w:hAnsi="Times New Roman" w:cs="Times New Roman"/>
                <w:b/>
                <w:sz w:val="26"/>
                <w:szCs w:val="26"/>
              </w:rPr>
              <w:t>Average Burden Hrs. &amp; Cost) ($) Per Response</w:t>
            </w:r>
          </w:p>
          <w:p w:rsidR="00466C81" w:rsidRPr="00466C81" w:rsidP="00466C81" w14:paraId="7B1E4AA9" w14:textId="77777777">
            <w:pPr>
              <w:spacing w:after="0" w:line="240" w:lineRule="auto"/>
              <w:rPr>
                <w:rFonts w:ascii="Times New Roman" w:eastAsia="Calibri" w:hAnsi="Times New Roman" w:cs="Times New Roman"/>
                <w:b/>
                <w:sz w:val="26"/>
                <w:szCs w:val="26"/>
              </w:rPr>
            </w:pPr>
            <w:r w:rsidRPr="00466C81">
              <w:rPr>
                <w:rFonts w:ascii="Times New Roman" w:eastAsia="Calibri" w:hAnsi="Times New Roman" w:cs="Times New Roman"/>
                <w:b/>
                <w:sz w:val="26"/>
                <w:szCs w:val="26"/>
              </w:rPr>
              <w:t>(4)</w:t>
            </w:r>
          </w:p>
        </w:tc>
        <w:tc>
          <w:tcPr>
            <w:tcW w:w="968" w:type="pct"/>
            <w:shd w:val="clear" w:color="auto" w:fill="D9D9D9" w:themeFill="background1" w:themeFillShade="D9"/>
          </w:tcPr>
          <w:p w:rsidR="00466C81" w:rsidRPr="00466C81" w:rsidP="00466C81" w14:paraId="542323EA" w14:textId="77777777">
            <w:pPr>
              <w:spacing w:after="0" w:line="240" w:lineRule="auto"/>
              <w:rPr>
                <w:rFonts w:ascii="Times New Roman" w:eastAsia="Calibri" w:hAnsi="Times New Roman" w:cs="Times New Roman"/>
                <w:b/>
                <w:sz w:val="26"/>
                <w:szCs w:val="26"/>
              </w:rPr>
            </w:pPr>
            <w:r w:rsidRPr="00466C81">
              <w:rPr>
                <w:rFonts w:ascii="Times New Roman" w:eastAsia="Calibri" w:hAnsi="Times New Roman" w:cs="Times New Roman"/>
                <w:b/>
                <w:sz w:val="26"/>
                <w:szCs w:val="26"/>
              </w:rPr>
              <w:t>Total Annual Burden Hours &amp; Cost ($) (rounded)</w:t>
            </w:r>
          </w:p>
          <w:p w:rsidR="00466C81" w:rsidRPr="00466C81" w:rsidP="00466C81" w14:paraId="63259ED9" w14:textId="77777777">
            <w:pPr>
              <w:spacing w:after="0" w:line="240" w:lineRule="auto"/>
              <w:rPr>
                <w:rFonts w:ascii="Times New Roman" w:eastAsia="Calibri" w:hAnsi="Times New Roman" w:cs="Times New Roman"/>
                <w:b/>
                <w:sz w:val="26"/>
                <w:szCs w:val="26"/>
              </w:rPr>
            </w:pPr>
            <w:r w:rsidRPr="00466C81">
              <w:rPr>
                <w:rFonts w:ascii="Times New Roman" w:eastAsia="Calibri" w:hAnsi="Times New Roman" w:cs="Times New Roman"/>
                <w:b/>
                <w:sz w:val="26"/>
                <w:szCs w:val="26"/>
              </w:rPr>
              <w:t>(</w:t>
            </w:r>
            <w:r w:rsidRPr="00466C81">
              <w:rPr>
                <w:rFonts w:ascii="Times New Roman" w:eastAsia="Calibri" w:hAnsi="Times New Roman" w:cs="Times New Roman"/>
                <w:b/>
                <w:sz w:val="26"/>
                <w:szCs w:val="26"/>
              </w:rPr>
              <w:t>3)*</w:t>
            </w:r>
            <w:r w:rsidRPr="00466C81">
              <w:rPr>
                <w:rFonts w:ascii="Times New Roman" w:eastAsia="Calibri" w:hAnsi="Times New Roman" w:cs="Times New Roman"/>
                <w:b/>
                <w:sz w:val="26"/>
                <w:szCs w:val="26"/>
              </w:rPr>
              <w:t>(</w:t>
            </w:r>
            <w:r w:rsidRPr="00466C81">
              <w:rPr>
                <w:rFonts w:ascii="Times New Roman" w:eastAsia="Calibri" w:hAnsi="Times New Roman" w:cs="Times New Roman"/>
                <w:b/>
                <w:sz w:val="26"/>
                <w:szCs w:val="26"/>
              </w:rPr>
              <w:t>4)=</w:t>
            </w:r>
            <w:r w:rsidRPr="00466C81">
              <w:rPr>
                <w:rFonts w:ascii="Times New Roman" w:eastAsia="Calibri" w:hAnsi="Times New Roman" w:cs="Times New Roman"/>
                <w:b/>
                <w:sz w:val="26"/>
                <w:szCs w:val="26"/>
              </w:rPr>
              <w:t>(5)</w:t>
            </w:r>
          </w:p>
          <w:p w:rsidR="00466C81" w:rsidRPr="00466C81" w:rsidP="00466C81" w14:paraId="354BD8AE" w14:textId="77777777">
            <w:pPr>
              <w:spacing w:after="0" w:line="240" w:lineRule="auto"/>
              <w:rPr>
                <w:rFonts w:ascii="Times New Roman" w:eastAsia="Calibri" w:hAnsi="Times New Roman" w:cs="Times New Roman"/>
                <w:b/>
                <w:sz w:val="26"/>
                <w:szCs w:val="26"/>
              </w:rPr>
            </w:pPr>
            <w:r w:rsidRPr="00466C81">
              <w:rPr>
                <w:rFonts w:ascii="Times New Roman" w:eastAsia="Calibri" w:hAnsi="Times New Roman" w:cs="Times New Roman"/>
                <w:b/>
                <w:sz w:val="26"/>
                <w:szCs w:val="26"/>
              </w:rPr>
              <w:t>rounded</w:t>
            </w:r>
          </w:p>
        </w:tc>
      </w:tr>
      <w:tr w14:paraId="5785BF98" w14:textId="77777777" w:rsidTr="006B5726">
        <w:tblPrEx>
          <w:tblW w:w="5222" w:type="pct"/>
          <w:tblInd w:w="-72" w:type="dxa"/>
          <w:tblLayout w:type="fixed"/>
          <w:tblLook w:val="01E0"/>
        </w:tblPrEx>
        <w:trPr>
          <w:cantSplit/>
          <w:trHeight w:val="824"/>
        </w:trPr>
        <w:tc>
          <w:tcPr>
            <w:tcW w:w="854" w:type="pct"/>
            <w:vMerge w:val="restart"/>
            <w:vAlign w:val="center"/>
          </w:tcPr>
          <w:p w:rsidR="00466C81" w:rsidRPr="00466C81" w:rsidP="00466C81" w14:paraId="3A4964BA" w14:textId="5C5A7A5E">
            <w:pPr>
              <w:spacing w:after="0" w:line="240" w:lineRule="auto"/>
              <w:rPr>
                <w:rFonts w:ascii="Times New Roman" w:eastAsia="Calibri" w:hAnsi="Times New Roman" w:cs="Times New Roman"/>
                <w:sz w:val="26"/>
                <w:szCs w:val="26"/>
              </w:rPr>
            </w:pPr>
            <w:r w:rsidRPr="00466C81">
              <w:rPr>
                <w:rFonts w:ascii="Times New Roman" w:eastAsia="Calibri" w:hAnsi="Times New Roman" w:cs="Times New Roman"/>
                <w:b/>
                <w:bCs/>
                <w:sz w:val="26"/>
                <w:szCs w:val="26"/>
              </w:rPr>
              <w:t>Annual review and record retention</w:t>
            </w:r>
          </w:p>
        </w:tc>
        <w:tc>
          <w:tcPr>
            <w:tcW w:w="722" w:type="pct"/>
            <w:vAlign w:val="center"/>
          </w:tcPr>
          <w:p w:rsidR="00466C81" w:rsidRPr="00466C81" w:rsidP="00466C81" w14:paraId="2CAA191A" w14:textId="77777777">
            <w:pPr>
              <w:spacing w:after="0" w:line="240" w:lineRule="auto"/>
              <w:rPr>
                <w:rFonts w:ascii="Times New Roman" w:eastAsia="Calibri" w:hAnsi="Times New Roman" w:cs="Times New Roman"/>
                <w:sz w:val="26"/>
                <w:szCs w:val="26"/>
              </w:rPr>
            </w:pPr>
            <w:r w:rsidRPr="00466C81">
              <w:rPr>
                <w:rFonts w:ascii="Times New Roman" w:eastAsia="Calibri" w:hAnsi="Times New Roman" w:cs="Times New Roman"/>
                <w:sz w:val="26"/>
                <w:szCs w:val="26"/>
              </w:rPr>
              <w:t>60 (PC)</w:t>
            </w:r>
          </w:p>
        </w:tc>
        <w:tc>
          <w:tcPr>
            <w:tcW w:w="850" w:type="pct"/>
            <w:vAlign w:val="center"/>
          </w:tcPr>
          <w:p w:rsidR="00466C81" w:rsidRPr="00466C81" w:rsidP="00466C81" w14:paraId="1491B2A5" w14:textId="77777777">
            <w:pPr>
              <w:spacing w:after="0" w:line="240" w:lineRule="auto"/>
              <w:rPr>
                <w:rFonts w:ascii="Times New Roman" w:eastAsia="Calibri" w:hAnsi="Times New Roman" w:cs="Times New Roman"/>
                <w:sz w:val="26"/>
                <w:szCs w:val="26"/>
              </w:rPr>
            </w:pPr>
            <w:r w:rsidRPr="00466C81">
              <w:rPr>
                <w:rFonts w:ascii="Times New Roman" w:eastAsia="Calibri" w:hAnsi="Times New Roman" w:cs="Times New Roman"/>
                <w:sz w:val="26"/>
                <w:szCs w:val="26"/>
              </w:rPr>
              <w:t>1</w:t>
            </w:r>
          </w:p>
        </w:tc>
        <w:tc>
          <w:tcPr>
            <w:tcW w:w="835" w:type="pct"/>
            <w:vAlign w:val="center"/>
          </w:tcPr>
          <w:p w:rsidR="00466C81" w:rsidRPr="00466C81" w:rsidP="00466C81" w14:paraId="347F2042" w14:textId="77777777">
            <w:pPr>
              <w:spacing w:after="0" w:line="240" w:lineRule="auto"/>
              <w:rPr>
                <w:rFonts w:ascii="Times New Roman" w:eastAsia="Calibri" w:hAnsi="Times New Roman" w:cs="Times New Roman"/>
                <w:sz w:val="26"/>
                <w:szCs w:val="26"/>
              </w:rPr>
            </w:pPr>
            <w:r w:rsidRPr="00466C81">
              <w:rPr>
                <w:rFonts w:ascii="Times New Roman" w:eastAsia="Calibri" w:hAnsi="Times New Roman" w:cs="Times New Roman"/>
                <w:sz w:val="26"/>
                <w:szCs w:val="26"/>
              </w:rPr>
              <w:t>60</w:t>
            </w:r>
          </w:p>
        </w:tc>
        <w:tc>
          <w:tcPr>
            <w:tcW w:w="771" w:type="pct"/>
            <w:vAlign w:val="center"/>
          </w:tcPr>
          <w:p w:rsidR="00466C81" w:rsidRPr="00466C81" w:rsidP="00466C81" w14:paraId="0C056649" w14:textId="77777777">
            <w:pPr>
              <w:spacing w:after="0" w:line="240" w:lineRule="auto"/>
              <w:rPr>
                <w:rFonts w:ascii="Times New Roman" w:eastAsia="Calibri" w:hAnsi="Times New Roman" w:cs="Times New Roman"/>
                <w:sz w:val="26"/>
                <w:szCs w:val="26"/>
              </w:rPr>
            </w:pPr>
            <w:r w:rsidRPr="00466C81">
              <w:rPr>
                <w:rFonts w:ascii="Times New Roman" w:eastAsia="Calibri" w:hAnsi="Times New Roman" w:cs="Times New Roman"/>
                <w:sz w:val="26"/>
                <w:szCs w:val="26"/>
              </w:rPr>
              <w:t>148 hrs.; $9,400.96</w:t>
            </w:r>
          </w:p>
        </w:tc>
        <w:tc>
          <w:tcPr>
            <w:tcW w:w="968" w:type="pct"/>
            <w:vAlign w:val="center"/>
          </w:tcPr>
          <w:p w:rsidR="00466C81" w:rsidRPr="00466C81" w:rsidP="00466C81" w14:paraId="4631BDFC" w14:textId="37CD11FD">
            <w:pPr>
              <w:spacing w:after="0" w:line="240" w:lineRule="auto"/>
              <w:rPr>
                <w:rFonts w:ascii="Times New Roman" w:eastAsia="Calibri" w:hAnsi="Times New Roman" w:cs="Times New Roman"/>
                <w:sz w:val="26"/>
                <w:szCs w:val="26"/>
              </w:rPr>
            </w:pPr>
            <w:r w:rsidRPr="00466C81">
              <w:rPr>
                <w:rFonts w:ascii="Times New Roman" w:eastAsia="Calibri" w:hAnsi="Times New Roman" w:cs="Times New Roman"/>
                <w:sz w:val="26"/>
                <w:szCs w:val="26"/>
              </w:rPr>
              <w:t>8,880</w:t>
            </w:r>
            <w:r w:rsidR="00C07E54">
              <w:rPr>
                <w:rFonts w:ascii="Times New Roman" w:eastAsia="Calibri" w:hAnsi="Times New Roman" w:cs="Times New Roman"/>
                <w:sz w:val="26"/>
                <w:szCs w:val="26"/>
              </w:rPr>
              <w:t xml:space="preserve"> </w:t>
            </w:r>
            <w:r w:rsidRPr="00466C81">
              <w:rPr>
                <w:rFonts w:ascii="Times New Roman" w:eastAsia="Calibri" w:hAnsi="Times New Roman" w:cs="Times New Roman"/>
                <w:sz w:val="26"/>
                <w:szCs w:val="26"/>
              </w:rPr>
              <w:t>hrs.;</w:t>
            </w:r>
          </w:p>
          <w:p w:rsidR="00466C81" w:rsidRPr="00466C81" w:rsidP="00466C81" w14:paraId="7D52409D" w14:textId="744AF0D2">
            <w:pPr>
              <w:spacing w:after="0" w:line="240" w:lineRule="auto"/>
              <w:rPr>
                <w:rFonts w:ascii="Times New Roman" w:eastAsia="Calibri" w:hAnsi="Times New Roman" w:cs="Times New Roman"/>
                <w:sz w:val="26"/>
                <w:szCs w:val="26"/>
              </w:rPr>
            </w:pPr>
            <w:r w:rsidRPr="00466C81">
              <w:rPr>
                <w:rFonts w:ascii="Times New Roman" w:eastAsia="Calibri" w:hAnsi="Times New Roman" w:cs="Times New Roman"/>
                <w:sz w:val="26"/>
                <w:szCs w:val="26"/>
              </w:rPr>
              <w:t>$ 564,057</w:t>
            </w:r>
            <w:r w:rsidR="00C07E54">
              <w:rPr>
                <w:rFonts w:ascii="Times New Roman" w:eastAsia="Calibri" w:hAnsi="Times New Roman" w:cs="Times New Roman"/>
                <w:sz w:val="26"/>
                <w:szCs w:val="26"/>
              </w:rPr>
              <w:t>.60</w:t>
            </w:r>
          </w:p>
        </w:tc>
      </w:tr>
      <w:tr w14:paraId="46BB3268" w14:textId="77777777" w:rsidTr="006B5726">
        <w:tblPrEx>
          <w:tblW w:w="5222" w:type="pct"/>
          <w:tblInd w:w="-72" w:type="dxa"/>
          <w:tblLayout w:type="fixed"/>
          <w:tblLook w:val="01E0"/>
        </w:tblPrEx>
        <w:trPr>
          <w:cantSplit/>
          <w:trHeight w:val="741"/>
        </w:trPr>
        <w:tc>
          <w:tcPr>
            <w:tcW w:w="854" w:type="pct"/>
            <w:vMerge/>
            <w:vAlign w:val="center"/>
          </w:tcPr>
          <w:p w:rsidR="00466C81" w:rsidRPr="00466C81" w:rsidP="00466C81" w14:paraId="41140E19" w14:textId="77777777">
            <w:pPr>
              <w:spacing w:after="0" w:line="240" w:lineRule="auto"/>
              <w:rPr>
                <w:rFonts w:ascii="Times New Roman" w:eastAsia="Calibri" w:hAnsi="Times New Roman" w:cs="Times New Roman"/>
                <w:sz w:val="26"/>
                <w:szCs w:val="26"/>
              </w:rPr>
            </w:pPr>
          </w:p>
        </w:tc>
        <w:tc>
          <w:tcPr>
            <w:tcW w:w="722" w:type="pct"/>
            <w:vAlign w:val="center"/>
          </w:tcPr>
          <w:p w:rsidR="00466C81" w:rsidRPr="00466C81" w:rsidP="00466C81" w14:paraId="396DB3CB" w14:textId="77777777">
            <w:pPr>
              <w:spacing w:after="0" w:line="240" w:lineRule="auto"/>
              <w:rPr>
                <w:rFonts w:ascii="Times New Roman" w:eastAsia="Calibri" w:hAnsi="Times New Roman" w:cs="Times New Roman"/>
                <w:sz w:val="26"/>
                <w:szCs w:val="26"/>
              </w:rPr>
            </w:pPr>
            <w:r w:rsidRPr="00466C81">
              <w:rPr>
                <w:rFonts w:ascii="Times New Roman" w:eastAsia="Calibri" w:hAnsi="Times New Roman" w:cs="Times New Roman"/>
                <w:sz w:val="26"/>
                <w:szCs w:val="26"/>
              </w:rPr>
              <w:t>210 (TP)</w:t>
            </w:r>
          </w:p>
        </w:tc>
        <w:tc>
          <w:tcPr>
            <w:tcW w:w="850" w:type="pct"/>
            <w:vAlign w:val="center"/>
          </w:tcPr>
          <w:p w:rsidR="00466C81" w:rsidRPr="00466C81" w:rsidP="00466C81" w14:paraId="40973D00" w14:textId="77777777">
            <w:pPr>
              <w:spacing w:after="0" w:line="240" w:lineRule="auto"/>
              <w:rPr>
                <w:rFonts w:ascii="Times New Roman" w:eastAsia="Calibri" w:hAnsi="Times New Roman" w:cs="Times New Roman"/>
                <w:sz w:val="26"/>
                <w:szCs w:val="26"/>
              </w:rPr>
            </w:pPr>
            <w:r w:rsidRPr="00466C81">
              <w:rPr>
                <w:rFonts w:ascii="Times New Roman" w:eastAsia="Calibri" w:hAnsi="Times New Roman" w:cs="Times New Roman"/>
                <w:sz w:val="26"/>
                <w:szCs w:val="26"/>
              </w:rPr>
              <w:t>1</w:t>
            </w:r>
          </w:p>
        </w:tc>
        <w:tc>
          <w:tcPr>
            <w:tcW w:w="835" w:type="pct"/>
            <w:vAlign w:val="center"/>
          </w:tcPr>
          <w:p w:rsidR="00466C81" w:rsidRPr="00466C81" w:rsidP="00466C81" w14:paraId="050C0311" w14:textId="77777777">
            <w:pPr>
              <w:spacing w:after="0" w:line="240" w:lineRule="auto"/>
              <w:rPr>
                <w:rFonts w:ascii="Times New Roman" w:eastAsia="Calibri" w:hAnsi="Times New Roman" w:cs="Times New Roman"/>
                <w:sz w:val="26"/>
                <w:szCs w:val="26"/>
              </w:rPr>
            </w:pPr>
            <w:r w:rsidRPr="00466C81">
              <w:rPr>
                <w:rFonts w:ascii="Times New Roman" w:eastAsia="Calibri" w:hAnsi="Times New Roman" w:cs="Times New Roman"/>
                <w:sz w:val="26"/>
                <w:szCs w:val="26"/>
              </w:rPr>
              <w:t>210</w:t>
            </w:r>
          </w:p>
        </w:tc>
        <w:tc>
          <w:tcPr>
            <w:tcW w:w="771" w:type="pct"/>
            <w:vAlign w:val="center"/>
          </w:tcPr>
          <w:p w:rsidR="00466C81" w:rsidRPr="00466C81" w:rsidP="00466C81" w14:paraId="38DE6364" w14:textId="77777777">
            <w:pPr>
              <w:spacing w:after="0" w:line="240" w:lineRule="auto"/>
              <w:rPr>
                <w:rFonts w:ascii="Times New Roman" w:eastAsia="Calibri" w:hAnsi="Times New Roman" w:cs="Times New Roman"/>
                <w:sz w:val="26"/>
                <w:szCs w:val="26"/>
              </w:rPr>
            </w:pPr>
            <w:r w:rsidRPr="00466C81">
              <w:rPr>
                <w:rFonts w:ascii="Times New Roman" w:eastAsia="Calibri" w:hAnsi="Times New Roman" w:cs="Times New Roman"/>
                <w:sz w:val="26"/>
                <w:szCs w:val="26"/>
              </w:rPr>
              <w:t>48 hrs.; $3,048.96</w:t>
            </w:r>
          </w:p>
        </w:tc>
        <w:tc>
          <w:tcPr>
            <w:tcW w:w="968" w:type="pct"/>
            <w:vAlign w:val="center"/>
          </w:tcPr>
          <w:p w:rsidR="00466C81" w:rsidRPr="00466C81" w:rsidP="00466C81" w14:paraId="4697C05B" w14:textId="3D805036">
            <w:pPr>
              <w:spacing w:after="0" w:line="240" w:lineRule="auto"/>
              <w:rPr>
                <w:rFonts w:ascii="Times New Roman" w:eastAsia="Calibri" w:hAnsi="Times New Roman" w:cs="Times New Roman"/>
                <w:sz w:val="26"/>
                <w:szCs w:val="26"/>
              </w:rPr>
            </w:pPr>
            <w:r w:rsidRPr="00466C81">
              <w:rPr>
                <w:rFonts w:ascii="Times New Roman" w:eastAsia="Calibri" w:hAnsi="Times New Roman" w:cs="Times New Roman"/>
                <w:sz w:val="26"/>
                <w:szCs w:val="26"/>
              </w:rPr>
              <w:t>10,080 hrs.; $640,28</w:t>
            </w:r>
            <w:r w:rsidR="00C07E54">
              <w:rPr>
                <w:rFonts w:ascii="Times New Roman" w:eastAsia="Calibri" w:hAnsi="Times New Roman" w:cs="Times New Roman"/>
                <w:sz w:val="26"/>
                <w:szCs w:val="26"/>
              </w:rPr>
              <w:t>1.60</w:t>
            </w:r>
          </w:p>
        </w:tc>
      </w:tr>
      <w:tr w14:paraId="51BBC515" w14:textId="77777777" w:rsidTr="006B5726">
        <w:tblPrEx>
          <w:tblW w:w="5222" w:type="pct"/>
          <w:tblInd w:w="-72" w:type="dxa"/>
          <w:tblLayout w:type="fixed"/>
          <w:tblLook w:val="01E0"/>
        </w:tblPrEx>
        <w:trPr>
          <w:cantSplit/>
          <w:trHeight w:val="824"/>
        </w:trPr>
        <w:tc>
          <w:tcPr>
            <w:tcW w:w="854" w:type="pct"/>
            <w:tcBorders>
              <w:bottom w:val="single" w:sz="4" w:space="0" w:color="auto"/>
            </w:tcBorders>
          </w:tcPr>
          <w:p w:rsidR="00466C81" w:rsidRPr="00466C81" w:rsidP="00466C81" w14:paraId="1689A756" w14:textId="77777777">
            <w:pPr>
              <w:spacing w:after="0" w:line="240" w:lineRule="auto"/>
              <w:rPr>
                <w:rFonts w:ascii="Times New Roman" w:eastAsia="Calibri" w:hAnsi="Times New Roman" w:cs="Times New Roman"/>
                <w:b/>
                <w:bCs/>
                <w:sz w:val="26"/>
                <w:szCs w:val="26"/>
              </w:rPr>
            </w:pPr>
            <w:r w:rsidRPr="00466C81">
              <w:rPr>
                <w:rFonts w:ascii="Times New Roman" w:eastAsia="Calibri" w:hAnsi="Times New Roman" w:cs="Times New Roman"/>
                <w:b/>
                <w:bCs/>
                <w:sz w:val="26"/>
                <w:szCs w:val="26"/>
              </w:rPr>
              <w:t>TOTAL for TPL-001-5.1</w:t>
            </w:r>
          </w:p>
        </w:tc>
        <w:tc>
          <w:tcPr>
            <w:tcW w:w="1572" w:type="pct"/>
            <w:gridSpan w:val="2"/>
            <w:tcBorders>
              <w:bottom w:val="single" w:sz="4" w:space="0" w:color="auto"/>
            </w:tcBorders>
            <w:shd w:val="clear" w:color="auto" w:fill="D9D9D9" w:themeFill="background1" w:themeFillShade="D9"/>
          </w:tcPr>
          <w:p w:rsidR="00466C81" w:rsidRPr="00466C81" w:rsidP="00466C81" w14:paraId="39E542C5" w14:textId="77777777">
            <w:pPr>
              <w:spacing w:after="0" w:line="240" w:lineRule="auto"/>
              <w:rPr>
                <w:rFonts w:ascii="Times New Roman" w:eastAsia="Calibri" w:hAnsi="Times New Roman" w:cs="Times New Roman"/>
                <w:sz w:val="26"/>
                <w:szCs w:val="26"/>
              </w:rPr>
            </w:pPr>
          </w:p>
        </w:tc>
        <w:tc>
          <w:tcPr>
            <w:tcW w:w="835" w:type="pct"/>
            <w:tcBorders>
              <w:bottom w:val="single" w:sz="4" w:space="0" w:color="auto"/>
            </w:tcBorders>
          </w:tcPr>
          <w:p w:rsidR="00466C81" w:rsidRPr="00466C81" w:rsidP="00466C81" w14:paraId="2B3F3FB5" w14:textId="77777777">
            <w:pPr>
              <w:spacing w:after="0" w:line="240" w:lineRule="auto"/>
              <w:rPr>
                <w:rFonts w:ascii="Times New Roman" w:eastAsia="Calibri" w:hAnsi="Times New Roman" w:cs="Times New Roman"/>
                <w:b/>
                <w:bCs/>
                <w:sz w:val="26"/>
                <w:szCs w:val="26"/>
              </w:rPr>
            </w:pPr>
            <w:r w:rsidRPr="00466C81">
              <w:rPr>
                <w:rFonts w:ascii="Times New Roman" w:eastAsia="Calibri" w:hAnsi="Times New Roman" w:cs="Times New Roman"/>
                <w:b/>
                <w:bCs/>
                <w:sz w:val="26"/>
                <w:szCs w:val="26"/>
              </w:rPr>
              <w:t>270</w:t>
            </w:r>
          </w:p>
        </w:tc>
        <w:tc>
          <w:tcPr>
            <w:tcW w:w="771" w:type="pct"/>
            <w:tcBorders>
              <w:bottom w:val="single" w:sz="4" w:space="0" w:color="auto"/>
            </w:tcBorders>
            <w:shd w:val="clear" w:color="auto" w:fill="D9D9D9" w:themeFill="background1" w:themeFillShade="D9"/>
          </w:tcPr>
          <w:p w:rsidR="00466C81" w:rsidRPr="00466C81" w:rsidP="00466C81" w14:paraId="347BC8D0" w14:textId="77777777">
            <w:pPr>
              <w:spacing w:after="0" w:line="240" w:lineRule="auto"/>
              <w:rPr>
                <w:rFonts w:ascii="Times New Roman" w:eastAsia="Calibri" w:hAnsi="Times New Roman" w:cs="Times New Roman"/>
                <w:sz w:val="26"/>
                <w:szCs w:val="26"/>
              </w:rPr>
            </w:pPr>
          </w:p>
        </w:tc>
        <w:tc>
          <w:tcPr>
            <w:tcW w:w="968" w:type="pct"/>
            <w:tcBorders>
              <w:bottom w:val="single" w:sz="4" w:space="0" w:color="auto"/>
            </w:tcBorders>
          </w:tcPr>
          <w:p w:rsidR="00466C81" w:rsidRPr="00466C81" w:rsidP="00466C81" w14:paraId="0BD3A709" w14:textId="77777777">
            <w:pPr>
              <w:spacing w:after="0" w:line="240" w:lineRule="auto"/>
              <w:rPr>
                <w:rFonts w:ascii="Times New Roman" w:eastAsia="Calibri" w:hAnsi="Times New Roman" w:cs="Times New Roman"/>
                <w:b/>
                <w:bCs/>
                <w:sz w:val="26"/>
                <w:szCs w:val="26"/>
              </w:rPr>
            </w:pPr>
            <w:r w:rsidRPr="00466C81">
              <w:rPr>
                <w:rFonts w:ascii="Times New Roman" w:eastAsia="Calibri" w:hAnsi="Times New Roman" w:cs="Times New Roman"/>
                <w:sz w:val="26"/>
                <w:szCs w:val="26"/>
              </w:rPr>
              <w:t>18,960 hrs.; $1,204,339</w:t>
            </w:r>
          </w:p>
        </w:tc>
      </w:tr>
    </w:tbl>
    <w:p w:rsidR="003E7E96" w14:paraId="0AFD11A1" w14:textId="77777777">
      <w:pPr>
        <w:spacing w:after="0" w:line="240" w:lineRule="auto"/>
        <w:rPr>
          <w:rFonts w:ascii="Times New Roman" w:eastAsia="Calibri" w:hAnsi="Times New Roman" w:cs="Times New Roman"/>
          <w:sz w:val="26"/>
          <w:szCs w:val="26"/>
        </w:rPr>
      </w:pPr>
    </w:p>
    <w:p w:rsidR="00FC57AF" w14:paraId="187A099A" w14:textId="77777777">
      <w:pPr>
        <w:spacing w:after="0" w:line="240" w:lineRule="auto"/>
        <w:rPr>
          <w:rFonts w:ascii="Times New Roman" w:eastAsia="Calibri" w:hAnsi="Times New Roman" w:cs="Times New Roman"/>
          <w:sz w:val="26"/>
          <w:szCs w:val="26"/>
        </w:rPr>
      </w:pPr>
    </w:p>
    <w:tbl>
      <w:tblPr>
        <w:tblW w:w="513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67"/>
        <w:gridCol w:w="1410"/>
        <w:gridCol w:w="1660"/>
        <w:gridCol w:w="1450"/>
        <w:gridCol w:w="1506"/>
        <w:gridCol w:w="1892"/>
        <w:gridCol w:w="8"/>
      </w:tblGrid>
      <w:tr w14:paraId="06D47C1B" w14:textId="77777777" w:rsidTr="003F0EB4">
        <w:tblPrEx>
          <w:tblW w:w="513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800"/>
        </w:trPr>
        <w:tc>
          <w:tcPr>
            <w:tcW w:w="5000" w:type="pct"/>
            <w:gridSpan w:val="7"/>
            <w:shd w:val="clear" w:color="auto" w:fill="D9D9D9" w:themeFill="background1" w:themeFillShade="D9"/>
          </w:tcPr>
          <w:p w:rsidR="00766D0B" w:rsidRPr="00766D0B" w:rsidP="00861D61" w14:paraId="355E89AD" w14:textId="77777777">
            <w:pPr>
              <w:spacing w:after="0" w:line="240" w:lineRule="auto"/>
              <w:jc w:val="center"/>
              <w:rPr>
                <w:rFonts w:ascii="Times New Roman" w:eastAsia="Calibri" w:hAnsi="Times New Roman" w:cs="Times New Roman"/>
                <w:b/>
                <w:bCs/>
                <w:sz w:val="26"/>
                <w:szCs w:val="26"/>
              </w:rPr>
            </w:pPr>
            <w:r w:rsidRPr="00766D0B">
              <w:rPr>
                <w:rFonts w:ascii="Times New Roman" w:eastAsia="Calibri" w:hAnsi="Times New Roman" w:cs="Times New Roman"/>
                <w:b/>
                <w:bCs/>
                <w:sz w:val="26"/>
                <w:szCs w:val="26"/>
              </w:rPr>
              <w:t>Annual Collection TPL-007-4 FERC 725N</w:t>
            </w:r>
          </w:p>
        </w:tc>
      </w:tr>
      <w:tr w14:paraId="3AC1C3DB" w14:textId="77777777" w:rsidTr="003F0EB4">
        <w:tblPrEx>
          <w:tblW w:w="5130" w:type="pct"/>
          <w:tblInd w:w="-72" w:type="dxa"/>
          <w:tblLayout w:type="fixed"/>
          <w:tblLook w:val="01E0"/>
        </w:tblPrEx>
        <w:trPr>
          <w:gridAfter w:val="1"/>
          <w:wAfter w:w="5" w:type="dxa"/>
          <w:cantSplit/>
          <w:trHeight w:val="2157"/>
        </w:trPr>
        <w:tc>
          <w:tcPr>
            <w:tcW w:w="869" w:type="pct"/>
            <w:shd w:val="clear" w:color="auto" w:fill="D9D9D9" w:themeFill="background1" w:themeFillShade="D9"/>
          </w:tcPr>
          <w:p w:rsidR="00766D0B" w:rsidRPr="00766D0B" w:rsidP="00766D0B" w14:paraId="20A9CB83" w14:textId="77777777">
            <w:pPr>
              <w:spacing w:after="0" w:line="240" w:lineRule="auto"/>
              <w:rPr>
                <w:rFonts w:ascii="Times New Roman" w:eastAsia="Calibri" w:hAnsi="Times New Roman" w:cs="Times New Roman"/>
                <w:b/>
                <w:sz w:val="26"/>
                <w:szCs w:val="26"/>
              </w:rPr>
            </w:pPr>
            <w:bookmarkStart w:id="1" w:name="_Hlk38878319"/>
          </w:p>
          <w:p w:rsidR="00766D0B" w:rsidRPr="00766D0B" w:rsidP="00766D0B" w14:paraId="2CF120CE" w14:textId="77777777">
            <w:pPr>
              <w:spacing w:after="0" w:line="240" w:lineRule="auto"/>
              <w:rPr>
                <w:rFonts w:ascii="Times New Roman" w:eastAsia="Calibri" w:hAnsi="Times New Roman" w:cs="Times New Roman"/>
                <w:sz w:val="26"/>
                <w:szCs w:val="26"/>
              </w:rPr>
            </w:pPr>
            <w:r w:rsidRPr="00766D0B">
              <w:rPr>
                <w:rFonts w:ascii="Times New Roman" w:eastAsia="Calibri" w:hAnsi="Times New Roman" w:cs="Times New Roman"/>
                <w:sz w:val="26"/>
                <w:szCs w:val="26"/>
              </w:rPr>
              <w:t>Reliability Standard or Process</w:t>
            </w:r>
          </w:p>
        </w:tc>
        <w:tc>
          <w:tcPr>
            <w:tcW w:w="735" w:type="pct"/>
            <w:shd w:val="clear" w:color="auto" w:fill="D9D9D9" w:themeFill="background1" w:themeFillShade="D9"/>
          </w:tcPr>
          <w:p w:rsidR="00766D0B" w:rsidRPr="00766D0B" w:rsidP="00766D0B" w14:paraId="39844BDD" w14:textId="28D43DA4">
            <w:pPr>
              <w:spacing w:after="0" w:line="240" w:lineRule="auto"/>
              <w:rPr>
                <w:rFonts w:ascii="Times New Roman" w:eastAsia="Calibri" w:hAnsi="Times New Roman" w:cs="Times New Roman"/>
                <w:b/>
                <w:bCs/>
                <w:sz w:val="26"/>
                <w:szCs w:val="26"/>
              </w:rPr>
            </w:pPr>
            <w:r w:rsidRPr="00766D0B">
              <w:rPr>
                <w:rFonts w:ascii="Times New Roman" w:eastAsia="Calibri" w:hAnsi="Times New Roman" w:cs="Times New Roman"/>
                <w:b/>
                <w:bCs/>
                <w:sz w:val="26"/>
                <w:szCs w:val="26"/>
              </w:rPr>
              <w:t>Type and Number of Entities</w:t>
            </w:r>
            <w:r>
              <w:rPr>
                <w:rStyle w:val="FootnoteReference"/>
                <w:rFonts w:ascii="Times New Roman" w:eastAsia="Calibri" w:hAnsi="Times New Roman" w:cs="Times New Roman"/>
                <w:bCs/>
                <w:sz w:val="26"/>
                <w:szCs w:val="26"/>
                <w:vertAlign w:val="superscript"/>
              </w:rPr>
              <w:footnoteReference w:customMarkFollows="1" w:id="12"/>
              <w:t xml:space="preserve">12</w:t>
            </w:r>
            <w:r w:rsidRPr="00766D0B">
              <w:rPr>
                <w:rFonts w:ascii="Times New Roman" w:eastAsia="Calibri" w:hAnsi="Times New Roman" w:cs="Times New Roman"/>
                <w:b/>
                <w:sz w:val="26"/>
                <w:szCs w:val="26"/>
              </w:rPr>
              <w:br/>
            </w:r>
            <w:r w:rsidRPr="00766D0B">
              <w:rPr>
                <w:rFonts w:ascii="Times New Roman" w:eastAsia="Calibri" w:hAnsi="Times New Roman" w:cs="Times New Roman"/>
                <w:b/>
                <w:bCs/>
                <w:sz w:val="26"/>
                <w:szCs w:val="26"/>
              </w:rPr>
              <w:t>(1)</w:t>
            </w:r>
          </w:p>
        </w:tc>
        <w:tc>
          <w:tcPr>
            <w:tcW w:w="865" w:type="pct"/>
            <w:shd w:val="clear" w:color="auto" w:fill="D9D9D9" w:themeFill="background1" w:themeFillShade="D9"/>
          </w:tcPr>
          <w:p w:rsidR="00766D0B" w:rsidRPr="00766D0B" w:rsidP="00766D0B" w14:paraId="235F2CA3" w14:textId="77777777">
            <w:pPr>
              <w:spacing w:after="0" w:line="240" w:lineRule="auto"/>
              <w:rPr>
                <w:rFonts w:ascii="Times New Roman" w:eastAsia="Calibri" w:hAnsi="Times New Roman" w:cs="Times New Roman"/>
                <w:b/>
                <w:bCs/>
                <w:sz w:val="26"/>
                <w:szCs w:val="26"/>
              </w:rPr>
            </w:pPr>
            <w:r w:rsidRPr="00766D0B">
              <w:rPr>
                <w:rFonts w:ascii="Times New Roman" w:eastAsia="Calibri" w:hAnsi="Times New Roman" w:cs="Times New Roman"/>
                <w:b/>
                <w:bCs/>
                <w:sz w:val="26"/>
                <w:szCs w:val="26"/>
              </w:rPr>
              <w:t>Annual Number of Responses per Entity</w:t>
            </w:r>
          </w:p>
          <w:p w:rsidR="00766D0B" w:rsidRPr="00766D0B" w:rsidP="00766D0B" w14:paraId="15402A68" w14:textId="77777777">
            <w:pPr>
              <w:spacing w:after="0" w:line="240" w:lineRule="auto"/>
              <w:rPr>
                <w:rFonts w:ascii="Times New Roman" w:eastAsia="Calibri" w:hAnsi="Times New Roman" w:cs="Times New Roman"/>
                <w:b/>
                <w:sz w:val="26"/>
                <w:szCs w:val="26"/>
              </w:rPr>
            </w:pPr>
            <w:r w:rsidRPr="00766D0B">
              <w:rPr>
                <w:rFonts w:ascii="Times New Roman" w:eastAsia="Calibri" w:hAnsi="Times New Roman" w:cs="Times New Roman"/>
                <w:b/>
                <w:sz w:val="26"/>
                <w:szCs w:val="26"/>
              </w:rPr>
              <w:t>(2)</w:t>
            </w:r>
          </w:p>
        </w:tc>
        <w:tc>
          <w:tcPr>
            <w:tcW w:w="756" w:type="pct"/>
            <w:shd w:val="clear" w:color="auto" w:fill="D9D9D9" w:themeFill="background1" w:themeFillShade="D9"/>
          </w:tcPr>
          <w:p w:rsidR="00766D0B" w:rsidRPr="00766D0B" w:rsidP="00766D0B" w14:paraId="59A78C4E" w14:textId="77777777">
            <w:pPr>
              <w:spacing w:after="0" w:line="240" w:lineRule="auto"/>
              <w:rPr>
                <w:rFonts w:ascii="Times New Roman" w:eastAsia="Calibri" w:hAnsi="Times New Roman" w:cs="Times New Roman"/>
                <w:b/>
                <w:bCs/>
                <w:sz w:val="26"/>
                <w:szCs w:val="26"/>
              </w:rPr>
            </w:pPr>
            <w:r w:rsidRPr="00766D0B">
              <w:rPr>
                <w:rFonts w:ascii="Times New Roman" w:eastAsia="Calibri" w:hAnsi="Times New Roman" w:cs="Times New Roman"/>
                <w:b/>
                <w:bCs/>
                <w:sz w:val="26"/>
                <w:szCs w:val="26"/>
              </w:rPr>
              <w:t>Total Number of Responses (</w:t>
            </w:r>
            <w:r w:rsidRPr="00766D0B">
              <w:rPr>
                <w:rFonts w:ascii="Times New Roman" w:eastAsia="Calibri" w:hAnsi="Times New Roman" w:cs="Times New Roman"/>
                <w:b/>
                <w:bCs/>
                <w:sz w:val="26"/>
                <w:szCs w:val="26"/>
              </w:rPr>
              <w:t>1)*</w:t>
            </w:r>
            <w:r w:rsidRPr="00766D0B">
              <w:rPr>
                <w:rFonts w:ascii="Times New Roman" w:eastAsia="Calibri" w:hAnsi="Times New Roman" w:cs="Times New Roman"/>
                <w:b/>
                <w:bCs/>
                <w:sz w:val="26"/>
                <w:szCs w:val="26"/>
              </w:rPr>
              <w:t>(</w:t>
            </w:r>
            <w:r w:rsidRPr="00766D0B">
              <w:rPr>
                <w:rFonts w:ascii="Times New Roman" w:eastAsia="Calibri" w:hAnsi="Times New Roman" w:cs="Times New Roman"/>
                <w:b/>
                <w:bCs/>
                <w:sz w:val="26"/>
                <w:szCs w:val="26"/>
              </w:rPr>
              <w:t>2)=</w:t>
            </w:r>
            <w:r w:rsidRPr="00766D0B">
              <w:rPr>
                <w:rFonts w:ascii="Times New Roman" w:eastAsia="Calibri" w:hAnsi="Times New Roman" w:cs="Times New Roman"/>
                <w:b/>
                <w:bCs/>
                <w:sz w:val="26"/>
                <w:szCs w:val="26"/>
              </w:rPr>
              <w:t>(3)</w:t>
            </w:r>
          </w:p>
        </w:tc>
        <w:tc>
          <w:tcPr>
            <w:tcW w:w="785" w:type="pct"/>
            <w:shd w:val="clear" w:color="auto" w:fill="D9D9D9" w:themeFill="background1" w:themeFillShade="D9"/>
          </w:tcPr>
          <w:p w:rsidR="00766D0B" w:rsidRPr="00766D0B" w:rsidP="00766D0B" w14:paraId="0BBE72D7" w14:textId="77777777">
            <w:pPr>
              <w:spacing w:after="0" w:line="240" w:lineRule="auto"/>
              <w:rPr>
                <w:rFonts w:ascii="Times New Roman" w:eastAsia="Calibri" w:hAnsi="Times New Roman" w:cs="Times New Roman"/>
                <w:b/>
                <w:sz w:val="26"/>
                <w:szCs w:val="26"/>
              </w:rPr>
            </w:pPr>
            <w:r w:rsidRPr="00766D0B">
              <w:rPr>
                <w:rFonts w:ascii="Times New Roman" w:eastAsia="Calibri" w:hAnsi="Times New Roman" w:cs="Times New Roman"/>
                <w:b/>
                <w:sz w:val="26"/>
                <w:szCs w:val="26"/>
              </w:rPr>
              <w:t>Average Burden Hrs. &amp; Cost) ($) Per Response</w:t>
            </w:r>
          </w:p>
          <w:p w:rsidR="00766D0B" w:rsidRPr="00766D0B" w:rsidP="00766D0B" w14:paraId="2448682A" w14:textId="77777777">
            <w:pPr>
              <w:spacing w:after="0" w:line="240" w:lineRule="auto"/>
              <w:rPr>
                <w:rFonts w:ascii="Times New Roman" w:eastAsia="Calibri" w:hAnsi="Times New Roman" w:cs="Times New Roman"/>
                <w:b/>
                <w:sz w:val="26"/>
                <w:szCs w:val="26"/>
              </w:rPr>
            </w:pPr>
            <w:r w:rsidRPr="00766D0B">
              <w:rPr>
                <w:rFonts w:ascii="Times New Roman" w:eastAsia="Calibri" w:hAnsi="Times New Roman" w:cs="Times New Roman"/>
                <w:b/>
                <w:sz w:val="26"/>
                <w:szCs w:val="26"/>
              </w:rPr>
              <w:t>(4)</w:t>
            </w:r>
          </w:p>
        </w:tc>
        <w:tc>
          <w:tcPr>
            <w:tcW w:w="986" w:type="pct"/>
            <w:shd w:val="clear" w:color="auto" w:fill="D9D9D9" w:themeFill="background1" w:themeFillShade="D9"/>
          </w:tcPr>
          <w:p w:rsidR="00766D0B" w:rsidRPr="00766D0B" w:rsidP="00766D0B" w14:paraId="08D0E6BB" w14:textId="77777777">
            <w:pPr>
              <w:spacing w:after="0" w:line="240" w:lineRule="auto"/>
              <w:rPr>
                <w:rFonts w:ascii="Times New Roman" w:eastAsia="Calibri" w:hAnsi="Times New Roman" w:cs="Times New Roman"/>
                <w:b/>
                <w:sz w:val="26"/>
                <w:szCs w:val="26"/>
              </w:rPr>
            </w:pPr>
            <w:r w:rsidRPr="00766D0B">
              <w:rPr>
                <w:rFonts w:ascii="Times New Roman" w:eastAsia="Calibri" w:hAnsi="Times New Roman" w:cs="Times New Roman"/>
                <w:b/>
                <w:sz w:val="26"/>
                <w:szCs w:val="26"/>
              </w:rPr>
              <w:t>Total Annual Burden Hours &amp; Cost ($) (rounded)</w:t>
            </w:r>
          </w:p>
          <w:p w:rsidR="00766D0B" w:rsidRPr="00766D0B" w:rsidP="00766D0B" w14:paraId="513054BF" w14:textId="77777777">
            <w:pPr>
              <w:spacing w:after="0" w:line="240" w:lineRule="auto"/>
              <w:rPr>
                <w:rFonts w:ascii="Times New Roman" w:eastAsia="Calibri" w:hAnsi="Times New Roman" w:cs="Times New Roman"/>
                <w:b/>
                <w:sz w:val="26"/>
                <w:szCs w:val="26"/>
              </w:rPr>
            </w:pPr>
            <w:r w:rsidRPr="00766D0B">
              <w:rPr>
                <w:rFonts w:ascii="Times New Roman" w:eastAsia="Calibri" w:hAnsi="Times New Roman" w:cs="Times New Roman"/>
                <w:b/>
                <w:sz w:val="26"/>
                <w:szCs w:val="26"/>
              </w:rPr>
              <w:t>(</w:t>
            </w:r>
            <w:r w:rsidRPr="00766D0B">
              <w:rPr>
                <w:rFonts w:ascii="Times New Roman" w:eastAsia="Calibri" w:hAnsi="Times New Roman" w:cs="Times New Roman"/>
                <w:b/>
                <w:sz w:val="26"/>
                <w:szCs w:val="26"/>
              </w:rPr>
              <w:t>3)*</w:t>
            </w:r>
            <w:r w:rsidRPr="00766D0B">
              <w:rPr>
                <w:rFonts w:ascii="Times New Roman" w:eastAsia="Calibri" w:hAnsi="Times New Roman" w:cs="Times New Roman"/>
                <w:b/>
                <w:sz w:val="26"/>
                <w:szCs w:val="26"/>
              </w:rPr>
              <w:t>(</w:t>
            </w:r>
            <w:r w:rsidRPr="00766D0B">
              <w:rPr>
                <w:rFonts w:ascii="Times New Roman" w:eastAsia="Calibri" w:hAnsi="Times New Roman" w:cs="Times New Roman"/>
                <w:b/>
                <w:sz w:val="26"/>
                <w:szCs w:val="26"/>
              </w:rPr>
              <w:t>4)=</w:t>
            </w:r>
            <w:r w:rsidRPr="00766D0B">
              <w:rPr>
                <w:rFonts w:ascii="Times New Roman" w:eastAsia="Calibri" w:hAnsi="Times New Roman" w:cs="Times New Roman"/>
                <w:b/>
                <w:sz w:val="26"/>
                <w:szCs w:val="26"/>
              </w:rPr>
              <w:t>(5)</w:t>
            </w:r>
          </w:p>
          <w:p w:rsidR="00766D0B" w:rsidRPr="00766D0B" w:rsidP="00766D0B" w14:paraId="463001CC" w14:textId="77777777">
            <w:pPr>
              <w:spacing w:after="0" w:line="240" w:lineRule="auto"/>
              <w:rPr>
                <w:rFonts w:ascii="Times New Roman" w:eastAsia="Calibri" w:hAnsi="Times New Roman" w:cs="Times New Roman"/>
                <w:b/>
                <w:sz w:val="26"/>
                <w:szCs w:val="26"/>
              </w:rPr>
            </w:pPr>
            <w:r w:rsidRPr="00766D0B">
              <w:rPr>
                <w:rFonts w:ascii="Times New Roman" w:eastAsia="Calibri" w:hAnsi="Times New Roman" w:cs="Times New Roman"/>
                <w:b/>
                <w:sz w:val="26"/>
                <w:szCs w:val="26"/>
              </w:rPr>
              <w:t>rounded</w:t>
            </w:r>
          </w:p>
        </w:tc>
      </w:tr>
      <w:tr w14:paraId="5B5C6B13" w14:textId="77777777" w:rsidTr="003F0EB4">
        <w:tblPrEx>
          <w:tblW w:w="5130" w:type="pct"/>
          <w:tblInd w:w="-72" w:type="dxa"/>
          <w:tblLayout w:type="fixed"/>
          <w:tblLook w:val="01E0"/>
        </w:tblPrEx>
        <w:trPr>
          <w:gridAfter w:val="1"/>
          <w:wAfter w:w="5" w:type="dxa"/>
          <w:cantSplit/>
          <w:trHeight w:val="824"/>
        </w:trPr>
        <w:tc>
          <w:tcPr>
            <w:tcW w:w="869" w:type="pct"/>
            <w:vMerge w:val="restart"/>
            <w:vAlign w:val="center"/>
          </w:tcPr>
          <w:p w:rsidR="00766D0B" w:rsidRPr="00766D0B" w:rsidP="00766D0B" w14:paraId="36836CBF" w14:textId="23D08301">
            <w:pPr>
              <w:spacing w:after="0" w:line="240" w:lineRule="auto"/>
              <w:rPr>
                <w:rFonts w:ascii="Times New Roman" w:eastAsia="Calibri" w:hAnsi="Times New Roman" w:cs="Times New Roman"/>
                <w:sz w:val="26"/>
                <w:szCs w:val="26"/>
              </w:rPr>
            </w:pPr>
            <w:r w:rsidRPr="00766D0B">
              <w:rPr>
                <w:rFonts w:ascii="Times New Roman" w:eastAsia="Calibri" w:hAnsi="Times New Roman" w:cs="Times New Roman"/>
                <w:b/>
                <w:bCs/>
                <w:sz w:val="26"/>
                <w:szCs w:val="26"/>
              </w:rPr>
              <w:t>Annual review and record retention</w:t>
            </w:r>
          </w:p>
        </w:tc>
        <w:tc>
          <w:tcPr>
            <w:tcW w:w="735" w:type="pct"/>
            <w:vAlign w:val="center"/>
          </w:tcPr>
          <w:p w:rsidR="00766D0B" w:rsidRPr="00766D0B" w:rsidP="003F0EB4" w14:paraId="6AEF9A19" w14:textId="77777777">
            <w:pPr>
              <w:spacing w:after="0" w:line="240" w:lineRule="auto"/>
              <w:jc w:val="right"/>
              <w:rPr>
                <w:rFonts w:ascii="Times New Roman" w:eastAsia="Calibri" w:hAnsi="Times New Roman" w:cs="Times New Roman"/>
                <w:sz w:val="26"/>
                <w:szCs w:val="26"/>
              </w:rPr>
            </w:pPr>
            <w:r w:rsidRPr="00766D0B">
              <w:rPr>
                <w:rFonts w:ascii="Times New Roman" w:eastAsia="Calibri" w:hAnsi="Times New Roman" w:cs="Times New Roman"/>
                <w:sz w:val="26"/>
                <w:szCs w:val="26"/>
              </w:rPr>
              <w:t>1,354</w:t>
            </w:r>
          </w:p>
          <w:p w:rsidR="00766D0B" w:rsidRPr="00766D0B" w:rsidP="003F0EB4" w14:paraId="04F7B290" w14:textId="77777777">
            <w:pPr>
              <w:spacing w:after="0" w:line="240" w:lineRule="auto"/>
              <w:jc w:val="right"/>
              <w:rPr>
                <w:rFonts w:ascii="Times New Roman" w:eastAsia="Calibri" w:hAnsi="Times New Roman" w:cs="Times New Roman"/>
                <w:sz w:val="26"/>
                <w:szCs w:val="26"/>
              </w:rPr>
            </w:pPr>
            <w:r w:rsidRPr="00766D0B">
              <w:rPr>
                <w:rFonts w:ascii="Times New Roman" w:eastAsia="Calibri" w:hAnsi="Times New Roman" w:cs="Times New Roman"/>
                <w:sz w:val="26"/>
                <w:szCs w:val="26"/>
              </w:rPr>
              <w:t>(GO)</w:t>
            </w:r>
          </w:p>
        </w:tc>
        <w:tc>
          <w:tcPr>
            <w:tcW w:w="865" w:type="pct"/>
            <w:vAlign w:val="center"/>
          </w:tcPr>
          <w:p w:rsidR="00766D0B" w:rsidRPr="00766D0B" w:rsidP="003F0EB4" w14:paraId="2D89ECFF" w14:textId="77777777">
            <w:pPr>
              <w:spacing w:after="0" w:line="240" w:lineRule="auto"/>
              <w:jc w:val="right"/>
              <w:rPr>
                <w:rFonts w:ascii="Times New Roman" w:eastAsia="Calibri" w:hAnsi="Times New Roman" w:cs="Times New Roman"/>
                <w:sz w:val="26"/>
                <w:szCs w:val="26"/>
              </w:rPr>
            </w:pPr>
            <w:r w:rsidRPr="00766D0B">
              <w:rPr>
                <w:rFonts w:ascii="Times New Roman" w:eastAsia="Calibri" w:hAnsi="Times New Roman" w:cs="Times New Roman"/>
                <w:sz w:val="26"/>
                <w:szCs w:val="26"/>
              </w:rPr>
              <w:t>1</w:t>
            </w:r>
          </w:p>
        </w:tc>
        <w:tc>
          <w:tcPr>
            <w:tcW w:w="756" w:type="pct"/>
            <w:vAlign w:val="center"/>
          </w:tcPr>
          <w:p w:rsidR="00766D0B" w:rsidRPr="00766D0B" w:rsidP="003F0EB4" w14:paraId="1F55AC55" w14:textId="77777777">
            <w:pPr>
              <w:spacing w:after="0" w:line="240" w:lineRule="auto"/>
              <w:jc w:val="right"/>
              <w:rPr>
                <w:rFonts w:ascii="Times New Roman" w:eastAsia="Calibri" w:hAnsi="Times New Roman" w:cs="Times New Roman"/>
                <w:sz w:val="26"/>
                <w:szCs w:val="26"/>
              </w:rPr>
            </w:pPr>
            <w:r w:rsidRPr="00766D0B">
              <w:rPr>
                <w:rFonts w:ascii="Times New Roman" w:eastAsia="Calibri" w:hAnsi="Times New Roman" w:cs="Times New Roman"/>
                <w:sz w:val="26"/>
                <w:szCs w:val="26"/>
              </w:rPr>
              <w:t>1,354</w:t>
            </w:r>
          </w:p>
        </w:tc>
        <w:tc>
          <w:tcPr>
            <w:tcW w:w="785" w:type="pct"/>
            <w:vAlign w:val="center"/>
          </w:tcPr>
          <w:p w:rsidR="00766D0B" w:rsidRPr="00766D0B" w:rsidP="003F0EB4" w14:paraId="34C10D79" w14:textId="77777777">
            <w:pPr>
              <w:spacing w:after="0" w:line="240" w:lineRule="auto"/>
              <w:jc w:val="right"/>
              <w:rPr>
                <w:rFonts w:ascii="Times New Roman" w:eastAsia="Calibri" w:hAnsi="Times New Roman" w:cs="Times New Roman"/>
                <w:sz w:val="26"/>
                <w:szCs w:val="26"/>
              </w:rPr>
            </w:pPr>
            <w:r w:rsidRPr="00766D0B">
              <w:rPr>
                <w:rFonts w:ascii="Times New Roman" w:eastAsia="Calibri" w:hAnsi="Times New Roman" w:cs="Times New Roman"/>
                <w:sz w:val="26"/>
                <w:szCs w:val="26"/>
              </w:rPr>
              <w:t>40 hrs.; $2,540.80</w:t>
            </w:r>
          </w:p>
        </w:tc>
        <w:tc>
          <w:tcPr>
            <w:tcW w:w="986" w:type="pct"/>
            <w:vAlign w:val="center"/>
          </w:tcPr>
          <w:p w:rsidR="00766D0B" w:rsidRPr="00766D0B" w:rsidP="003F0EB4" w14:paraId="6D2EB791" w14:textId="062F6E98">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Pr="00766D0B">
              <w:rPr>
                <w:rFonts w:ascii="Times New Roman" w:eastAsia="Calibri" w:hAnsi="Times New Roman" w:cs="Times New Roman"/>
                <w:sz w:val="26"/>
                <w:szCs w:val="26"/>
              </w:rPr>
              <w:t>54,160 hrs.;</w:t>
            </w:r>
          </w:p>
          <w:p w:rsidR="00766D0B" w:rsidRPr="00766D0B" w:rsidP="003F0EB4" w14:paraId="344522FF" w14:textId="77777777">
            <w:pPr>
              <w:spacing w:after="0" w:line="240" w:lineRule="auto"/>
              <w:jc w:val="right"/>
              <w:rPr>
                <w:rFonts w:ascii="Times New Roman" w:eastAsia="Calibri" w:hAnsi="Times New Roman" w:cs="Times New Roman"/>
                <w:sz w:val="26"/>
                <w:szCs w:val="26"/>
              </w:rPr>
            </w:pPr>
            <w:r w:rsidRPr="00766D0B">
              <w:rPr>
                <w:rFonts w:ascii="Times New Roman" w:eastAsia="Calibri" w:hAnsi="Times New Roman" w:cs="Times New Roman"/>
                <w:sz w:val="26"/>
                <w:szCs w:val="26"/>
              </w:rPr>
              <w:t>$3,440,243</w:t>
            </w:r>
          </w:p>
        </w:tc>
      </w:tr>
      <w:tr w14:paraId="6A54B967" w14:textId="77777777" w:rsidTr="003F0EB4">
        <w:tblPrEx>
          <w:tblW w:w="5130" w:type="pct"/>
          <w:tblInd w:w="-72" w:type="dxa"/>
          <w:tblLayout w:type="fixed"/>
          <w:tblLook w:val="01E0"/>
        </w:tblPrEx>
        <w:trPr>
          <w:gridAfter w:val="1"/>
          <w:wAfter w:w="5" w:type="dxa"/>
          <w:cantSplit/>
          <w:trHeight w:val="741"/>
        </w:trPr>
        <w:tc>
          <w:tcPr>
            <w:tcW w:w="869" w:type="pct"/>
            <w:vMerge/>
            <w:vAlign w:val="center"/>
          </w:tcPr>
          <w:p w:rsidR="00766D0B" w:rsidRPr="00766D0B" w:rsidP="00766D0B" w14:paraId="03849AF6" w14:textId="77777777">
            <w:pPr>
              <w:spacing w:after="0" w:line="240" w:lineRule="auto"/>
              <w:rPr>
                <w:rFonts w:ascii="Times New Roman" w:eastAsia="Calibri" w:hAnsi="Times New Roman" w:cs="Times New Roman"/>
                <w:sz w:val="26"/>
                <w:szCs w:val="26"/>
              </w:rPr>
            </w:pPr>
          </w:p>
        </w:tc>
        <w:tc>
          <w:tcPr>
            <w:tcW w:w="735" w:type="pct"/>
            <w:vAlign w:val="center"/>
          </w:tcPr>
          <w:p w:rsidR="00766D0B" w:rsidRPr="00766D0B" w:rsidP="003F0EB4" w14:paraId="113987CB" w14:textId="77777777">
            <w:pPr>
              <w:spacing w:after="0" w:line="240" w:lineRule="auto"/>
              <w:jc w:val="right"/>
              <w:rPr>
                <w:rFonts w:ascii="Times New Roman" w:eastAsia="Calibri" w:hAnsi="Times New Roman" w:cs="Times New Roman"/>
                <w:sz w:val="26"/>
                <w:szCs w:val="26"/>
              </w:rPr>
            </w:pPr>
            <w:r w:rsidRPr="00766D0B">
              <w:rPr>
                <w:rFonts w:ascii="Times New Roman" w:eastAsia="Calibri" w:hAnsi="Times New Roman" w:cs="Times New Roman"/>
                <w:sz w:val="26"/>
                <w:szCs w:val="26"/>
              </w:rPr>
              <w:t>60 (PC)</w:t>
            </w:r>
          </w:p>
        </w:tc>
        <w:tc>
          <w:tcPr>
            <w:tcW w:w="865" w:type="pct"/>
            <w:vAlign w:val="center"/>
          </w:tcPr>
          <w:p w:rsidR="00766D0B" w:rsidRPr="00766D0B" w:rsidP="003F0EB4" w14:paraId="671B219A" w14:textId="77777777">
            <w:pPr>
              <w:spacing w:after="0" w:line="240" w:lineRule="auto"/>
              <w:jc w:val="right"/>
              <w:rPr>
                <w:rFonts w:ascii="Times New Roman" w:eastAsia="Calibri" w:hAnsi="Times New Roman" w:cs="Times New Roman"/>
                <w:sz w:val="26"/>
                <w:szCs w:val="26"/>
              </w:rPr>
            </w:pPr>
            <w:r w:rsidRPr="00766D0B">
              <w:rPr>
                <w:rFonts w:ascii="Times New Roman" w:eastAsia="Calibri" w:hAnsi="Times New Roman" w:cs="Times New Roman"/>
                <w:sz w:val="26"/>
                <w:szCs w:val="26"/>
              </w:rPr>
              <w:t>1</w:t>
            </w:r>
          </w:p>
        </w:tc>
        <w:tc>
          <w:tcPr>
            <w:tcW w:w="756" w:type="pct"/>
            <w:vAlign w:val="center"/>
          </w:tcPr>
          <w:p w:rsidR="00766D0B" w:rsidRPr="00766D0B" w:rsidP="003F0EB4" w14:paraId="16E50D41" w14:textId="77777777">
            <w:pPr>
              <w:spacing w:after="0" w:line="240" w:lineRule="auto"/>
              <w:jc w:val="right"/>
              <w:rPr>
                <w:rFonts w:ascii="Times New Roman" w:eastAsia="Calibri" w:hAnsi="Times New Roman" w:cs="Times New Roman"/>
                <w:sz w:val="26"/>
                <w:szCs w:val="26"/>
              </w:rPr>
            </w:pPr>
            <w:r w:rsidRPr="00766D0B">
              <w:rPr>
                <w:rFonts w:ascii="Times New Roman" w:eastAsia="Calibri" w:hAnsi="Times New Roman" w:cs="Times New Roman"/>
                <w:sz w:val="26"/>
                <w:szCs w:val="26"/>
              </w:rPr>
              <w:t>60</w:t>
            </w:r>
          </w:p>
        </w:tc>
        <w:tc>
          <w:tcPr>
            <w:tcW w:w="785" w:type="pct"/>
            <w:vAlign w:val="center"/>
          </w:tcPr>
          <w:p w:rsidR="00766D0B" w:rsidRPr="00766D0B" w:rsidP="003F0EB4" w14:paraId="6C3A3733" w14:textId="77777777">
            <w:pPr>
              <w:spacing w:after="0" w:line="240" w:lineRule="auto"/>
              <w:jc w:val="right"/>
              <w:rPr>
                <w:rFonts w:ascii="Times New Roman" w:eastAsia="Calibri" w:hAnsi="Times New Roman" w:cs="Times New Roman"/>
                <w:sz w:val="26"/>
                <w:szCs w:val="26"/>
              </w:rPr>
            </w:pPr>
            <w:r w:rsidRPr="00766D0B">
              <w:rPr>
                <w:rFonts w:ascii="Times New Roman" w:eastAsia="Calibri" w:hAnsi="Times New Roman" w:cs="Times New Roman"/>
                <w:sz w:val="26"/>
                <w:szCs w:val="26"/>
              </w:rPr>
              <w:t>40 hrs.; $2,540.80</w:t>
            </w:r>
          </w:p>
        </w:tc>
        <w:tc>
          <w:tcPr>
            <w:tcW w:w="986" w:type="pct"/>
            <w:vAlign w:val="center"/>
          </w:tcPr>
          <w:p w:rsidR="00766D0B" w:rsidRPr="00766D0B" w:rsidP="003F0EB4" w14:paraId="10648F66" w14:textId="77777777">
            <w:pPr>
              <w:spacing w:after="0" w:line="240" w:lineRule="auto"/>
              <w:jc w:val="right"/>
              <w:rPr>
                <w:rFonts w:ascii="Times New Roman" w:eastAsia="Calibri" w:hAnsi="Times New Roman" w:cs="Times New Roman"/>
                <w:sz w:val="26"/>
                <w:szCs w:val="26"/>
              </w:rPr>
            </w:pPr>
            <w:r w:rsidRPr="00766D0B">
              <w:rPr>
                <w:rFonts w:ascii="Times New Roman" w:eastAsia="Calibri" w:hAnsi="Times New Roman" w:cs="Times New Roman"/>
                <w:sz w:val="26"/>
                <w:szCs w:val="26"/>
              </w:rPr>
              <w:t>2,400 hrs.;</w:t>
            </w:r>
          </w:p>
          <w:p w:rsidR="00766D0B" w:rsidRPr="00766D0B" w:rsidP="003F0EB4" w14:paraId="7CDDF6DF" w14:textId="77777777">
            <w:pPr>
              <w:spacing w:after="0" w:line="240" w:lineRule="auto"/>
              <w:jc w:val="right"/>
              <w:rPr>
                <w:rFonts w:ascii="Times New Roman" w:eastAsia="Calibri" w:hAnsi="Times New Roman" w:cs="Times New Roman"/>
                <w:sz w:val="26"/>
                <w:szCs w:val="26"/>
              </w:rPr>
            </w:pPr>
            <w:r w:rsidRPr="00766D0B">
              <w:rPr>
                <w:rFonts w:ascii="Times New Roman" w:eastAsia="Calibri" w:hAnsi="Times New Roman" w:cs="Times New Roman"/>
                <w:sz w:val="26"/>
                <w:szCs w:val="26"/>
              </w:rPr>
              <w:t>$ 152,448</w:t>
            </w:r>
          </w:p>
        </w:tc>
      </w:tr>
      <w:tr w14:paraId="49912F87" w14:textId="77777777" w:rsidTr="003F0EB4">
        <w:tblPrEx>
          <w:tblW w:w="5130" w:type="pct"/>
          <w:tblInd w:w="-72" w:type="dxa"/>
          <w:tblLayout w:type="fixed"/>
          <w:tblLook w:val="01E0"/>
        </w:tblPrEx>
        <w:trPr>
          <w:gridAfter w:val="1"/>
          <w:wAfter w:w="5" w:type="dxa"/>
          <w:cantSplit/>
          <w:trHeight w:val="815"/>
        </w:trPr>
        <w:tc>
          <w:tcPr>
            <w:tcW w:w="869" w:type="pct"/>
            <w:vMerge/>
            <w:vAlign w:val="center"/>
          </w:tcPr>
          <w:p w:rsidR="00766D0B" w:rsidRPr="00766D0B" w:rsidP="00766D0B" w14:paraId="4F598FF1" w14:textId="77777777">
            <w:pPr>
              <w:spacing w:after="0" w:line="240" w:lineRule="auto"/>
              <w:rPr>
                <w:rFonts w:ascii="Times New Roman" w:eastAsia="Calibri" w:hAnsi="Times New Roman" w:cs="Times New Roman"/>
                <w:sz w:val="26"/>
                <w:szCs w:val="26"/>
              </w:rPr>
            </w:pPr>
          </w:p>
        </w:tc>
        <w:tc>
          <w:tcPr>
            <w:tcW w:w="735" w:type="pct"/>
            <w:vAlign w:val="center"/>
          </w:tcPr>
          <w:p w:rsidR="00766D0B" w:rsidRPr="00766D0B" w:rsidP="003F0EB4" w14:paraId="39F3DD21" w14:textId="77777777">
            <w:pPr>
              <w:spacing w:after="0" w:line="240" w:lineRule="auto"/>
              <w:jc w:val="right"/>
              <w:rPr>
                <w:rFonts w:ascii="Times New Roman" w:eastAsia="Calibri" w:hAnsi="Times New Roman" w:cs="Times New Roman"/>
                <w:sz w:val="26"/>
                <w:szCs w:val="26"/>
              </w:rPr>
            </w:pPr>
            <w:r w:rsidRPr="00766D0B">
              <w:rPr>
                <w:rFonts w:ascii="Times New Roman" w:eastAsia="Calibri" w:hAnsi="Times New Roman" w:cs="Times New Roman"/>
                <w:sz w:val="26"/>
                <w:szCs w:val="26"/>
              </w:rPr>
              <w:t>210 (TP)</w:t>
            </w:r>
          </w:p>
        </w:tc>
        <w:tc>
          <w:tcPr>
            <w:tcW w:w="865" w:type="pct"/>
            <w:vAlign w:val="center"/>
          </w:tcPr>
          <w:p w:rsidR="00766D0B" w:rsidRPr="00766D0B" w:rsidP="003F0EB4" w14:paraId="5B7706E4" w14:textId="77777777">
            <w:pPr>
              <w:spacing w:after="0" w:line="240" w:lineRule="auto"/>
              <w:jc w:val="right"/>
              <w:rPr>
                <w:rFonts w:ascii="Times New Roman" w:eastAsia="Calibri" w:hAnsi="Times New Roman" w:cs="Times New Roman"/>
                <w:sz w:val="26"/>
                <w:szCs w:val="26"/>
              </w:rPr>
            </w:pPr>
            <w:r w:rsidRPr="00766D0B">
              <w:rPr>
                <w:rFonts w:ascii="Times New Roman" w:eastAsia="Calibri" w:hAnsi="Times New Roman" w:cs="Times New Roman"/>
                <w:sz w:val="26"/>
                <w:szCs w:val="26"/>
              </w:rPr>
              <w:t>1</w:t>
            </w:r>
          </w:p>
        </w:tc>
        <w:tc>
          <w:tcPr>
            <w:tcW w:w="756" w:type="pct"/>
            <w:vAlign w:val="center"/>
          </w:tcPr>
          <w:p w:rsidR="00766D0B" w:rsidRPr="00766D0B" w:rsidP="003F0EB4" w14:paraId="005032BF" w14:textId="77777777">
            <w:pPr>
              <w:spacing w:after="0" w:line="240" w:lineRule="auto"/>
              <w:jc w:val="right"/>
              <w:rPr>
                <w:rFonts w:ascii="Times New Roman" w:eastAsia="Calibri" w:hAnsi="Times New Roman" w:cs="Times New Roman"/>
                <w:sz w:val="26"/>
                <w:szCs w:val="26"/>
              </w:rPr>
            </w:pPr>
            <w:r w:rsidRPr="00766D0B">
              <w:rPr>
                <w:rFonts w:ascii="Times New Roman" w:eastAsia="Calibri" w:hAnsi="Times New Roman" w:cs="Times New Roman"/>
                <w:sz w:val="26"/>
                <w:szCs w:val="26"/>
              </w:rPr>
              <w:t>210</w:t>
            </w:r>
          </w:p>
        </w:tc>
        <w:tc>
          <w:tcPr>
            <w:tcW w:w="785" w:type="pct"/>
            <w:vAlign w:val="center"/>
          </w:tcPr>
          <w:p w:rsidR="00766D0B" w:rsidRPr="00766D0B" w:rsidP="003F0EB4" w14:paraId="1FB77BAA" w14:textId="77777777">
            <w:pPr>
              <w:spacing w:after="0" w:line="240" w:lineRule="auto"/>
              <w:jc w:val="right"/>
              <w:rPr>
                <w:rFonts w:ascii="Times New Roman" w:eastAsia="Calibri" w:hAnsi="Times New Roman" w:cs="Times New Roman"/>
                <w:sz w:val="26"/>
                <w:szCs w:val="26"/>
              </w:rPr>
            </w:pPr>
            <w:r w:rsidRPr="00766D0B">
              <w:rPr>
                <w:rFonts w:ascii="Times New Roman" w:eastAsia="Calibri" w:hAnsi="Times New Roman" w:cs="Times New Roman"/>
                <w:sz w:val="26"/>
                <w:szCs w:val="26"/>
              </w:rPr>
              <w:t>40 hrs.; $2,540.80</w:t>
            </w:r>
          </w:p>
        </w:tc>
        <w:tc>
          <w:tcPr>
            <w:tcW w:w="986" w:type="pct"/>
            <w:vAlign w:val="center"/>
          </w:tcPr>
          <w:p w:rsidR="00766D0B" w:rsidRPr="00766D0B" w:rsidP="003F0EB4" w14:paraId="5D0FFE07" w14:textId="77777777">
            <w:pPr>
              <w:spacing w:after="0" w:line="240" w:lineRule="auto"/>
              <w:jc w:val="right"/>
              <w:rPr>
                <w:rFonts w:ascii="Times New Roman" w:eastAsia="Calibri" w:hAnsi="Times New Roman" w:cs="Times New Roman"/>
                <w:sz w:val="26"/>
                <w:szCs w:val="26"/>
              </w:rPr>
            </w:pPr>
            <w:r w:rsidRPr="00766D0B">
              <w:rPr>
                <w:rFonts w:ascii="Times New Roman" w:eastAsia="Calibri" w:hAnsi="Times New Roman" w:cs="Times New Roman"/>
                <w:sz w:val="26"/>
                <w:szCs w:val="26"/>
              </w:rPr>
              <w:t>8,400 hrs.; $533,568</w:t>
            </w:r>
          </w:p>
        </w:tc>
      </w:tr>
      <w:tr w14:paraId="7B1A2891" w14:textId="77777777" w:rsidTr="003F0EB4">
        <w:tblPrEx>
          <w:tblW w:w="5130" w:type="pct"/>
          <w:tblInd w:w="-72" w:type="dxa"/>
          <w:tblLayout w:type="fixed"/>
          <w:tblLook w:val="01E0"/>
        </w:tblPrEx>
        <w:trPr>
          <w:gridAfter w:val="1"/>
          <w:wAfter w:w="5" w:type="dxa"/>
          <w:cantSplit/>
          <w:trHeight w:val="731"/>
        </w:trPr>
        <w:tc>
          <w:tcPr>
            <w:tcW w:w="869" w:type="pct"/>
            <w:vMerge/>
            <w:vAlign w:val="center"/>
          </w:tcPr>
          <w:p w:rsidR="00766D0B" w:rsidRPr="00766D0B" w:rsidP="00766D0B" w14:paraId="61D937D7" w14:textId="77777777">
            <w:pPr>
              <w:spacing w:after="0" w:line="240" w:lineRule="auto"/>
              <w:rPr>
                <w:rFonts w:ascii="Times New Roman" w:eastAsia="Calibri" w:hAnsi="Times New Roman" w:cs="Times New Roman"/>
                <w:sz w:val="26"/>
                <w:szCs w:val="26"/>
              </w:rPr>
            </w:pPr>
          </w:p>
        </w:tc>
        <w:tc>
          <w:tcPr>
            <w:tcW w:w="735" w:type="pct"/>
            <w:vAlign w:val="center"/>
          </w:tcPr>
          <w:p w:rsidR="00766D0B" w:rsidRPr="00766D0B" w:rsidP="003F0EB4" w14:paraId="65401F3A" w14:textId="77777777">
            <w:pPr>
              <w:spacing w:after="0" w:line="240" w:lineRule="auto"/>
              <w:jc w:val="right"/>
              <w:rPr>
                <w:rFonts w:ascii="Times New Roman" w:eastAsia="Calibri" w:hAnsi="Times New Roman" w:cs="Times New Roman"/>
                <w:sz w:val="26"/>
                <w:szCs w:val="26"/>
              </w:rPr>
            </w:pPr>
            <w:r w:rsidRPr="00766D0B">
              <w:rPr>
                <w:rFonts w:ascii="Times New Roman" w:eastAsia="Calibri" w:hAnsi="Times New Roman" w:cs="Times New Roman"/>
                <w:sz w:val="26"/>
                <w:szCs w:val="26"/>
              </w:rPr>
              <w:t>341 (TO)</w:t>
            </w:r>
          </w:p>
        </w:tc>
        <w:tc>
          <w:tcPr>
            <w:tcW w:w="865" w:type="pct"/>
            <w:vAlign w:val="center"/>
          </w:tcPr>
          <w:p w:rsidR="00766D0B" w:rsidRPr="00766D0B" w:rsidP="003F0EB4" w14:paraId="67FAD207" w14:textId="77777777">
            <w:pPr>
              <w:spacing w:after="0" w:line="240" w:lineRule="auto"/>
              <w:jc w:val="right"/>
              <w:rPr>
                <w:rFonts w:ascii="Times New Roman" w:eastAsia="Calibri" w:hAnsi="Times New Roman" w:cs="Times New Roman"/>
                <w:sz w:val="26"/>
                <w:szCs w:val="26"/>
              </w:rPr>
            </w:pPr>
            <w:r w:rsidRPr="00766D0B">
              <w:rPr>
                <w:rFonts w:ascii="Times New Roman" w:eastAsia="Calibri" w:hAnsi="Times New Roman" w:cs="Times New Roman"/>
                <w:sz w:val="26"/>
                <w:szCs w:val="26"/>
              </w:rPr>
              <w:t>1</w:t>
            </w:r>
          </w:p>
        </w:tc>
        <w:tc>
          <w:tcPr>
            <w:tcW w:w="756" w:type="pct"/>
            <w:vAlign w:val="center"/>
          </w:tcPr>
          <w:p w:rsidR="00766D0B" w:rsidRPr="00766D0B" w:rsidP="003F0EB4" w14:paraId="1C584E35" w14:textId="77777777">
            <w:pPr>
              <w:spacing w:after="0" w:line="240" w:lineRule="auto"/>
              <w:jc w:val="right"/>
              <w:rPr>
                <w:rFonts w:ascii="Times New Roman" w:eastAsia="Calibri" w:hAnsi="Times New Roman" w:cs="Times New Roman"/>
                <w:sz w:val="26"/>
                <w:szCs w:val="26"/>
              </w:rPr>
            </w:pPr>
            <w:r w:rsidRPr="00766D0B">
              <w:rPr>
                <w:rFonts w:ascii="Times New Roman" w:eastAsia="Calibri" w:hAnsi="Times New Roman" w:cs="Times New Roman"/>
                <w:sz w:val="26"/>
                <w:szCs w:val="26"/>
              </w:rPr>
              <w:t>341</w:t>
            </w:r>
          </w:p>
        </w:tc>
        <w:tc>
          <w:tcPr>
            <w:tcW w:w="785" w:type="pct"/>
            <w:vAlign w:val="center"/>
          </w:tcPr>
          <w:p w:rsidR="00766D0B" w:rsidRPr="00766D0B" w:rsidP="003F0EB4" w14:paraId="02BCFDCE" w14:textId="77777777">
            <w:pPr>
              <w:spacing w:after="0" w:line="240" w:lineRule="auto"/>
              <w:jc w:val="right"/>
              <w:rPr>
                <w:rFonts w:ascii="Times New Roman" w:eastAsia="Calibri" w:hAnsi="Times New Roman" w:cs="Times New Roman"/>
                <w:sz w:val="26"/>
                <w:szCs w:val="26"/>
              </w:rPr>
            </w:pPr>
            <w:r w:rsidRPr="00766D0B">
              <w:rPr>
                <w:rFonts w:ascii="Times New Roman" w:eastAsia="Calibri" w:hAnsi="Times New Roman" w:cs="Times New Roman"/>
                <w:sz w:val="26"/>
                <w:szCs w:val="26"/>
              </w:rPr>
              <w:t>40 hrs.; $2,540.80</w:t>
            </w:r>
          </w:p>
        </w:tc>
        <w:tc>
          <w:tcPr>
            <w:tcW w:w="986" w:type="pct"/>
            <w:vAlign w:val="center"/>
          </w:tcPr>
          <w:p w:rsidR="00766D0B" w:rsidRPr="00766D0B" w:rsidP="003F0EB4" w14:paraId="2761844E" w14:textId="77777777">
            <w:pPr>
              <w:spacing w:after="0" w:line="240" w:lineRule="auto"/>
              <w:jc w:val="right"/>
              <w:rPr>
                <w:rFonts w:ascii="Times New Roman" w:eastAsia="Calibri" w:hAnsi="Times New Roman" w:cs="Times New Roman"/>
                <w:sz w:val="26"/>
                <w:szCs w:val="26"/>
              </w:rPr>
            </w:pPr>
            <w:r w:rsidRPr="00766D0B">
              <w:rPr>
                <w:rFonts w:ascii="Times New Roman" w:eastAsia="Calibri" w:hAnsi="Times New Roman" w:cs="Times New Roman"/>
                <w:sz w:val="26"/>
                <w:szCs w:val="26"/>
              </w:rPr>
              <w:t>13,640 hrs.;</w:t>
            </w:r>
          </w:p>
          <w:p w:rsidR="00766D0B" w:rsidRPr="00766D0B" w:rsidP="003F0EB4" w14:paraId="631D6E37" w14:textId="77777777">
            <w:pPr>
              <w:spacing w:after="0" w:line="240" w:lineRule="auto"/>
              <w:jc w:val="right"/>
              <w:rPr>
                <w:rFonts w:ascii="Times New Roman" w:eastAsia="Calibri" w:hAnsi="Times New Roman" w:cs="Times New Roman"/>
                <w:sz w:val="26"/>
                <w:szCs w:val="26"/>
              </w:rPr>
            </w:pPr>
            <w:r w:rsidRPr="00766D0B">
              <w:rPr>
                <w:rFonts w:ascii="Times New Roman" w:eastAsia="Calibri" w:hAnsi="Times New Roman" w:cs="Times New Roman"/>
                <w:sz w:val="26"/>
                <w:szCs w:val="26"/>
              </w:rPr>
              <w:t>$866,413</w:t>
            </w:r>
          </w:p>
        </w:tc>
      </w:tr>
      <w:tr w14:paraId="72789061" w14:textId="77777777" w:rsidTr="003F0EB4">
        <w:tblPrEx>
          <w:tblW w:w="5130" w:type="pct"/>
          <w:tblInd w:w="-72" w:type="dxa"/>
          <w:tblLayout w:type="fixed"/>
          <w:tblLook w:val="01E0"/>
        </w:tblPrEx>
        <w:trPr>
          <w:gridAfter w:val="1"/>
          <w:wAfter w:w="5" w:type="dxa"/>
          <w:cantSplit/>
          <w:trHeight w:val="824"/>
        </w:trPr>
        <w:tc>
          <w:tcPr>
            <w:tcW w:w="869" w:type="pct"/>
            <w:tcBorders>
              <w:bottom w:val="single" w:sz="4" w:space="0" w:color="auto"/>
            </w:tcBorders>
          </w:tcPr>
          <w:p w:rsidR="00766D0B" w:rsidRPr="00766D0B" w:rsidP="00766D0B" w14:paraId="359334CB" w14:textId="77777777">
            <w:pPr>
              <w:spacing w:after="0" w:line="240" w:lineRule="auto"/>
              <w:rPr>
                <w:rFonts w:ascii="Times New Roman" w:eastAsia="Calibri" w:hAnsi="Times New Roman" w:cs="Times New Roman"/>
                <w:b/>
                <w:bCs/>
                <w:sz w:val="26"/>
                <w:szCs w:val="26"/>
              </w:rPr>
            </w:pPr>
            <w:r w:rsidRPr="00766D0B">
              <w:rPr>
                <w:rFonts w:ascii="Times New Roman" w:eastAsia="Calibri" w:hAnsi="Times New Roman" w:cs="Times New Roman"/>
                <w:b/>
                <w:bCs/>
                <w:sz w:val="26"/>
                <w:szCs w:val="26"/>
              </w:rPr>
              <w:t>TOTAL for TPL-007-4</w:t>
            </w:r>
          </w:p>
        </w:tc>
        <w:tc>
          <w:tcPr>
            <w:tcW w:w="1600" w:type="pct"/>
            <w:gridSpan w:val="2"/>
            <w:tcBorders>
              <w:bottom w:val="single" w:sz="4" w:space="0" w:color="auto"/>
            </w:tcBorders>
            <w:shd w:val="clear" w:color="auto" w:fill="D9D9D9" w:themeFill="background1" w:themeFillShade="D9"/>
          </w:tcPr>
          <w:p w:rsidR="00766D0B" w:rsidRPr="00766D0B" w:rsidP="00766D0B" w14:paraId="6B5D1BCC" w14:textId="77777777">
            <w:pPr>
              <w:spacing w:after="0" w:line="240" w:lineRule="auto"/>
              <w:rPr>
                <w:rFonts w:ascii="Times New Roman" w:eastAsia="Calibri" w:hAnsi="Times New Roman" w:cs="Times New Roman"/>
                <w:sz w:val="26"/>
                <w:szCs w:val="26"/>
              </w:rPr>
            </w:pPr>
          </w:p>
        </w:tc>
        <w:tc>
          <w:tcPr>
            <w:tcW w:w="756" w:type="pct"/>
            <w:tcBorders>
              <w:bottom w:val="single" w:sz="4" w:space="0" w:color="auto"/>
            </w:tcBorders>
          </w:tcPr>
          <w:p w:rsidR="00766D0B" w:rsidRPr="00766D0B" w:rsidP="00766D0B" w14:paraId="6E0048F5" w14:textId="77777777">
            <w:pPr>
              <w:spacing w:after="0" w:line="240" w:lineRule="auto"/>
              <w:rPr>
                <w:rFonts w:ascii="Times New Roman" w:eastAsia="Calibri" w:hAnsi="Times New Roman" w:cs="Times New Roman"/>
                <w:b/>
                <w:bCs/>
                <w:sz w:val="26"/>
                <w:szCs w:val="26"/>
              </w:rPr>
            </w:pPr>
            <w:r w:rsidRPr="00766D0B">
              <w:rPr>
                <w:rFonts w:ascii="Times New Roman" w:eastAsia="Calibri" w:hAnsi="Times New Roman" w:cs="Times New Roman"/>
                <w:b/>
                <w:bCs/>
                <w:sz w:val="26"/>
                <w:szCs w:val="26"/>
              </w:rPr>
              <w:t>1,965</w:t>
            </w:r>
          </w:p>
        </w:tc>
        <w:tc>
          <w:tcPr>
            <w:tcW w:w="785" w:type="pct"/>
            <w:tcBorders>
              <w:bottom w:val="single" w:sz="4" w:space="0" w:color="auto"/>
            </w:tcBorders>
            <w:shd w:val="clear" w:color="auto" w:fill="D9D9D9" w:themeFill="background1" w:themeFillShade="D9"/>
          </w:tcPr>
          <w:p w:rsidR="00766D0B" w:rsidRPr="00766D0B" w:rsidP="00766D0B" w14:paraId="1BFBD5EB" w14:textId="77777777">
            <w:pPr>
              <w:spacing w:after="0" w:line="240" w:lineRule="auto"/>
              <w:rPr>
                <w:rFonts w:ascii="Times New Roman" w:eastAsia="Calibri" w:hAnsi="Times New Roman" w:cs="Times New Roman"/>
                <w:sz w:val="26"/>
                <w:szCs w:val="26"/>
              </w:rPr>
            </w:pPr>
          </w:p>
        </w:tc>
        <w:tc>
          <w:tcPr>
            <w:tcW w:w="986" w:type="pct"/>
            <w:tcBorders>
              <w:bottom w:val="single" w:sz="4" w:space="0" w:color="auto"/>
            </w:tcBorders>
          </w:tcPr>
          <w:p w:rsidR="00766D0B" w:rsidRPr="00766D0B" w:rsidP="00AF5B3F" w14:paraId="274A560A" w14:textId="77777777">
            <w:pPr>
              <w:spacing w:after="0" w:line="240" w:lineRule="auto"/>
              <w:jc w:val="right"/>
              <w:rPr>
                <w:rFonts w:ascii="Times New Roman" w:eastAsia="Calibri" w:hAnsi="Times New Roman" w:cs="Times New Roman"/>
                <w:b/>
                <w:bCs/>
                <w:sz w:val="26"/>
                <w:szCs w:val="26"/>
              </w:rPr>
            </w:pPr>
            <w:r w:rsidRPr="00766D0B">
              <w:rPr>
                <w:rFonts w:ascii="Times New Roman" w:eastAsia="Calibri" w:hAnsi="Times New Roman" w:cs="Times New Roman"/>
                <w:b/>
                <w:bCs/>
                <w:sz w:val="26"/>
                <w:szCs w:val="26"/>
              </w:rPr>
              <w:t>78,600 hours;</w:t>
            </w:r>
          </w:p>
          <w:p w:rsidR="00766D0B" w:rsidRPr="00766D0B" w:rsidP="00AF5B3F" w14:paraId="69D383EA" w14:textId="77777777">
            <w:pPr>
              <w:spacing w:after="0" w:line="240" w:lineRule="auto"/>
              <w:jc w:val="right"/>
              <w:rPr>
                <w:rFonts w:ascii="Times New Roman" w:eastAsia="Calibri" w:hAnsi="Times New Roman" w:cs="Times New Roman"/>
                <w:b/>
                <w:bCs/>
                <w:sz w:val="26"/>
                <w:szCs w:val="26"/>
              </w:rPr>
            </w:pPr>
            <w:r w:rsidRPr="00766D0B">
              <w:rPr>
                <w:rFonts w:ascii="Times New Roman" w:eastAsia="Calibri" w:hAnsi="Times New Roman" w:cs="Times New Roman"/>
                <w:b/>
                <w:bCs/>
                <w:sz w:val="26"/>
                <w:szCs w:val="26"/>
              </w:rPr>
              <w:t>$4,992,672</w:t>
            </w:r>
          </w:p>
        </w:tc>
      </w:tr>
      <w:bookmarkEnd w:id="1"/>
    </w:tbl>
    <w:p w:rsidR="00466C81" w14:paraId="3A1FFA21" w14:textId="77777777">
      <w:pPr>
        <w:spacing w:after="0" w:line="240" w:lineRule="auto"/>
        <w:rPr>
          <w:rFonts w:ascii="Times New Roman" w:eastAsia="Calibri" w:hAnsi="Times New Roman" w:cs="Times New Roman"/>
          <w:sz w:val="26"/>
          <w:szCs w:val="26"/>
        </w:rPr>
      </w:pPr>
    </w:p>
    <w:p w:rsidR="00FC57AF" w14:paraId="422EE1A1" w14:textId="77777777">
      <w:pPr>
        <w:spacing w:after="0" w:line="240" w:lineRule="auto"/>
        <w:rPr>
          <w:rFonts w:ascii="Times New Roman" w:eastAsia="Calibri" w:hAnsi="Times New Roman" w:cs="Times New Roman"/>
          <w:sz w:val="26"/>
          <w:szCs w:val="26"/>
        </w:rPr>
      </w:pPr>
    </w:p>
    <w:tbl>
      <w:tblPr>
        <w:tblW w:w="522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67"/>
        <w:gridCol w:w="1410"/>
        <w:gridCol w:w="1660"/>
        <w:gridCol w:w="1631"/>
        <w:gridCol w:w="1506"/>
        <w:gridCol w:w="1891"/>
      </w:tblGrid>
      <w:tr w14:paraId="7454308E" w14:textId="77777777" w:rsidTr="006B5726">
        <w:tblPrEx>
          <w:tblW w:w="522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800"/>
        </w:trPr>
        <w:tc>
          <w:tcPr>
            <w:tcW w:w="5000" w:type="pct"/>
            <w:gridSpan w:val="6"/>
            <w:shd w:val="clear" w:color="auto" w:fill="D9D9D9" w:themeFill="background1" w:themeFillShade="D9"/>
          </w:tcPr>
          <w:p w:rsidR="005E1730" w:rsidRPr="005E1730" w:rsidP="00861D61" w14:paraId="709DE482" w14:textId="77777777">
            <w:pPr>
              <w:spacing w:after="0" w:line="240" w:lineRule="auto"/>
              <w:jc w:val="center"/>
              <w:rPr>
                <w:rFonts w:ascii="Times New Roman" w:eastAsia="Calibri" w:hAnsi="Times New Roman" w:cs="Times New Roman"/>
                <w:b/>
                <w:bCs/>
                <w:sz w:val="26"/>
                <w:szCs w:val="26"/>
              </w:rPr>
            </w:pPr>
            <w:r w:rsidRPr="005E1730">
              <w:rPr>
                <w:rFonts w:ascii="Times New Roman" w:eastAsia="Calibri" w:hAnsi="Times New Roman" w:cs="Times New Roman"/>
                <w:b/>
                <w:bCs/>
                <w:sz w:val="26"/>
                <w:szCs w:val="26"/>
              </w:rPr>
              <w:t>Annual Collection TPL-008-1 FERC 725N</w:t>
            </w:r>
          </w:p>
        </w:tc>
      </w:tr>
      <w:tr w14:paraId="2AB17AF0" w14:textId="77777777" w:rsidTr="006B5726">
        <w:tblPrEx>
          <w:tblW w:w="5222" w:type="pct"/>
          <w:tblInd w:w="-72" w:type="dxa"/>
          <w:tblLayout w:type="fixed"/>
          <w:tblLook w:val="01E0"/>
        </w:tblPrEx>
        <w:trPr>
          <w:cantSplit/>
          <w:trHeight w:val="2157"/>
        </w:trPr>
        <w:tc>
          <w:tcPr>
            <w:tcW w:w="854" w:type="pct"/>
            <w:shd w:val="clear" w:color="auto" w:fill="D9D9D9" w:themeFill="background1" w:themeFillShade="D9"/>
          </w:tcPr>
          <w:p w:rsidR="005E1730" w:rsidRPr="005E1730" w:rsidP="005E1730" w14:paraId="5CD7B5FD" w14:textId="77777777">
            <w:pPr>
              <w:spacing w:after="0" w:line="240" w:lineRule="auto"/>
              <w:rPr>
                <w:rFonts w:ascii="Times New Roman" w:eastAsia="Calibri" w:hAnsi="Times New Roman" w:cs="Times New Roman"/>
                <w:b/>
                <w:sz w:val="26"/>
                <w:szCs w:val="26"/>
              </w:rPr>
            </w:pPr>
          </w:p>
          <w:p w:rsidR="005E1730" w:rsidRPr="005E1730" w:rsidP="005E1730" w14:paraId="5A6D953B" w14:textId="77777777">
            <w:pPr>
              <w:spacing w:after="0" w:line="240" w:lineRule="auto"/>
              <w:rPr>
                <w:rFonts w:ascii="Times New Roman" w:eastAsia="Calibri" w:hAnsi="Times New Roman" w:cs="Times New Roman"/>
                <w:sz w:val="26"/>
                <w:szCs w:val="26"/>
              </w:rPr>
            </w:pPr>
            <w:r w:rsidRPr="005E1730">
              <w:rPr>
                <w:rFonts w:ascii="Times New Roman" w:eastAsia="Calibri" w:hAnsi="Times New Roman" w:cs="Times New Roman"/>
                <w:sz w:val="26"/>
                <w:szCs w:val="26"/>
              </w:rPr>
              <w:t>Reliability Standard or Process</w:t>
            </w:r>
          </w:p>
        </w:tc>
        <w:tc>
          <w:tcPr>
            <w:tcW w:w="722" w:type="pct"/>
            <w:shd w:val="clear" w:color="auto" w:fill="D9D9D9" w:themeFill="background1" w:themeFillShade="D9"/>
          </w:tcPr>
          <w:p w:rsidR="005E1730" w:rsidRPr="005E1730" w:rsidP="005E1730" w14:paraId="3902EEF9" w14:textId="19ED3A1A">
            <w:pPr>
              <w:spacing w:after="0" w:line="240" w:lineRule="auto"/>
              <w:rPr>
                <w:rFonts w:ascii="Times New Roman" w:eastAsia="Calibri" w:hAnsi="Times New Roman" w:cs="Times New Roman"/>
                <w:b/>
                <w:bCs/>
                <w:sz w:val="26"/>
                <w:szCs w:val="26"/>
              </w:rPr>
            </w:pPr>
            <w:r w:rsidRPr="005E1730">
              <w:rPr>
                <w:rFonts w:ascii="Times New Roman" w:eastAsia="Calibri" w:hAnsi="Times New Roman" w:cs="Times New Roman"/>
                <w:b/>
                <w:bCs/>
                <w:sz w:val="26"/>
                <w:szCs w:val="26"/>
              </w:rPr>
              <w:t>Type and Number of Entities</w:t>
            </w:r>
            <w:r>
              <w:rPr>
                <w:rStyle w:val="FootnoteReference"/>
                <w:rFonts w:ascii="Times New Roman" w:eastAsia="Calibri" w:hAnsi="Times New Roman" w:cs="Times New Roman"/>
                <w:bCs/>
                <w:sz w:val="26"/>
                <w:szCs w:val="26"/>
                <w:vertAlign w:val="superscript"/>
              </w:rPr>
              <w:footnoteReference w:customMarkFollows="1" w:id="13"/>
              <w:t xml:space="preserve">13</w:t>
            </w:r>
            <w:r w:rsidRPr="005E1730">
              <w:rPr>
                <w:rFonts w:ascii="Times New Roman" w:eastAsia="Calibri" w:hAnsi="Times New Roman" w:cs="Times New Roman"/>
                <w:b/>
                <w:sz w:val="26"/>
                <w:szCs w:val="26"/>
              </w:rPr>
              <w:br/>
            </w:r>
            <w:r w:rsidRPr="005E1730">
              <w:rPr>
                <w:rFonts w:ascii="Times New Roman" w:eastAsia="Calibri" w:hAnsi="Times New Roman" w:cs="Times New Roman"/>
                <w:b/>
                <w:bCs/>
                <w:sz w:val="26"/>
                <w:szCs w:val="26"/>
              </w:rPr>
              <w:t>(1)</w:t>
            </w:r>
          </w:p>
        </w:tc>
        <w:tc>
          <w:tcPr>
            <w:tcW w:w="850" w:type="pct"/>
            <w:shd w:val="clear" w:color="auto" w:fill="D9D9D9" w:themeFill="background1" w:themeFillShade="D9"/>
          </w:tcPr>
          <w:p w:rsidR="005E1730" w:rsidRPr="005E1730" w:rsidP="005E1730" w14:paraId="40968792" w14:textId="77777777">
            <w:pPr>
              <w:spacing w:after="0" w:line="240" w:lineRule="auto"/>
              <w:rPr>
                <w:rFonts w:ascii="Times New Roman" w:eastAsia="Calibri" w:hAnsi="Times New Roman" w:cs="Times New Roman"/>
                <w:b/>
                <w:bCs/>
                <w:sz w:val="26"/>
                <w:szCs w:val="26"/>
              </w:rPr>
            </w:pPr>
            <w:r w:rsidRPr="005E1730">
              <w:rPr>
                <w:rFonts w:ascii="Times New Roman" w:eastAsia="Calibri" w:hAnsi="Times New Roman" w:cs="Times New Roman"/>
                <w:b/>
                <w:bCs/>
                <w:sz w:val="26"/>
                <w:szCs w:val="26"/>
              </w:rPr>
              <w:t>Annual Number of Responses per Entity</w:t>
            </w:r>
          </w:p>
          <w:p w:rsidR="005E1730" w:rsidRPr="005E1730" w:rsidP="005E1730" w14:paraId="69DBBFF5" w14:textId="77777777">
            <w:pPr>
              <w:spacing w:after="0" w:line="240" w:lineRule="auto"/>
              <w:rPr>
                <w:rFonts w:ascii="Times New Roman" w:eastAsia="Calibri" w:hAnsi="Times New Roman" w:cs="Times New Roman"/>
                <w:b/>
                <w:sz w:val="26"/>
                <w:szCs w:val="26"/>
              </w:rPr>
            </w:pPr>
            <w:r w:rsidRPr="005E1730">
              <w:rPr>
                <w:rFonts w:ascii="Times New Roman" w:eastAsia="Calibri" w:hAnsi="Times New Roman" w:cs="Times New Roman"/>
                <w:b/>
                <w:sz w:val="26"/>
                <w:szCs w:val="26"/>
              </w:rPr>
              <w:t>(2)</w:t>
            </w:r>
          </w:p>
        </w:tc>
        <w:tc>
          <w:tcPr>
            <w:tcW w:w="835" w:type="pct"/>
            <w:shd w:val="clear" w:color="auto" w:fill="D9D9D9" w:themeFill="background1" w:themeFillShade="D9"/>
          </w:tcPr>
          <w:p w:rsidR="005E1730" w:rsidRPr="005E1730" w:rsidP="005E1730" w14:paraId="2E6004A1" w14:textId="77777777">
            <w:pPr>
              <w:spacing w:after="0" w:line="240" w:lineRule="auto"/>
              <w:rPr>
                <w:rFonts w:ascii="Times New Roman" w:eastAsia="Calibri" w:hAnsi="Times New Roman" w:cs="Times New Roman"/>
                <w:b/>
                <w:bCs/>
                <w:sz w:val="26"/>
                <w:szCs w:val="26"/>
              </w:rPr>
            </w:pPr>
            <w:r w:rsidRPr="005E1730">
              <w:rPr>
                <w:rFonts w:ascii="Times New Roman" w:eastAsia="Calibri" w:hAnsi="Times New Roman" w:cs="Times New Roman"/>
                <w:b/>
                <w:bCs/>
                <w:sz w:val="26"/>
                <w:szCs w:val="26"/>
              </w:rPr>
              <w:t>Total Number of Responses (</w:t>
            </w:r>
            <w:r w:rsidRPr="005E1730">
              <w:rPr>
                <w:rFonts w:ascii="Times New Roman" w:eastAsia="Calibri" w:hAnsi="Times New Roman" w:cs="Times New Roman"/>
                <w:b/>
                <w:bCs/>
                <w:sz w:val="26"/>
                <w:szCs w:val="26"/>
              </w:rPr>
              <w:t>1)*</w:t>
            </w:r>
            <w:r w:rsidRPr="005E1730">
              <w:rPr>
                <w:rFonts w:ascii="Times New Roman" w:eastAsia="Calibri" w:hAnsi="Times New Roman" w:cs="Times New Roman"/>
                <w:b/>
                <w:bCs/>
                <w:sz w:val="26"/>
                <w:szCs w:val="26"/>
              </w:rPr>
              <w:t>(</w:t>
            </w:r>
            <w:r w:rsidRPr="005E1730">
              <w:rPr>
                <w:rFonts w:ascii="Times New Roman" w:eastAsia="Calibri" w:hAnsi="Times New Roman" w:cs="Times New Roman"/>
                <w:b/>
                <w:bCs/>
                <w:sz w:val="26"/>
                <w:szCs w:val="26"/>
              </w:rPr>
              <w:t>2)=</w:t>
            </w:r>
            <w:r w:rsidRPr="005E1730">
              <w:rPr>
                <w:rFonts w:ascii="Times New Roman" w:eastAsia="Calibri" w:hAnsi="Times New Roman" w:cs="Times New Roman"/>
                <w:b/>
                <w:bCs/>
                <w:sz w:val="26"/>
                <w:szCs w:val="26"/>
              </w:rPr>
              <w:t>(3)</w:t>
            </w:r>
          </w:p>
        </w:tc>
        <w:tc>
          <w:tcPr>
            <w:tcW w:w="771" w:type="pct"/>
            <w:shd w:val="clear" w:color="auto" w:fill="D9D9D9" w:themeFill="background1" w:themeFillShade="D9"/>
          </w:tcPr>
          <w:p w:rsidR="005E1730" w:rsidRPr="005E1730" w:rsidP="005E1730" w14:paraId="349E5A2C" w14:textId="77777777">
            <w:pPr>
              <w:spacing w:after="0" w:line="240" w:lineRule="auto"/>
              <w:rPr>
                <w:rFonts w:ascii="Times New Roman" w:eastAsia="Calibri" w:hAnsi="Times New Roman" w:cs="Times New Roman"/>
                <w:b/>
                <w:sz w:val="26"/>
                <w:szCs w:val="26"/>
              </w:rPr>
            </w:pPr>
            <w:r w:rsidRPr="005E1730">
              <w:rPr>
                <w:rFonts w:ascii="Times New Roman" w:eastAsia="Calibri" w:hAnsi="Times New Roman" w:cs="Times New Roman"/>
                <w:b/>
                <w:sz w:val="26"/>
                <w:szCs w:val="26"/>
              </w:rPr>
              <w:t>Average Burden Hrs. &amp; Cost) ($) Per Response</w:t>
            </w:r>
          </w:p>
          <w:p w:rsidR="005E1730" w:rsidRPr="005E1730" w:rsidP="005E1730" w14:paraId="39F620FA" w14:textId="77777777">
            <w:pPr>
              <w:spacing w:after="0" w:line="240" w:lineRule="auto"/>
              <w:rPr>
                <w:rFonts w:ascii="Times New Roman" w:eastAsia="Calibri" w:hAnsi="Times New Roman" w:cs="Times New Roman"/>
                <w:b/>
                <w:sz w:val="26"/>
                <w:szCs w:val="26"/>
              </w:rPr>
            </w:pPr>
            <w:r w:rsidRPr="005E1730">
              <w:rPr>
                <w:rFonts w:ascii="Times New Roman" w:eastAsia="Calibri" w:hAnsi="Times New Roman" w:cs="Times New Roman"/>
                <w:b/>
                <w:sz w:val="26"/>
                <w:szCs w:val="26"/>
              </w:rPr>
              <w:t>(4)</w:t>
            </w:r>
          </w:p>
        </w:tc>
        <w:tc>
          <w:tcPr>
            <w:tcW w:w="968" w:type="pct"/>
            <w:shd w:val="clear" w:color="auto" w:fill="D9D9D9" w:themeFill="background1" w:themeFillShade="D9"/>
          </w:tcPr>
          <w:p w:rsidR="005E1730" w:rsidRPr="005E1730" w:rsidP="005E1730" w14:paraId="325BEC3D" w14:textId="77777777">
            <w:pPr>
              <w:spacing w:after="0" w:line="240" w:lineRule="auto"/>
              <w:rPr>
                <w:rFonts w:ascii="Times New Roman" w:eastAsia="Calibri" w:hAnsi="Times New Roman" w:cs="Times New Roman"/>
                <w:b/>
                <w:sz w:val="26"/>
                <w:szCs w:val="26"/>
              </w:rPr>
            </w:pPr>
            <w:r w:rsidRPr="005E1730">
              <w:rPr>
                <w:rFonts w:ascii="Times New Roman" w:eastAsia="Calibri" w:hAnsi="Times New Roman" w:cs="Times New Roman"/>
                <w:b/>
                <w:sz w:val="26"/>
                <w:szCs w:val="26"/>
              </w:rPr>
              <w:t>Total Annual Burden Hours &amp; Cost ($) (rounded)</w:t>
            </w:r>
          </w:p>
          <w:p w:rsidR="005E1730" w:rsidRPr="005E1730" w:rsidP="005E1730" w14:paraId="0B82BCB3" w14:textId="77777777">
            <w:pPr>
              <w:spacing w:after="0" w:line="240" w:lineRule="auto"/>
              <w:rPr>
                <w:rFonts w:ascii="Times New Roman" w:eastAsia="Calibri" w:hAnsi="Times New Roman" w:cs="Times New Roman"/>
                <w:b/>
                <w:sz w:val="26"/>
                <w:szCs w:val="26"/>
              </w:rPr>
            </w:pPr>
            <w:r w:rsidRPr="005E1730">
              <w:rPr>
                <w:rFonts w:ascii="Times New Roman" w:eastAsia="Calibri" w:hAnsi="Times New Roman" w:cs="Times New Roman"/>
                <w:b/>
                <w:sz w:val="26"/>
                <w:szCs w:val="26"/>
              </w:rPr>
              <w:t>(</w:t>
            </w:r>
            <w:r w:rsidRPr="005E1730">
              <w:rPr>
                <w:rFonts w:ascii="Times New Roman" w:eastAsia="Calibri" w:hAnsi="Times New Roman" w:cs="Times New Roman"/>
                <w:b/>
                <w:sz w:val="26"/>
                <w:szCs w:val="26"/>
              </w:rPr>
              <w:t>3)*</w:t>
            </w:r>
            <w:r w:rsidRPr="005E1730">
              <w:rPr>
                <w:rFonts w:ascii="Times New Roman" w:eastAsia="Calibri" w:hAnsi="Times New Roman" w:cs="Times New Roman"/>
                <w:b/>
                <w:sz w:val="26"/>
                <w:szCs w:val="26"/>
              </w:rPr>
              <w:t>(</w:t>
            </w:r>
            <w:r w:rsidRPr="005E1730">
              <w:rPr>
                <w:rFonts w:ascii="Times New Roman" w:eastAsia="Calibri" w:hAnsi="Times New Roman" w:cs="Times New Roman"/>
                <w:b/>
                <w:sz w:val="26"/>
                <w:szCs w:val="26"/>
              </w:rPr>
              <w:t>4)=</w:t>
            </w:r>
            <w:r w:rsidRPr="005E1730">
              <w:rPr>
                <w:rFonts w:ascii="Times New Roman" w:eastAsia="Calibri" w:hAnsi="Times New Roman" w:cs="Times New Roman"/>
                <w:b/>
                <w:sz w:val="26"/>
                <w:szCs w:val="26"/>
              </w:rPr>
              <w:t>(5)</w:t>
            </w:r>
          </w:p>
          <w:p w:rsidR="005E1730" w:rsidRPr="005E1730" w:rsidP="005E1730" w14:paraId="318DDF04" w14:textId="77777777">
            <w:pPr>
              <w:spacing w:after="0" w:line="240" w:lineRule="auto"/>
              <w:rPr>
                <w:rFonts w:ascii="Times New Roman" w:eastAsia="Calibri" w:hAnsi="Times New Roman" w:cs="Times New Roman"/>
                <w:b/>
                <w:sz w:val="26"/>
                <w:szCs w:val="26"/>
              </w:rPr>
            </w:pPr>
            <w:r w:rsidRPr="005E1730">
              <w:rPr>
                <w:rFonts w:ascii="Times New Roman" w:eastAsia="Calibri" w:hAnsi="Times New Roman" w:cs="Times New Roman"/>
                <w:b/>
                <w:sz w:val="26"/>
                <w:szCs w:val="26"/>
              </w:rPr>
              <w:t>rounded</w:t>
            </w:r>
          </w:p>
        </w:tc>
      </w:tr>
      <w:tr w14:paraId="55B4C5DB" w14:textId="77777777" w:rsidTr="006B5726">
        <w:tblPrEx>
          <w:tblW w:w="5222" w:type="pct"/>
          <w:tblInd w:w="-72" w:type="dxa"/>
          <w:tblLayout w:type="fixed"/>
          <w:tblLook w:val="01E0"/>
        </w:tblPrEx>
        <w:trPr>
          <w:cantSplit/>
          <w:trHeight w:val="824"/>
        </w:trPr>
        <w:tc>
          <w:tcPr>
            <w:tcW w:w="854" w:type="pct"/>
            <w:vMerge w:val="restart"/>
            <w:vAlign w:val="center"/>
          </w:tcPr>
          <w:p w:rsidR="005E1730" w:rsidRPr="005E1730" w:rsidP="005E1730" w14:paraId="75C624E6" w14:textId="41BA7F82">
            <w:pPr>
              <w:spacing w:after="0" w:line="240" w:lineRule="auto"/>
              <w:rPr>
                <w:rFonts w:ascii="Times New Roman" w:eastAsia="Calibri" w:hAnsi="Times New Roman" w:cs="Times New Roman"/>
                <w:sz w:val="26"/>
                <w:szCs w:val="26"/>
              </w:rPr>
            </w:pPr>
            <w:r w:rsidRPr="005E1730">
              <w:rPr>
                <w:rFonts w:ascii="Times New Roman" w:eastAsia="Calibri" w:hAnsi="Times New Roman" w:cs="Times New Roman"/>
                <w:b/>
                <w:bCs/>
                <w:sz w:val="26"/>
                <w:szCs w:val="26"/>
              </w:rPr>
              <w:t>Annual review and record retention</w:t>
            </w:r>
          </w:p>
        </w:tc>
        <w:tc>
          <w:tcPr>
            <w:tcW w:w="722" w:type="pct"/>
            <w:vAlign w:val="center"/>
          </w:tcPr>
          <w:p w:rsidR="005E1730" w:rsidRPr="005E1730" w:rsidP="005E1730" w14:paraId="4D8271FB" w14:textId="77777777">
            <w:pPr>
              <w:spacing w:after="0" w:line="240" w:lineRule="auto"/>
              <w:rPr>
                <w:rFonts w:ascii="Times New Roman" w:eastAsia="Calibri" w:hAnsi="Times New Roman" w:cs="Times New Roman"/>
                <w:sz w:val="26"/>
                <w:szCs w:val="26"/>
              </w:rPr>
            </w:pPr>
            <w:r w:rsidRPr="005E1730">
              <w:rPr>
                <w:rFonts w:ascii="Times New Roman" w:eastAsia="Calibri" w:hAnsi="Times New Roman" w:cs="Times New Roman"/>
                <w:sz w:val="26"/>
                <w:szCs w:val="26"/>
              </w:rPr>
              <w:t>60 (PC)</w:t>
            </w:r>
          </w:p>
        </w:tc>
        <w:tc>
          <w:tcPr>
            <w:tcW w:w="850" w:type="pct"/>
            <w:vAlign w:val="center"/>
          </w:tcPr>
          <w:p w:rsidR="005E1730" w:rsidRPr="005E1730" w:rsidP="005E1730" w14:paraId="205B8FB7" w14:textId="77777777">
            <w:pPr>
              <w:spacing w:after="0" w:line="240" w:lineRule="auto"/>
              <w:rPr>
                <w:rFonts w:ascii="Times New Roman" w:eastAsia="Calibri" w:hAnsi="Times New Roman" w:cs="Times New Roman"/>
                <w:sz w:val="26"/>
                <w:szCs w:val="26"/>
              </w:rPr>
            </w:pPr>
            <w:r w:rsidRPr="005E1730">
              <w:rPr>
                <w:rFonts w:ascii="Times New Roman" w:eastAsia="Calibri" w:hAnsi="Times New Roman" w:cs="Times New Roman"/>
                <w:sz w:val="26"/>
                <w:szCs w:val="26"/>
              </w:rPr>
              <w:t>1</w:t>
            </w:r>
          </w:p>
        </w:tc>
        <w:tc>
          <w:tcPr>
            <w:tcW w:w="835" w:type="pct"/>
            <w:vAlign w:val="center"/>
          </w:tcPr>
          <w:p w:rsidR="005E1730" w:rsidRPr="005E1730" w:rsidP="005E1730" w14:paraId="73A517AD" w14:textId="77777777">
            <w:pPr>
              <w:spacing w:after="0" w:line="240" w:lineRule="auto"/>
              <w:rPr>
                <w:rFonts w:ascii="Times New Roman" w:eastAsia="Calibri" w:hAnsi="Times New Roman" w:cs="Times New Roman"/>
                <w:sz w:val="26"/>
                <w:szCs w:val="26"/>
              </w:rPr>
            </w:pPr>
            <w:r w:rsidRPr="005E1730">
              <w:rPr>
                <w:rFonts w:ascii="Times New Roman" w:eastAsia="Calibri" w:hAnsi="Times New Roman" w:cs="Times New Roman"/>
                <w:sz w:val="26"/>
                <w:szCs w:val="26"/>
              </w:rPr>
              <w:t>60</w:t>
            </w:r>
          </w:p>
        </w:tc>
        <w:tc>
          <w:tcPr>
            <w:tcW w:w="771" w:type="pct"/>
            <w:vAlign w:val="center"/>
          </w:tcPr>
          <w:p w:rsidR="005E1730" w:rsidRPr="005E1730" w:rsidP="005E1730" w14:paraId="1F8A2A88" w14:textId="77777777">
            <w:pPr>
              <w:spacing w:after="0" w:line="240" w:lineRule="auto"/>
              <w:rPr>
                <w:rFonts w:ascii="Times New Roman" w:eastAsia="Calibri" w:hAnsi="Times New Roman" w:cs="Times New Roman"/>
                <w:sz w:val="26"/>
                <w:szCs w:val="26"/>
              </w:rPr>
            </w:pPr>
            <w:r w:rsidRPr="005E1730">
              <w:rPr>
                <w:rFonts w:ascii="Times New Roman" w:eastAsia="Calibri" w:hAnsi="Times New Roman" w:cs="Times New Roman"/>
                <w:sz w:val="26"/>
                <w:szCs w:val="26"/>
              </w:rPr>
              <w:t>88 hrs.; $5,589.76</w:t>
            </w:r>
          </w:p>
        </w:tc>
        <w:tc>
          <w:tcPr>
            <w:tcW w:w="968" w:type="pct"/>
            <w:vAlign w:val="center"/>
          </w:tcPr>
          <w:p w:rsidR="005E1730" w:rsidRPr="005E1730" w:rsidP="005E1730" w14:paraId="128E5F6D" w14:textId="77777777">
            <w:pPr>
              <w:spacing w:after="0" w:line="240" w:lineRule="auto"/>
              <w:rPr>
                <w:rFonts w:ascii="Times New Roman" w:eastAsia="Calibri" w:hAnsi="Times New Roman" w:cs="Times New Roman"/>
                <w:sz w:val="26"/>
                <w:szCs w:val="26"/>
              </w:rPr>
            </w:pPr>
            <w:r w:rsidRPr="005E1730">
              <w:rPr>
                <w:rFonts w:ascii="Times New Roman" w:eastAsia="Calibri" w:hAnsi="Times New Roman" w:cs="Times New Roman"/>
                <w:sz w:val="26"/>
                <w:szCs w:val="26"/>
              </w:rPr>
              <w:t>5,280hrs.;</w:t>
            </w:r>
          </w:p>
          <w:p w:rsidR="005E1730" w:rsidRPr="005E1730" w:rsidP="005E1730" w14:paraId="7AEF9F07" w14:textId="77777777">
            <w:pPr>
              <w:spacing w:after="0" w:line="240" w:lineRule="auto"/>
              <w:rPr>
                <w:rFonts w:ascii="Times New Roman" w:eastAsia="Calibri" w:hAnsi="Times New Roman" w:cs="Times New Roman"/>
                <w:sz w:val="26"/>
                <w:szCs w:val="26"/>
              </w:rPr>
            </w:pPr>
            <w:r w:rsidRPr="005E1730">
              <w:rPr>
                <w:rFonts w:ascii="Times New Roman" w:eastAsia="Calibri" w:hAnsi="Times New Roman" w:cs="Times New Roman"/>
                <w:sz w:val="26"/>
                <w:szCs w:val="26"/>
              </w:rPr>
              <w:t>$ 335,386</w:t>
            </w:r>
          </w:p>
        </w:tc>
      </w:tr>
      <w:tr w14:paraId="6EAD0F94" w14:textId="77777777" w:rsidTr="006B5726">
        <w:tblPrEx>
          <w:tblW w:w="5222" w:type="pct"/>
          <w:tblInd w:w="-72" w:type="dxa"/>
          <w:tblLayout w:type="fixed"/>
          <w:tblLook w:val="01E0"/>
        </w:tblPrEx>
        <w:trPr>
          <w:cantSplit/>
          <w:trHeight w:val="741"/>
        </w:trPr>
        <w:tc>
          <w:tcPr>
            <w:tcW w:w="854" w:type="pct"/>
            <w:vMerge/>
            <w:vAlign w:val="center"/>
          </w:tcPr>
          <w:p w:rsidR="005E1730" w:rsidRPr="005E1730" w:rsidP="005E1730" w14:paraId="13173535" w14:textId="77777777">
            <w:pPr>
              <w:spacing w:after="0" w:line="240" w:lineRule="auto"/>
              <w:rPr>
                <w:rFonts w:ascii="Times New Roman" w:eastAsia="Calibri" w:hAnsi="Times New Roman" w:cs="Times New Roman"/>
                <w:sz w:val="26"/>
                <w:szCs w:val="26"/>
              </w:rPr>
            </w:pPr>
          </w:p>
        </w:tc>
        <w:tc>
          <w:tcPr>
            <w:tcW w:w="722" w:type="pct"/>
            <w:vAlign w:val="center"/>
          </w:tcPr>
          <w:p w:rsidR="005E1730" w:rsidRPr="005E1730" w:rsidP="005E1730" w14:paraId="7C60F323" w14:textId="77777777">
            <w:pPr>
              <w:spacing w:after="0" w:line="240" w:lineRule="auto"/>
              <w:rPr>
                <w:rFonts w:ascii="Times New Roman" w:eastAsia="Calibri" w:hAnsi="Times New Roman" w:cs="Times New Roman"/>
                <w:sz w:val="26"/>
                <w:szCs w:val="26"/>
              </w:rPr>
            </w:pPr>
            <w:r w:rsidRPr="005E1730">
              <w:rPr>
                <w:rFonts w:ascii="Times New Roman" w:eastAsia="Calibri" w:hAnsi="Times New Roman" w:cs="Times New Roman"/>
                <w:sz w:val="26"/>
                <w:szCs w:val="26"/>
              </w:rPr>
              <w:t>210 (TP)</w:t>
            </w:r>
          </w:p>
        </w:tc>
        <w:tc>
          <w:tcPr>
            <w:tcW w:w="850" w:type="pct"/>
            <w:vAlign w:val="center"/>
          </w:tcPr>
          <w:p w:rsidR="005E1730" w:rsidRPr="005E1730" w:rsidP="005E1730" w14:paraId="2E5C9175" w14:textId="77777777">
            <w:pPr>
              <w:spacing w:after="0" w:line="240" w:lineRule="auto"/>
              <w:rPr>
                <w:rFonts w:ascii="Times New Roman" w:eastAsia="Calibri" w:hAnsi="Times New Roman" w:cs="Times New Roman"/>
                <w:sz w:val="26"/>
                <w:szCs w:val="26"/>
              </w:rPr>
            </w:pPr>
            <w:r w:rsidRPr="005E1730">
              <w:rPr>
                <w:rFonts w:ascii="Times New Roman" w:eastAsia="Calibri" w:hAnsi="Times New Roman" w:cs="Times New Roman"/>
                <w:sz w:val="26"/>
                <w:szCs w:val="26"/>
              </w:rPr>
              <w:t>1</w:t>
            </w:r>
          </w:p>
        </w:tc>
        <w:tc>
          <w:tcPr>
            <w:tcW w:w="835" w:type="pct"/>
            <w:vAlign w:val="center"/>
          </w:tcPr>
          <w:p w:rsidR="005E1730" w:rsidRPr="005E1730" w:rsidP="005E1730" w14:paraId="30450634" w14:textId="77777777">
            <w:pPr>
              <w:spacing w:after="0" w:line="240" w:lineRule="auto"/>
              <w:rPr>
                <w:rFonts w:ascii="Times New Roman" w:eastAsia="Calibri" w:hAnsi="Times New Roman" w:cs="Times New Roman"/>
                <w:sz w:val="26"/>
                <w:szCs w:val="26"/>
              </w:rPr>
            </w:pPr>
            <w:r w:rsidRPr="005E1730">
              <w:rPr>
                <w:rFonts w:ascii="Times New Roman" w:eastAsia="Calibri" w:hAnsi="Times New Roman" w:cs="Times New Roman"/>
                <w:sz w:val="26"/>
                <w:szCs w:val="26"/>
              </w:rPr>
              <w:t>210</w:t>
            </w:r>
          </w:p>
        </w:tc>
        <w:tc>
          <w:tcPr>
            <w:tcW w:w="771" w:type="pct"/>
            <w:vAlign w:val="center"/>
          </w:tcPr>
          <w:p w:rsidR="005E1730" w:rsidRPr="005E1730" w:rsidP="005E1730" w14:paraId="630BC46B" w14:textId="77777777">
            <w:pPr>
              <w:spacing w:after="0" w:line="240" w:lineRule="auto"/>
              <w:rPr>
                <w:rFonts w:ascii="Times New Roman" w:eastAsia="Calibri" w:hAnsi="Times New Roman" w:cs="Times New Roman"/>
                <w:sz w:val="26"/>
                <w:szCs w:val="26"/>
              </w:rPr>
            </w:pPr>
            <w:r w:rsidRPr="005E1730">
              <w:rPr>
                <w:rFonts w:ascii="Times New Roman" w:eastAsia="Calibri" w:hAnsi="Times New Roman" w:cs="Times New Roman"/>
                <w:sz w:val="26"/>
                <w:szCs w:val="26"/>
              </w:rPr>
              <w:t>56 hrs.; $3,557.12</w:t>
            </w:r>
          </w:p>
        </w:tc>
        <w:tc>
          <w:tcPr>
            <w:tcW w:w="968" w:type="pct"/>
            <w:vAlign w:val="center"/>
          </w:tcPr>
          <w:p w:rsidR="005E1730" w:rsidRPr="005E1730" w:rsidP="005E1730" w14:paraId="557B1A4E" w14:textId="77777777">
            <w:pPr>
              <w:spacing w:after="0" w:line="240" w:lineRule="auto"/>
              <w:rPr>
                <w:rFonts w:ascii="Times New Roman" w:eastAsia="Calibri" w:hAnsi="Times New Roman" w:cs="Times New Roman"/>
                <w:sz w:val="26"/>
                <w:szCs w:val="26"/>
              </w:rPr>
            </w:pPr>
            <w:r w:rsidRPr="005E1730">
              <w:rPr>
                <w:rFonts w:ascii="Times New Roman" w:eastAsia="Calibri" w:hAnsi="Times New Roman" w:cs="Times New Roman"/>
                <w:sz w:val="26"/>
                <w:szCs w:val="26"/>
              </w:rPr>
              <w:t>11,760hrs.</w:t>
            </w:r>
            <w:r w:rsidRPr="005E1730">
              <w:rPr>
                <w:rFonts w:ascii="Times New Roman" w:eastAsia="Calibri" w:hAnsi="Times New Roman" w:cs="Times New Roman"/>
                <w:sz w:val="26"/>
                <w:szCs w:val="26"/>
              </w:rPr>
              <w:t>;  $</w:t>
            </w:r>
            <w:r w:rsidRPr="005E1730">
              <w:rPr>
                <w:rFonts w:ascii="Times New Roman" w:eastAsia="Calibri" w:hAnsi="Times New Roman" w:cs="Times New Roman"/>
                <w:sz w:val="26"/>
                <w:szCs w:val="26"/>
              </w:rPr>
              <w:t>764,995</w:t>
            </w:r>
          </w:p>
        </w:tc>
      </w:tr>
      <w:tr w14:paraId="1AA4E1B5" w14:textId="77777777" w:rsidTr="006B5726">
        <w:tblPrEx>
          <w:tblW w:w="5222" w:type="pct"/>
          <w:tblInd w:w="-72" w:type="dxa"/>
          <w:tblLayout w:type="fixed"/>
          <w:tblLook w:val="01E0"/>
        </w:tblPrEx>
        <w:trPr>
          <w:cantSplit/>
          <w:trHeight w:val="824"/>
        </w:trPr>
        <w:tc>
          <w:tcPr>
            <w:tcW w:w="854" w:type="pct"/>
            <w:tcBorders>
              <w:bottom w:val="single" w:sz="4" w:space="0" w:color="auto"/>
            </w:tcBorders>
          </w:tcPr>
          <w:p w:rsidR="005E1730" w:rsidRPr="005E1730" w:rsidP="005E1730" w14:paraId="003B9A87" w14:textId="77777777">
            <w:pPr>
              <w:spacing w:after="0" w:line="240" w:lineRule="auto"/>
              <w:rPr>
                <w:rFonts w:ascii="Times New Roman" w:eastAsia="Calibri" w:hAnsi="Times New Roman" w:cs="Times New Roman"/>
                <w:b/>
                <w:bCs/>
                <w:sz w:val="26"/>
                <w:szCs w:val="26"/>
              </w:rPr>
            </w:pPr>
            <w:r w:rsidRPr="005E1730">
              <w:rPr>
                <w:rFonts w:ascii="Times New Roman" w:eastAsia="Calibri" w:hAnsi="Times New Roman" w:cs="Times New Roman"/>
                <w:b/>
                <w:bCs/>
                <w:sz w:val="26"/>
                <w:szCs w:val="26"/>
              </w:rPr>
              <w:t>TOTAL for TPL-008-1</w:t>
            </w:r>
          </w:p>
        </w:tc>
        <w:tc>
          <w:tcPr>
            <w:tcW w:w="1572" w:type="pct"/>
            <w:gridSpan w:val="2"/>
            <w:tcBorders>
              <w:bottom w:val="single" w:sz="4" w:space="0" w:color="auto"/>
            </w:tcBorders>
            <w:shd w:val="clear" w:color="auto" w:fill="D9D9D9" w:themeFill="background1" w:themeFillShade="D9"/>
          </w:tcPr>
          <w:p w:rsidR="005E1730" w:rsidRPr="005E1730" w:rsidP="005E1730" w14:paraId="09A3E6F7" w14:textId="77777777">
            <w:pPr>
              <w:spacing w:after="0" w:line="240" w:lineRule="auto"/>
              <w:rPr>
                <w:rFonts w:ascii="Times New Roman" w:eastAsia="Calibri" w:hAnsi="Times New Roman" w:cs="Times New Roman"/>
                <w:sz w:val="26"/>
                <w:szCs w:val="26"/>
              </w:rPr>
            </w:pPr>
          </w:p>
        </w:tc>
        <w:tc>
          <w:tcPr>
            <w:tcW w:w="835" w:type="pct"/>
            <w:tcBorders>
              <w:bottom w:val="single" w:sz="4" w:space="0" w:color="auto"/>
            </w:tcBorders>
          </w:tcPr>
          <w:p w:rsidR="005E1730" w:rsidRPr="005E1730" w:rsidP="005E1730" w14:paraId="6FE054DD" w14:textId="77777777">
            <w:pPr>
              <w:spacing w:after="0" w:line="240" w:lineRule="auto"/>
              <w:rPr>
                <w:rFonts w:ascii="Times New Roman" w:eastAsia="Calibri" w:hAnsi="Times New Roman" w:cs="Times New Roman"/>
                <w:b/>
                <w:bCs/>
                <w:sz w:val="26"/>
                <w:szCs w:val="26"/>
              </w:rPr>
            </w:pPr>
            <w:r w:rsidRPr="005E1730">
              <w:rPr>
                <w:rFonts w:ascii="Times New Roman" w:eastAsia="Calibri" w:hAnsi="Times New Roman" w:cs="Times New Roman"/>
                <w:b/>
                <w:bCs/>
                <w:sz w:val="26"/>
                <w:szCs w:val="26"/>
              </w:rPr>
              <w:t>270</w:t>
            </w:r>
          </w:p>
        </w:tc>
        <w:tc>
          <w:tcPr>
            <w:tcW w:w="771" w:type="pct"/>
            <w:tcBorders>
              <w:bottom w:val="single" w:sz="4" w:space="0" w:color="auto"/>
            </w:tcBorders>
            <w:shd w:val="clear" w:color="auto" w:fill="D9D9D9" w:themeFill="background1" w:themeFillShade="D9"/>
          </w:tcPr>
          <w:p w:rsidR="005E1730" w:rsidRPr="005E1730" w:rsidP="005E1730" w14:paraId="0C24A747" w14:textId="77777777">
            <w:pPr>
              <w:spacing w:after="0" w:line="240" w:lineRule="auto"/>
              <w:rPr>
                <w:rFonts w:ascii="Times New Roman" w:eastAsia="Calibri" w:hAnsi="Times New Roman" w:cs="Times New Roman"/>
                <w:sz w:val="26"/>
                <w:szCs w:val="26"/>
              </w:rPr>
            </w:pPr>
          </w:p>
        </w:tc>
        <w:tc>
          <w:tcPr>
            <w:tcW w:w="968" w:type="pct"/>
            <w:tcBorders>
              <w:bottom w:val="single" w:sz="4" w:space="0" w:color="auto"/>
            </w:tcBorders>
          </w:tcPr>
          <w:p w:rsidR="005E1730" w:rsidRPr="005E1730" w:rsidP="005E1730" w14:paraId="753202DD" w14:textId="77777777">
            <w:pPr>
              <w:spacing w:after="0" w:line="240" w:lineRule="auto"/>
              <w:rPr>
                <w:rFonts w:ascii="Times New Roman" w:eastAsia="Calibri" w:hAnsi="Times New Roman" w:cs="Times New Roman"/>
                <w:b/>
                <w:bCs/>
                <w:sz w:val="26"/>
                <w:szCs w:val="26"/>
              </w:rPr>
            </w:pPr>
            <w:r w:rsidRPr="005E1730">
              <w:rPr>
                <w:rFonts w:ascii="Times New Roman" w:eastAsia="Calibri" w:hAnsi="Times New Roman" w:cs="Times New Roman"/>
                <w:sz w:val="26"/>
                <w:szCs w:val="26"/>
              </w:rPr>
              <w:t>17,040 hrs.; $1,082,381</w:t>
            </w:r>
          </w:p>
        </w:tc>
      </w:tr>
    </w:tbl>
    <w:p w:rsidR="005E1730" w14:paraId="4986C560" w14:textId="77777777">
      <w:pPr>
        <w:spacing w:after="0" w:line="240" w:lineRule="auto"/>
        <w:rPr>
          <w:rFonts w:ascii="Times New Roman" w:eastAsia="Calibri" w:hAnsi="Times New Roman" w:cs="Times New Roman"/>
          <w:sz w:val="26"/>
          <w:szCs w:val="26"/>
        </w:rPr>
      </w:pPr>
    </w:p>
    <w:p w:rsidR="00766D0B" w14:paraId="5633E14F" w14:textId="77777777">
      <w:pPr>
        <w:spacing w:after="0" w:line="240" w:lineRule="auto"/>
        <w:rPr>
          <w:rFonts w:ascii="Times New Roman" w:eastAsia="Calibri" w:hAnsi="Times New Roman" w:cs="Times New Roman"/>
          <w:sz w:val="26"/>
          <w:szCs w:val="26"/>
        </w:rPr>
      </w:pPr>
    </w:p>
    <w:p w:rsidR="003E7E96" w:rsidRPr="00E53AC4" w:rsidP="00E53AC4" w14:paraId="380727DB" w14:textId="77777777">
      <w:pPr>
        <w:spacing w:after="0" w:line="240" w:lineRule="auto"/>
        <w:rPr>
          <w:rFonts w:ascii="Times New Roman" w:eastAsia="Calibri" w:hAnsi="Times New Roman" w:cs="Times New Roman"/>
          <w:sz w:val="26"/>
          <w:szCs w:val="26"/>
        </w:rPr>
      </w:pPr>
      <w:bookmarkStart w:id="2" w:name="_Hlk32486049"/>
    </w:p>
    <w:bookmarkEnd w:id="2"/>
    <w:p w:rsidR="003E7E96" w14:paraId="0590C5FE" w14:textId="77777777">
      <w:pPr>
        <w:numPr>
          <w:ilvl w:val="0"/>
          <w:numId w:val="1"/>
        </w:numPr>
        <w:spacing w:after="0" w:line="240" w:lineRule="auto"/>
        <w:ind w:left="360"/>
        <w:contextualSpacing/>
        <w:rPr>
          <w:rFonts w:ascii="Times New Roman" w:eastAsia="Calibri" w:hAnsi="Times New Roman" w:cs="Times New Roman"/>
          <w:b/>
          <w:sz w:val="26"/>
          <w:szCs w:val="26"/>
        </w:rPr>
      </w:pPr>
      <w:r>
        <w:rPr>
          <w:rFonts w:ascii="Times New Roman" w:eastAsia="Calibri" w:hAnsi="Times New Roman" w:cs="Times New Roman"/>
          <w:b/>
          <w:sz w:val="26"/>
          <w:szCs w:val="26"/>
        </w:rPr>
        <w:t>ESTIMATE OF THE TOTAL ANNUAL COST BURDEN TO RESPONDENTS</w:t>
      </w:r>
    </w:p>
    <w:p w:rsidR="003E7E96" w14:paraId="1E08550D" w14:textId="77777777">
      <w:pPr>
        <w:spacing w:after="0" w:line="240" w:lineRule="auto"/>
        <w:rPr>
          <w:rFonts w:ascii="Times New Roman" w:eastAsia="Calibri" w:hAnsi="Times New Roman" w:cs="Times New Roman"/>
          <w:sz w:val="26"/>
          <w:szCs w:val="26"/>
        </w:rPr>
      </w:pPr>
    </w:p>
    <w:p w:rsidR="003E7E96" w14:paraId="40B39AE8" w14:textId="1D8B6DEF">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There </w:t>
      </w:r>
      <w:r>
        <w:rPr>
          <w:rFonts w:ascii="Times New Roman" w:eastAsia="Calibri" w:hAnsi="Times New Roman" w:cs="Times New Roman"/>
          <w:sz w:val="26"/>
          <w:szCs w:val="26"/>
        </w:rPr>
        <w:t>are</w:t>
      </w:r>
      <w:r>
        <w:rPr>
          <w:rFonts w:ascii="Times New Roman" w:eastAsia="Calibri" w:hAnsi="Times New Roman" w:cs="Times New Roman"/>
          <w:sz w:val="26"/>
          <w:szCs w:val="26"/>
        </w:rPr>
        <w:t xml:space="preserve"> no non-labor costs associated with the FERC-725N.  </w:t>
      </w:r>
      <w:r>
        <w:rPr>
          <w:rFonts w:ascii="Times New Roman" w:eastAsia="Calibri" w:hAnsi="Times New Roman" w:cs="Times New Roman"/>
          <w:sz w:val="26"/>
          <w:szCs w:val="26"/>
        </w:rPr>
        <w:t>All of</w:t>
      </w:r>
      <w:r>
        <w:rPr>
          <w:rFonts w:ascii="Times New Roman" w:eastAsia="Calibri" w:hAnsi="Times New Roman" w:cs="Times New Roman"/>
          <w:sz w:val="26"/>
          <w:szCs w:val="26"/>
        </w:rPr>
        <w:t xml:space="preserve"> the PRA-related costs due to this </w:t>
      </w:r>
      <w:r w:rsidR="00EB4994">
        <w:rPr>
          <w:rFonts w:ascii="Times New Roman" w:eastAsia="Calibri" w:hAnsi="Times New Roman" w:cs="Times New Roman"/>
          <w:sz w:val="26"/>
          <w:szCs w:val="26"/>
        </w:rPr>
        <w:t>collection</w:t>
      </w:r>
      <w:r>
        <w:rPr>
          <w:rFonts w:ascii="Times New Roman" w:eastAsia="Calibri" w:hAnsi="Times New Roman" w:cs="Times New Roman"/>
          <w:sz w:val="26"/>
          <w:szCs w:val="26"/>
        </w:rPr>
        <w:t xml:space="preserve"> are associated with burden hours (labor) and described in Questions #12 and 15.</w:t>
      </w:r>
    </w:p>
    <w:p w:rsidR="003E7E96" w14:paraId="454A7F30" w14:textId="77777777">
      <w:pPr>
        <w:spacing w:after="0" w:line="240" w:lineRule="auto"/>
        <w:rPr>
          <w:rFonts w:ascii="Times New Roman" w:eastAsia="Calibri" w:hAnsi="Times New Roman" w:cs="Times New Roman"/>
          <w:sz w:val="26"/>
          <w:szCs w:val="26"/>
        </w:rPr>
      </w:pPr>
    </w:p>
    <w:p w:rsidR="003E7E96" w14:paraId="55FE2429" w14:textId="77777777">
      <w:pPr>
        <w:numPr>
          <w:ilvl w:val="0"/>
          <w:numId w:val="1"/>
        </w:numPr>
        <w:spacing w:after="0" w:line="240" w:lineRule="auto"/>
        <w:ind w:left="360"/>
        <w:contextualSpacing/>
        <w:rPr>
          <w:rFonts w:ascii="Times New Roman" w:eastAsia="Calibri" w:hAnsi="Times New Roman" w:cs="Times New Roman"/>
          <w:b/>
          <w:sz w:val="26"/>
          <w:szCs w:val="26"/>
        </w:rPr>
      </w:pPr>
      <w:r>
        <w:rPr>
          <w:rFonts w:ascii="Times New Roman" w:eastAsia="Calibri" w:hAnsi="Times New Roman" w:cs="Times New Roman"/>
          <w:b/>
          <w:sz w:val="26"/>
          <w:szCs w:val="26"/>
        </w:rPr>
        <w:t>ESTIMATED ANNUALIZED COST TO FEDERAL GOVERNMENT</w:t>
      </w:r>
    </w:p>
    <w:p w:rsidR="003E7E96" w14:paraId="11BE1CED" w14:textId="77777777">
      <w:pPr>
        <w:spacing w:after="0" w:line="240" w:lineRule="auto"/>
        <w:rPr>
          <w:rFonts w:ascii="Times New Roman" w:eastAsia="Calibri" w:hAnsi="Times New Roman" w:cs="Times New Roman"/>
          <w:sz w:val="26"/>
          <w:szCs w:val="26"/>
        </w:rPr>
      </w:pPr>
    </w:p>
    <w:p w:rsidR="003E7E96" w14:paraId="45687661" w14:textId="77777777">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The Regional Entities and NERC do most of the data processing, monitoring and compliance work for Reliability Standards.  Any related involvement by the Commission is covered under the FERC-725 collection (OMB Control No. 1902-0225) and is not part of this request or package.  </w:t>
      </w:r>
    </w:p>
    <w:p w:rsidR="003E7E96" w14:paraId="53924F9D" w14:textId="77777777">
      <w:pPr>
        <w:spacing w:after="0" w:line="240" w:lineRule="auto"/>
        <w:rPr>
          <w:rFonts w:ascii="Times New Roman" w:eastAsia="Times New Roman" w:hAnsi="Times New Roman" w:cs="Times New Roman"/>
          <w:sz w:val="26"/>
          <w:szCs w:val="26"/>
        </w:rPr>
      </w:pPr>
    </w:p>
    <w:p w:rsidR="003E7E96" w14:paraId="2F0514D9" w14:textId="77777777">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The Paperwork Reduction Act (PRA) Administrative Cost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rsidR="003E7E96" w14:paraId="70FDA85D" w14:textId="77777777">
      <w:pPr>
        <w:spacing w:after="0" w:line="276" w:lineRule="auto"/>
        <w:rPr>
          <w:rFonts w:ascii="Times New Roman" w:eastAsia="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38"/>
        <w:gridCol w:w="2953"/>
        <w:gridCol w:w="2965"/>
      </w:tblGrid>
      <w:tr w14:paraId="0BA614F3"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938" w:type="dxa"/>
            <w:shd w:val="clear" w:color="auto" w:fill="CCCCCC"/>
            <w:vAlign w:val="bottom"/>
          </w:tcPr>
          <w:p w:rsidR="003E7E96" w14:paraId="4E30E854" w14:textId="77777777">
            <w:pPr>
              <w:widowControl w:val="0"/>
              <w:autoSpaceDE w:val="0"/>
              <w:autoSpaceDN w:val="0"/>
              <w:adjustRightInd w:val="0"/>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FERC-725N</w:t>
            </w:r>
          </w:p>
        </w:tc>
        <w:tc>
          <w:tcPr>
            <w:tcW w:w="2953" w:type="dxa"/>
            <w:shd w:val="clear" w:color="auto" w:fill="CCCCCC"/>
            <w:vAlign w:val="bottom"/>
          </w:tcPr>
          <w:p w:rsidR="003E7E96" w14:paraId="454DB1C3" w14:textId="77777777">
            <w:pPr>
              <w:widowControl w:val="0"/>
              <w:autoSpaceDE w:val="0"/>
              <w:autoSpaceDN w:val="0"/>
              <w:adjustRightInd w:val="0"/>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Number of Employees (Full-Time Equivalents [FTEs])</w:t>
            </w:r>
          </w:p>
        </w:tc>
        <w:tc>
          <w:tcPr>
            <w:tcW w:w="2965" w:type="dxa"/>
            <w:shd w:val="clear" w:color="auto" w:fill="CCCCCC"/>
            <w:vAlign w:val="bottom"/>
          </w:tcPr>
          <w:p w:rsidR="003E7E96" w14:paraId="50A9581C" w14:textId="77777777">
            <w:pPr>
              <w:widowControl w:val="0"/>
              <w:autoSpaceDE w:val="0"/>
              <w:autoSpaceDN w:val="0"/>
              <w:adjustRightInd w:val="0"/>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Estimated Annual Federal Cost</w:t>
            </w:r>
          </w:p>
        </w:tc>
      </w:tr>
      <w:tr w14:paraId="125BCB7D" w14:textId="77777777">
        <w:tblPrEx>
          <w:tblW w:w="0" w:type="auto"/>
          <w:tblLook w:val="01E0"/>
        </w:tblPrEx>
        <w:tc>
          <w:tcPr>
            <w:tcW w:w="2938" w:type="dxa"/>
          </w:tcPr>
          <w:p w:rsidR="003E7E96" w14:paraId="7D7E5B88" w14:textId="77777777">
            <w:pPr>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6"/>
                <w:szCs w:val="26"/>
              </w:rPr>
              <w:t xml:space="preserve">FERC-725N, Analysis and Processing of </w:t>
            </w:r>
            <w:r>
              <w:rPr>
                <w:rFonts w:ascii="Times New Roman" w:eastAsia="Times New Roman" w:hAnsi="Times New Roman" w:cs="Times New Roman"/>
                <w:bCs/>
                <w:sz w:val="26"/>
                <w:szCs w:val="26"/>
              </w:rPr>
              <w:t>filings</w:t>
            </w:r>
          </w:p>
        </w:tc>
        <w:tc>
          <w:tcPr>
            <w:tcW w:w="2953" w:type="dxa"/>
            <w:vAlign w:val="bottom"/>
          </w:tcPr>
          <w:p w:rsidR="003E7E96" w14:paraId="738A6584" w14:textId="77777777">
            <w:pPr>
              <w:widowControl w:val="0"/>
              <w:autoSpaceDE w:val="0"/>
              <w:autoSpaceDN w:val="0"/>
              <w:adjustRightInd w:val="0"/>
              <w:spacing w:after="0" w:line="240" w:lineRule="auto"/>
              <w:jc w:val="right"/>
              <w:rPr>
                <w:rFonts w:ascii="Times New Roman" w:eastAsia="Times New Roman" w:hAnsi="Times New Roman" w:cs="Times New Roman"/>
                <w:sz w:val="26"/>
                <w:szCs w:val="26"/>
                <w:highlight w:val="yellow"/>
              </w:rPr>
            </w:pPr>
            <w:r>
              <w:rPr>
                <w:rFonts w:ascii="Times New Roman" w:eastAsia="Times New Roman" w:hAnsi="Times New Roman" w:cs="Times New Roman"/>
                <w:sz w:val="26"/>
                <w:szCs w:val="26"/>
              </w:rPr>
              <w:t>0</w:t>
            </w:r>
          </w:p>
        </w:tc>
        <w:tc>
          <w:tcPr>
            <w:tcW w:w="2965" w:type="dxa"/>
            <w:vAlign w:val="bottom"/>
          </w:tcPr>
          <w:p w:rsidR="003E7E96" w14:paraId="1F657590" w14:textId="77777777">
            <w:pPr>
              <w:widowControl w:val="0"/>
              <w:autoSpaceDE w:val="0"/>
              <w:autoSpaceDN w:val="0"/>
              <w:adjustRightInd w:val="0"/>
              <w:spacing w:after="0" w:line="240" w:lineRule="auto"/>
              <w:jc w:val="right"/>
              <w:rPr>
                <w:rFonts w:ascii="Times New Roman" w:eastAsia="Times New Roman" w:hAnsi="Times New Roman" w:cs="Times New Roman"/>
                <w:sz w:val="26"/>
                <w:szCs w:val="26"/>
                <w:highlight w:val="yellow"/>
              </w:rPr>
            </w:pPr>
            <w:r>
              <w:rPr>
                <w:rFonts w:ascii="Times New Roman" w:eastAsia="Times New Roman" w:hAnsi="Times New Roman" w:cs="Times New Roman"/>
                <w:sz w:val="26"/>
                <w:szCs w:val="26"/>
              </w:rPr>
              <w:t>0</w:t>
            </w:r>
          </w:p>
        </w:tc>
      </w:tr>
      <w:tr w14:paraId="67EACAE5" w14:textId="77777777">
        <w:tblPrEx>
          <w:tblW w:w="0" w:type="auto"/>
          <w:tblLook w:val="01E0"/>
        </w:tblPrEx>
        <w:tc>
          <w:tcPr>
            <w:tcW w:w="2938" w:type="dxa"/>
          </w:tcPr>
          <w:p w:rsidR="003E7E96" w14:paraId="669A3A66" w14:textId="753CA2C7">
            <w:pPr>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6"/>
                <w:szCs w:val="26"/>
              </w:rPr>
              <w:t xml:space="preserve">PRA Administrative Cost </w:t>
            </w:r>
            <w:r>
              <w:rPr>
                <w:rStyle w:val="FootnoteReference"/>
                <w:rFonts w:ascii="Times New Roman" w:eastAsia="Calibri" w:hAnsi="Times New Roman" w:cs="Times New Roman"/>
                <w:sz w:val="24"/>
                <w:szCs w:val="24"/>
                <w:vertAlign w:val="superscript"/>
              </w:rPr>
              <w:footnoteReference w:customMarkFollows="1" w:id="14"/>
              <w:t xml:space="preserve">14</w:t>
            </w:r>
          </w:p>
        </w:tc>
        <w:tc>
          <w:tcPr>
            <w:tcW w:w="2953" w:type="dxa"/>
            <w:vAlign w:val="bottom"/>
          </w:tcPr>
          <w:p w:rsidR="003E7E96" w14:paraId="45BF398A" w14:textId="77777777">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2965" w:type="dxa"/>
            <w:vAlign w:val="bottom"/>
          </w:tcPr>
          <w:p w:rsidR="003E7E96" w14:paraId="540F3ED8" w14:textId="6F56D088">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EB4994">
              <w:rPr>
                <w:rFonts w:ascii="Times New Roman" w:eastAsia="Times New Roman" w:hAnsi="Times New Roman" w:cs="Times New Roman"/>
                <w:sz w:val="26"/>
                <w:szCs w:val="26"/>
              </w:rPr>
              <w:t>8</w:t>
            </w:r>
            <w:r w:rsidR="00E53AC4">
              <w:rPr>
                <w:rFonts w:ascii="Times New Roman" w:eastAsia="Times New Roman" w:hAnsi="Times New Roman" w:cs="Times New Roman"/>
                <w:sz w:val="26"/>
                <w:szCs w:val="26"/>
              </w:rPr>
              <w:t>,</w:t>
            </w:r>
            <w:r w:rsidR="00EB4994">
              <w:rPr>
                <w:rFonts w:ascii="Times New Roman" w:eastAsia="Times New Roman" w:hAnsi="Times New Roman" w:cs="Times New Roman"/>
                <w:sz w:val="26"/>
                <w:szCs w:val="26"/>
              </w:rPr>
              <w:t>40</w:t>
            </w:r>
            <w:r w:rsidR="00E53AC4">
              <w:rPr>
                <w:rFonts w:ascii="Times New Roman" w:eastAsia="Times New Roman" w:hAnsi="Times New Roman" w:cs="Times New Roman"/>
                <w:sz w:val="26"/>
                <w:szCs w:val="26"/>
              </w:rPr>
              <w:t>4</w:t>
            </w:r>
          </w:p>
        </w:tc>
      </w:tr>
      <w:tr w14:paraId="1C78CC30" w14:textId="77777777">
        <w:tblPrEx>
          <w:tblW w:w="0" w:type="auto"/>
          <w:tblLook w:val="01E0"/>
        </w:tblPrEx>
        <w:tc>
          <w:tcPr>
            <w:tcW w:w="2938" w:type="dxa"/>
          </w:tcPr>
          <w:p w:rsidR="003E7E96" w14:paraId="357698A5" w14:textId="77777777">
            <w:pPr>
              <w:widowControl w:val="0"/>
              <w:autoSpaceDE w:val="0"/>
              <w:autoSpaceDN w:val="0"/>
              <w:adjustRightInd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FERC Total</w:t>
            </w:r>
          </w:p>
        </w:tc>
        <w:tc>
          <w:tcPr>
            <w:tcW w:w="2953" w:type="dxa"/>
            <w:tcBorders>
              <w:bottom w:val="single" w:sz="4" w:space="0" w:color="auto"/>
            </w:tcBorders>
            <w:shd w:val="clear" w:color="auto" w:fill="BFBFBF"/>
            <w:vAlign w:val="bottom"/>
          </w:tcPr>
          <w:p w:rsidR="003E7E96" w14:paraId="21CAC989" w14:textId="77777777">
            <w:pPr>
              <w:widowControl w:val="0"/>
              <w:autoSpaceDE w:val="0"/>
              <w:autoSpaceDN w:val="0"/>
              <w:adjustRightInd w:val="0"/>
              <w:spacing w:after="0" w:line="240" w:lineRule="auto"/>
              <w:jc w:val="right"/>
              <w:rPr>
                <w:rFonts w:ascii="Times New Roman" w:eastAsia="Times New Roman" w:hAnsi="Times New Roman" w:cs="Times New Roman"/>
                <w:sz w:val="26"/>
                <w:szCs w:val="26"/>
              </w:rPr>
            </w:pPr>
          </w:p>
        </w:tc>
        <w:tc>
          <w:tcPr>
            <w:tcW w:w="2965" w:type="dxa"/>
            <w:vAlign w:val="bottom"/>
          </w:tcPr>
          <w:p w:rsidR="003E7E96" w14:paraId="7BA24D34" w14:textId="470B2F52">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EB4994">
              <w:rPr>
                <w:rFonts w:ascii="Times New Roman" w:eastAsia="Times New Roman" w:hAnsi="Times New Roman" w:cs="Times New Roman"/>
                <w:sz w:val="26"/>
                <w:szCs w:val="26"/>
              </w:rPr>
              <w:t>8</w:t>
            </w:r>
            <w:r w:rsidR="00E53AC4">
              <w:rPr>
                <w:rFonts w:ascii="Times New Roman" w:eastAsia="Times New Roman" w:hAnsi="Times New Roman" w:cs="Times New Roman"/>
                <w:sz w:val="26"/>
                <w:szCs w:val="26"/>
              </w:rPr>
              <w:t>,</w:t>
            </w:r>
            <w:r w:rsidR="00EB4994">
              <w:rPr>
                <w:rFonts w:ascii="Times New Roman" w:eastAsia="Times New Roman" w:hAnsi="Times New Roman" w:cs="Times New Roman"/>
                <w:sz w:val="26"/>
                <w:szCs w:val="26"/>
              </w:rPr>
              <w:t>40</w:t>
            </w:r>
            <w:r w:rsidR="00E53AC4">
              <w:rPr>
                <w:rFonts w:ascii="Times New Roman" w:eastAsia="Times New Roman" w:hAnsi="Times New Roman" w:cs="Times New Roman"/>
                <w:sz w:val="26"/>
                <w:szCs w:val="26"/>
              </w:rPr>
              <w:t>4</w:t>
            </w:r>
          </w:p>
        </w:tc>
      </w:tr>
    </w:tbl>
    <w:p w:rsidR="003E7E96" w14:paraId="613E107F" w14:textId="77777777">
      <w:pPr>
        <w:spacing w:after="0" w:line="240" w:lineRule="auto"/>
        <w:rPr>
          <w:rFonts w:ascii="Times New Roman" w:eastAsia="Calibri" w:hAnsi="Times New Roman" w:cs="Times New Roman"/>
          <w:sz w:val="26"/>
          <w:szCs w:val="26"/>
        </w:rPr>
      </w:pPr>
    </w:p>
    <w:p w:rsidR="003E7E96" w14:paraId="250BC7C8" w14:textId="77777777">
      <w:pPr>
        <w:numPr>
          <w:ilvl w:val="0"/>
          <w:numId w:val="1"/>
        </w:numPr>
        <w:spacing w:after="0" w:line="240" w:lineRule="auto"/>
        <w:ind w:left="360"/>
        <w:contextualSpacing/>
        <w:rPr>
          <w:rFonts w:ascii="Times New Roman" w:eastAsia="Calibri" w:hAnsi="Times New Roman" w:cs="Times New Roman"/>
          <w:b/>
          <w:sz w:val="26"/>
          <w:szCs w:val="26"/>
        </w:rPr>
      </w:pPr>
      <w:r>
        <w:rPr>
          <w:rFonts w:ascii="Times New Roman" w:eastAsia="Calibri" w:hAnsi="Times New Roman" w:cs="Times New Roman"/>
          <w:b/>
          <w:sz w:val="26"/>
          <w:szCs w:val="26"/>
        </w:rPr>
        <w:t xml:space="preserve">REASONS FOR CHANGES IN BURDEN INCLUDING THE NEED FOR ANY INCREASE </w:t>
      </w:r>
    </w:p>
    <w:p w:rsidR="003E7E96" w14:paraId="4FFC0FDC" w14:textId="77777777">
      <w:pPr>
        <w:spacing w:after="0" w:line="240" w:lineRule="auto"/>
        <w:rPr>
          <w:rFonts w:ascii="Times New Roman" w:eastAsia="Calibri" w:hAnsi="Times New Roman" w:cs="Times New Roman"/>
          <w:sz w:val="26"/>
          <w:szCs w:val="26"/>
          <w:u w:val="single"/>
        </w:rPr>
      </w:pPr>
    </w:p>
    <w:p w:rsidR="003E7E96" w14:paraId="13F93A59" w14:textId="7AC774A7">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The following table shows the total burden of the collection of information.  The format, labels, and definitions of the table follow the ROCIS submission system’s “Information Collection Request Summary of Burden” for the metadata.</w:t>
      </w:r>
      <w:r w:rsidR="00E53AC4">
        <w:rPr>
          <w:rFonts w:ascii="Times New Roman" w:eastAsia="Calibri" w:hAnsi="Times New Roman" w:cs="Times New Roman"/>
          <w:sz w:val="26"/>
          <w:szCs w:val="26"/>
        </w:rPr>
        <w:t xml:space="preserve">  The Annual responses and burden hours have been updated to reflect the ongoing burden that should be the entire inventory </w:t>
      </w:r>
      <w:r w:rsidR="00E53AC4">
        <w:rPr>
          <w:rFonts w:ascii="Times New Roman" w:eastAsia="Calibri" w:hAnsi="Times New Roman" w:cs="Times New Roman"/>
          <w:sz w:val="26"/>
          <w:szCs w:val="26"/>
        </w:rPr>
        <w:t xml:space="preserve">for </w:t>
      </w:r>
      <w:r w:rsidR="00003F17">
        <w:rPr>
          <w:rFonts w:ascii="Times New Roman" w:eastAsia="Calibri" w:hAnsi="Times New Roman" w:cs="Times New Roman"/>
          <w:sz w:val="26"/>
          <w:szCs w:val="26"/>
        </w:rPr>
        <w:t>TPL-001-</w:t>
      </w:r>
      <w:r w:rsidR="00670676">
        <w:rPr>
          <w:rFonts w:ascii="Times New Roman" w:eastAsia="Calibri" w:hAnsi="Times New Roman" w:cs="Times New Roman"/>
          <w:sz w:val="26"/>
          <w:szCs w:val="26"/>
        </w:rPr>
        <w:t>5.1</w:t>
      </w:r>
      <w:r w:rsidR="00003F17">
        <w:rPr>
          <w:rFonts w:ascii="Times New Roman" w:eastAsia="Calibri" w:hAnsi="Times New Roman" w:cs="Times New Roman"/>
          <w:sz w:val="26"/>
          <w:szCs w:val="26"/>
        </w:rPr>
        <w:t xml:space="preserve"> </w:t>
      </w:r>
      <w:r w:rsidR="00E53AC4">
        <w:rPr>
          <w:rFonts w:ascii="Times New Roman" w:eastAsia="Calibri" w:hAnsi="Times New Roman" w:cs="Times New Roman"/>
          <w:sz w:val="26"/>
          <w:szCs w:val="26"/>
        </w:rPr>
        <w:t>TPL-007-4</w:t>
      </w:r>
      <w:r w:rsidR="00670676">
        <w:rPr>
          <w:rFonts w:ascii="Times New Roman" w:eastAsia="Calibri" w:hAnsi="Times New Roman" w:cs="Times New Roman"/>
          <w:sz w:val="26"/>
          <w:szCs w:val="26"/>
        </w:rPr>
        <w:t xml:space="preserve">, and TPL-008-1. </w:t>
      </w:r>
      <w:r w:rsidR="0076722C">
        <w:rPr>
          <w:rFonts w:ascii="Times New Roman" w:eastAsia="Calibri" w:hAnsi="Times New Roman" w:cs="Times New Roman"/>
          <w:sz w:val="26"/>
          <w:szCs w:val="26"/>
        </w:rPr>
        <w:t xml:space="preserve"> </w:t>
      </w:r>
      <w:r w:rsidR="00003F17">
        <w:rPr>
          <w:rFonts w:ascii="Times New Roman" w:eastAsia="Calibri" w:hAnsi="Times New Roman" w:cs="Times New Roman"/>
          <w:sz w:val="26"/>
          <w:szCs w:val="26"/>
        </w:rPr>
        <w:t xml:space="preserve">Changes in Burden are due to normal </w:t>
      </w:r>
      <w:r w:rsidR="00E62301">
        <w:rPr>
          <w:rFonts w:ascii="Times New Roman" w:eastAsia="Calibri" w:hAnsi="Times New Roman" w:cs="Times New Roman"/>
          <w:sz w:val="26"/>
          <w:szCs w:val="26"/>
        </w:rPr>
        <w:t>fluctuations,</w:t>
      </w:r>
      <w:r w:rsidR="00003F17">
        <w:rPr>
          <w:rFonts w:ascii="Times New Roman" w:eastAsia="Calibri" w:hAnsi="Times New Roman" w:cs="Times New Roman"/>
          <w:sz w:val="26"/>
          <w:szCs w:val="26"/>
        </w:rPr>
        <w:t xml:space="preserve"> and the burden estimates have been updated to reflect the current totals. </w:t>
      </w:r>
    </w:p>
    <w:p w:rsidR="003E7E96" w14:paraId="5B40307D" w14:textId="77777777">
      <w:pPr>
        <w:spacing w:after="0"/>
        <w:rPr>
          <w:rFonts w:ascii="Times New Roman" w:eastAsia="Calibri" w:hAnsi="Times New Roman" w:cs="Times New Roman"/>
          <w:b/>
          <w:sz w:val="26"/>
          <w:szCs w:val="26"/>
        </w:rPr>
      </w:pPr>
    </w:p>
    <w:tbl>
      <w:tblPr>
        <w:tblW w:w="959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21"/>
        <w:gridCol w:w="2236"/>
        <w:gridCol w:w="1542"/>
        <w:gridCol w:w="1946"/>
        <w:gridCol w:w="1651"/>
      </w:tblGrid>
      <w:tr w14:paraId="44981A17" w14:textId="77777777" w:rsidTr="001715E3">
        <w:tblPrEx>
          <w:tblW w:w="959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0"/>
        </w:trPr>
        <w:tc>
          <w:tcPr>
            <w:tcW w:w="2221" w:type="dxa"/>
            <w:shd w:val="clear" w:color="auto" w:fill="D9D9D9"/>
            <w:vAlign w:val="bottom"/>
          </w:tcPr>
          <w:p w:rsidR="003E7E96" w14:paraId="4891022D" w14:textId="77777777">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FERC-725N</w:t>
            </w:r>
          </w:p>
        </w:tc>
        <w:tc>
          <w:tcPr>
            <w:tcW w:w="2236" w:type="dxa"/>
            <w:shd w:val="clear" w:color="auto" w:fill="D9D9D9"/>
            <w:vAlign w:val="bottom"/>
          </w:tcPr>
          <w:p w:rsidR="003E7E96" w14:paraId="7E0D5F39" w14:textId="77777777">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Total Request</w:t>
            </w:r>
          </w:p>
        </w:tc>
        <w:tc>
          <w:tcPr>
            <w:tcW w:w="1542" w:type="dxa"/>
            <w:shd w:val="clear" w:color="auto" w:fill="D9D9D9"/>
            <w:vAlign w:val="bottom"/>
          </w:tcPr>
          <w:p w:rsidR="003E7E96" w14:paraId="620AF69B" w14:textId="77777777">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Previously Approved</w:t>
            </w:r>
          </w:p>
        </w:tc>
        <w:tc>
          <w:tcPr>
            <w:tcW w:w="1946" w:type="dxa"/>
            <w:shd w:val="clear" w:color="auto" w:fill="D9D9D9"/>
            <w:vAlign w:val="bottom"/>
          </w:tcPr>
          <w:p w:rsidR="003E7E96" w14:paraId="59A37D89" w14:textId="77777777">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Change due to Adjustment in Estimate</w:t>
            </w:r>
          </w:p>
        </w:tc>
        <w:tc>
          <w:tcPr>
            <w:tcW w:w="1651" w:type="dxa"/>
            <w:shd w:val="clear" w:color="auto" w:fill="D9D9D9"/>
            <w:vAlign w:val="bottom"/>
          </w:tcPr>
          <w:p w:rsidR="003E7E96" w14:paraId="7013D9D1" w14:textId="77777777">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Change Due to Agency Discretion</w:t>
            </w:r>
          </w:p>
        </w:tc>
      </w:tr>
      <w:tr w14:paraId="3EEA5280" w14:textId="77777777" w:rsidTr="001715E3">
        <w:tblPrEx>
          <w:tblW w:w="9596" w:type="dxa"/>
          <w:tblInd w:w="18" w:type="dxa"/>
          <w:tblLook w:val="01E0"/>
        </w:tblPrEx>
        <w:trPr>
          <w:trHeight w:val="591"/>
        </w:trPr>
        <w:tc>
          <w:tcPr>
            <w:tcW w:w="2221" w:type="dxa"/>
          </w:tcPr>
          <w:p w:rsidR="003E7E96" w14:paraId="1A2DC53E" w14:textId="77777777">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Annual Number of Responses</w:t>
            </w:r>
          </w:p>
        </w:tc>
        <w:tc>
          <w:tcPr>
            <w:tcW w:w="2236" w:type="dxa"/>
            <w:vAlign w:val="center"/>
          </w:tcPr>
          <w:p w:rsidR="003E7E96" w:rsidRPr="00D97858" w14:paraId="68F489AD" w14:textId="35CFDBE3">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2,505</w:t>
            </w:r>
          </w:p>
        </w:tc>
        <w:tc>
          <w:tcPr>
            <w:tcW w:w="1542" w:type="dxa"/>
            <w:vAlign w:val="center"/>
          </w:tcPr>
          <w:p w:rsidR="003E7E96" w:rsidRPr="00D97858" w14:paraId="0852ADDC" w14:textId="76AFE5CB">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2,233</w:t>
            </w:r>
          </w:p>
        </w:tc>
        <w:tc>
          <w:tcPr>
            <w:tcW w:w="1946" w:type="dxa"/>
            <w:vAlign w:val="center"/>
          </w:tcPr>
          <w:p w:rsidR="003E7E96" w:rsidRPr="00D97858" w14:paraId="66E475A2" w14:textId="282F91C6">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272</w:t>
            </w:r>
          </w:p>
        </w:tc>
        <w:tc>
          <w:tcPr>
            <w:tcW w:w="1651" w:type="dxa"/>
            <w:vAlign w:val="center"/>
          </w:tcPr>
          <w:p w:rsidR="003E7E96" w:rsidRPr="00D97858" w14:paraId="6581C834" w14:textId="77777777">
            <w:pPr>
              <w:spacing w:after="0" w:line="240" w:lineRule="auto"/>
              <w:jc w:val="right"/>
              <w:rPr>
                <w:rFonts w:ascii="Times New Roman" w:eastAsia="Calibri" w:hAnsi="Times New Roman" w:cs="Times New Roman"/>
                <w:sz w:val="26"/>
                <w:szCs w:val="26"/>
              </w:rPr>
            </w:pPr>
            <w:r w:rsidRPr="00D97858">
              <w:rPr>
                <w:rFonts w:ascii="Times New Roman" w:eastAsia="Calibri" w:hAnsi="Times New Roman" w:cs="Times New Roman"/>
                <w:sz w:val="26"/>
                <w:szCs w:val="26"/>
              </w:rPr>
              <w:t>0</w:t>
            </w:r>
          </w:p>
        </w:tc>
      </w:tr>
      <w:tr w14:paraId="15714267" w14:textId="77777777" w:rsidTr="001715E3">
        <w:tblPrEx>
          <w:tblW w:w="9596" w:type="dxa"/>
          <w:tblInd w:w="18" w:type="dxa"/>
          <w:tblLook w:val="01E0"/>
        </w:tblPrEx>
        <w:trPr>
          <w:trHeight w:val="575"/>
        </w:trPr>
        <w:tc>
          <w:tcPr>
            <w:tcW w:w="2221" w:type="dxa"/>
          </w:tcPr>
          <w:p w:rsidR="003E7E96" w14:paraId="3E6BC9A6" w14:textId="77777777">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Annual Time Burden (Hr.)</w:t>
            </w:r>
          </w:p>
        </w:tc>
        <w:tc>
          <w:tcPr>
            <w:tcW w:w="2236" w:type="dxa"/>
            <w:vAlign w:val="center"/>
          </w:tcPr>
          <w:p w:rsidR="003E7E96" w:rsidRPr="00D97858" w14:paraId="4823B447" w14:textId="7FC961B6">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11</w:t>
            </w:r>
            <w:r w:rsidR="00F7483C">
              <w:rPr>
                <w:rFonts w:ascii="Times New Roman" w:eastAsia="Calibri" w:hAnsi="Times New Roman" w:cs="Times New Roman"/>
                <w:sz w:val="26"/>
                <w:szCs w:val="26"/>
              </w:rPr>
              <w:t>4</w:t>
            </w:r>
            <w:r>
              <w:rPr>
                <w:rFonts w:ascii="Times New Roman" w:eastAsia="Calibri" w:hAnsi="Times New Roman" w:cs="Times New Roman"/>
                <w:sz w:val="26"/>
                <w:szCs w:val="26"/>
              </w:rPr>
              <w:t>,</w:t>
            </w:r>
            <w:r w:rsidR="00670676">
              <w:rPr>
                <w:rFonts w:ascii="Times New Roman" w:eastAsia="Calibri" w:hAnsi="Times New Roman" w:cs="Times New Roman"/>
                <w:sz w:val="26"/>
                <w:szCs w:val="26"/>
              </w:rPr>
              <w:t>600</w:t>
            </w:r>
          </w:p>
        </w:tc>
        <w:tc>
          <w:tcPr>
            <w:tcW w:w="1542" w:type="dxa"/>
            <w:vAlign w:val="center"/>
          </w:tcPr>
          <w:p w:rsidR="003E7E96" w:rsidRPr="00D97858" w14:paraId="1CC7F2DE" w14:textId="33A225EF">
            <w:pPr>
              <w:spacing w:after="0" w:line="240" w:lineRule="auto"/>
              <w:jc w:val="right"/>
              <w:rPr>
                <w:rFonts w:ascii="Times New Roman" w:eastAsia="Calibri" w:hAnsi="Times New Roman" w:cs="Times New Roman"/>
                <w:sz w:val="26"/>
                <w:szCs w:val="26"/>
              </w:rPr>
            </w:pPr>
            <w:r w:rsidRPr="00D97858">
              <w:rPr>
                <w:rFonts w:ascii="Times New Roman" w:eastAsia="Calibri" w:hAnsi="Times New Roman" w:cs="Times New Roman"/>
                <w:sz w:val="26"/>
                <w:szCs w:val="26"/>
              </w:rPr>
              <w:t>1</w:t>
            </w:r>
            <w:r w:rsidR="00670676">
              <w:rPr>
                <w:rFonts w:ascii="Times New Roman" w:eastAsia="Calibri" w:hAnsi="Times New Roman" w:cs="Times New Roman"/>
                <w:sz w:val="26"/>
                <w:szCs w:val="26"/>
              </w:rPr>
              <w:t>30,918</w:t>
            </w:r>
          </w:p>
        </w:tc>
        <w:tc>
          <w:tcPr>
            <w:tcW w:w="1946" w:type="dxa"/>
            <w:vAlign w:val="center"/>
          </w:tcPr>
          <w:p w:rsidR="003E7E96" w:rsidRPr="00D97858" w14:paraId="3DBCF7C7" w14:textId="4FFE57DF">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-16,318</w:t>
            </w:r>
          </w:p>
        </w:tc>
        <w:tc>
          <w:tcPr>
            <w:tcW w:w="1651" w:type="dxa"/>
            <w:vAlign w:val="center"/>
          </w:tcPr>
          <w:p w:rsidR="003E7E96" w:rsidRPr="00D97858" w14:paraId="157A71ED" w14:textId="77777777">
            <w:pPr>
              <w:spacing w:after="0" w:line="240" w:lineRule="auto"/>
              <w:jc w:val="right"/>
              <w:rPr>
                <w:rFonts w:ascii="Times New Roman" w:eastAsia="Calibri" w:hAnsi="Times New Roman" w:cs="Times New Roman"/>
                <w:sz w:val="26"/>
                <w:szCs w:val="26"/>
              </w:rPr>
            </w:pPr>
            <w:r w:rsidRPr="00D97858">
              <w:rPr>
                <w:rFonts w:ascii="Times New Roman" w:eastAsia="Calibri" w:hAnsi="Times New Roman" w:cs="Times New Roman"/>
                <w:sz w:val="26"/>
                <w:szCs w:val="26"/>
              </w:rPr>
              <w:t>0</w:t>
            </w:r>
          </w:p>
        </w:tc>
      </w:tr>
      <w:tr w14:paraId="1E9F6620" w14:textId="77777777" w:rsidTr="001715E3">
        <w:tblPrEx>
          <w:tblW w:w="9596" w:type="dxa"/>
          <w:tblInd w:w="18" w:type="dxa"/>
          <w:tblLook w:val="01E0"/>
        </w:tblPrEx>
        <w:trPr>
          <w:trHeight w:val="295"/>
        </w:trPr>
        <w:tc>
          <w:tcPr>
            <w:tcW w:w="2221" w:type="dxa"/>
          </w:tcPr>
          <w:p w:rsidR="003E7E96" w14:paraId="350D30D3" w14:textId="77777777">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Annual Cost Burden ($)</w:t>
            </w:r>
          </w:p>
        </w:tc>
        <w:tc>
          <w:tcPr>
            <w:tcW w:w="2236" w:type="dxa"/>
            <w:vAlign w:val="center"/>
          </w:tcPr>
          <w:p w:rsidR="003E7E96" w14:paraId="5616EC76" w14:textId="77777777">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0</w:t>
            </w:r>
          </w:p>
        </w:tc>
        <w:tc>
          <w:tcPr>
            <w:tcW w:w="1542" w:type="dxa"/>
            <w:vAlign w:val="center"/>
          </w:tcPr>
          <w:p w:rsidR="003E7E96" w14:paraId="487A5497" w14:textId="77777777">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0</w:t>
            </w:r>
          </w:p>
        </w:tc>
        <w:tc>
          <w:tcPr>
            <w:tcW w:w="1946" w:type="dxa"/>
            <w:vAlign w:val="center"/>
          </w:tcPr>
          <w:p w:rsidR="003E7E96" w14:paraId="180C0A03" w14:textId="77777777">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0</w:t>
            </w:r>
          </w:p>
        </w:tc>
        <w:tc>
          <w:tcPr>
            <w:tcW w:w="1651" w:type="dxa"/>
            <w:vAlign w:val="center"/>
          </w:tcPr>
          <w:p w:rsidR="003E7E96" w14:paraId="20E8D0CF" w14:textId="77777777">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0</w:t>
            </w:r>
          </w:p>
        </w:tc>
      </w:tr>
    </w:tbl>
    <w:p w:rsidR="003E7E96" w14:paraId="641D93B1" w14:textId="77777777">
      <w:pPr>
        <w:spacing w:after="0" w:line="240" w:lineRule="auto"/>
        <w:rPr>
          <w:rFonts w:ascii="Times New Roman" w:eastAsia="Calibri" w:hAnsi="Times New Roman" w:cs="Times New Roman"/>
          <w:sz w:val="26"/>
          <w:szCs w:val="26"/>
        </w:rPr>
      </w:pPr>
    </w:p>
    <w:p w:rsidR="003E7E96" w14:paraId="5DB7E4BC" w14:textId="77777777">
      <w:pPr>
        <w:numPr>
          <w:ilvl w:val="0"/>
          <w:numId w:val="1"/>
        </w:numPr>
        <w:spacing w:after="0" w:line="240" w:lineRule="auto"/>
        <w:ind w:left="360"/>
        <w:contextualSpacing/>
        <w:rPr>
          <w:rFonts w:ascii="Times New Roman" w:eastAsia="Calibri" w:hAnsi="Times New Roman" w:cs="Times New Roman"/>
          <w:b/>
          <w:sz w:val="26"/>
          <w:szCs w:val="26"/>
        </w:rPr>
      </w:pPr>
      <w:r>
        <w:rPr>
          <w:rFonts w:ascii="Times New Roman" w:eastAsia="Calibri" w:hAnsi="Times New Roman" w:cs="Times New Roman"/>
          <w:b/>
          <w:sz w:val="26"/>
          <w:szCs w:val="26"/>
        </w:rPr>
        <w:t>TIME SCHEDULE FOR PUBLICATION OF DATA</w:t>
      </w:r>
    </w:p>
    <w:p w:rsidR="003E7E96" w14:paraId="72CEEEAA" w14:textId="77777777">
      <w:pPr>
        <w:spacing w:after="0" w:line="240" w:lineRule="auto"/>
        <w:rPr>
          <w:rFonts w:ascii="Times New Roman" w:eastAsia="Calibri" w:hAnsi="Times New Roman" w:cs="Times New Roman"/>
          <w:sz w:val="26"/>
          <w:szCs w:val="26"/>
        </w:rPr>
      </w:pPr>
    </w:p>
    <w:p w:rsidR="003E7E96" w14:paraId="07A6DEF5" w14:textId="77777777">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There are no data publications related to this collection</w:t>
      </w:r>
    </w:p>
    <w:p w:rsidR="003E7E96" w14:paraId="27C3FF66" w14:textId="77777777">
      <w:pPr>
        <w:spacing w:after="0" w:line="240" w:lineRule="auto"/>
        <w:rPr>
          <w:rFonts w:ascii="Times New Roman" w:eastAsia="Calibri" w:hAnsi="Times New Roman" w:cs="Times New Roman"/>
          <w:sz w:val="26"/>
          <w:szCs w:val="26"/>
        </w:rPr>
      </w:pPr>
    </w:p>
    <w:p w:rsidR="003E7E96" w14:paraId="2529ADD8" w14:textId="77777777">
      <w:pPr>
        <w:numPr>
          <w:ilvl w:val="0"/>
          <w:numId w:val="1"/>
        </w:numPr>
        <w:spacing w:after="0" w:line="240" w:lineRule="auto"/>
        <w:ind w:left="360"/>
        <w:contextualSpacing/>
        <w:rPr>
          <w:rFonts w:ascii="Times New Roman" w:eastAsia="Calibri" w:hAnsi="Times New Roman" w:cs="Times New Roman"/>
          <w:b/>
          <w:sz w:val="26"/>
          <w:szCs w:val="26"/>
        </w:rPr>
      </w:pPr>
      <w:r>
        <w:rPr>
          <w:rFonts w:ascii="Times New Roman" w:eastAsia="Calibri" w:hAnsi="Times New Roman" w:cs="Times New Roman"/>
          <w:b/>
          <w:sz w:val="26"/>
          <w:szCs w:val="26"/>
        </w:rPr>
        <w:t>DISPLAY OF EXPIRATION DATE</w:t>
      </w:r>
    </w:p>
    <w:p w:rsidR="003E7E96" w14:paraId="4AFEFD60" w14:textId="77777777">
      <w:pPr>
        <w:spacing w:after="0" w:line="240" w:lineRule="auto"/>
        <w:rPr>
          <w:rFonts w:ascii="Times New Roman" w:eastAsia="Calibri" w:hAnsi="Times New Roman" w:cs="Times New Roman"/>
          <w:sz w:val="26"/>
          <w:szCs w:val="26"/>
        </w:rPr>
      </w:pPr>
    </w:p>
    <w:p w:rsidR="00E53AC4" w:rsidRPr="00E53AC4" w:rsidP="00E53AC4" w14:paraId="334B37C6" w14:textId="77777777">
      <w:pPr>
        <w:spacing w:after="0" w:line="240" w:lineRule="auto"/>
        <w:rPr>
          <w:rFonts w:ascii="Times New Roman" w:eastAsia="Calibri" w:hAnsi="Times New Roman" w:cs="Times New Roman"/>
          <w:sz w:val="26"/>
          <w:szCs w:val="26"/>
        </w:rPr>
      </w:pPr>
      <w:r w:rsidRPr="00E53AC4">
        <w:rPr>
          <w:rFonts w:ascii="Times New Roman" w:eastAsia="Calibri" w:hAnsi="Times New Roman" w:cs="Times New Roman"/>
          <w:sz w:val="26"/>
          <w:szCs w:val="26"/>
        </w:rPr>
        <w:t xml:space="preserve">The expiration date is displayed in a table posted on ferc.gov at </w:t>
      </w:r>
      <w:hyperlink r:id="rId9" w:history="1">
        <w:r w:rsidRPr="00E53AC4">
          <w:rPr>
            <w:rFonts w:ascii="Times New Roman" w:eastAsia="Calibri" w:hAnsi="Times New Roman" w:cs="Times New Roman"/>
            <w:color w:val="0000FF"/>
            <w:sz w:val="26"/>
            <w:szCs w:val="26"/>
            <w:u w:val="single"/>
          </w:rPr>
          <w:t>https://www.ferc.gov/information-collections</w:t>
        </w:r>
      </w:hyperlink>
      <w:r w:rsidRPr="00E53AC4">
        <w:rPr>
          <w:rFonts w:ascii="Times New Roman" w:eastAsia="Calibri" w:hAnsi="Times New Roman" w:cs="Times New Roman"/>
          <w:sz w:val="26"/>
          <w:szCs w:val="26"/>
        </w:rPr>
        <w:t>.</w:t>
      </w:r>
    </w:p>
    <w:p w:rsidR="003E7E96" w14:paraId="67A76FFC" w14:textId="77777777">
      <w:pPr>
        <w:spacing w:after="0" w:line="240" w:lineRule="auto"/>
        <w:rPr>
          <w:rFonts w:ascii="Times New Roman" w:eastAsia="Calibri" w:hAnsi="Times New Roman" w:cs="Times New Roman"/>
          <w:sz w:val="26"/>
          <w:szCs w:val="26"/>
        </w:rPr>
      </w:pPr>
    </w:p>
    <w:p w:rsidR="003E7E96" w14:paraId="1D7FF436" w14:textId="77777777">
      <w:pPr>
        <w:numPr>
          <w:ilvl w:val="0"/>
          <w:numId w:val="1"/>
        </w:numPr>
        <w:spacing w:after="0" w:line="240" w:lineRule="auto"/>
        <w:ind w:left="360"/>
        <w:contextualSpacing/>
        <w:rPr>
          <w:rFonts w:ascii="Times New Roman" w:eastAsia="Calibri" w:hAnsi="Times New Roman" w:cs="Times New Roman"/>
          <w:b/>
          <w:sz w:val="26"/>
          <w:szCs w:val="26"/>
        </w:rPr>
      </w:pPr>
      <w:r>
        <w:rPr>
          <w:rFonts w:ascii="Times New Roman" w:eastAsia="Calibri" w:hAnsi="Times New Roman" w:cs="Times New Roman"/>
          <w:b/>
          <w:sz w:val="26"/>
          <w:szCs w:val="26"/>
        </w:rPr>
        <w:t>EXCEPTIONS TO THE CERTIFICATION STATEMENT</w:t>
      </w:r>
    </w:p>
    <w:p w:rsidR="003E7E96" w14:paraId="50C8710A" w14:textId="77777777">
      <w:pPr>
        <w:spacing w:after="0" w:line="240" w:lineRule="auto"/>
        <w:rPr>
          <w:rFonts w:ascii="Times New Roman" w:eastAsia="Calibri" w:hAnsi="Times New Roman" w:cs="Times New Roman"/>
          <w:b/>
          <w:sz w:val="26"/>
          <w:szCs w:val="26"/>
        </w:rPr>
      </w:pPr>
    </w:p>
    <w:p w:rsidR="003E7E96" w14:paraId="34A57A07" w14:textId="77777777">
      <w:pPr>
        <w:spacing w:after="200" w:line="276" w:lineRule="auto"/>
        <w:rPr>
          <w:rFonts w:ascii="Times New Roman" w:hAnsi="Times New Roman" w:cs="Times New Roman"/>
          <w:sz w:val="26"/>
          <w:szCs w:val="26"/>
        </w:rPr>
      </w:pPr>
      <w:r>
        <w:rPr>
          <w:rFonts w:ascii="Times New Roman" w:eastAsia="Calibri" w:hAnsi="Times New Roman" w:cs="Times New Roman"/>
          <w:sz w:val="26"/>
          <w:szCs w:val="26"/>
        </w:rPr>
        <w:t>There are no exceptions</w:t>
      </w:r>
    </w:p>
    <w:sectPr>
      <w:headerReference w:type="default" r:id="rId10"/>
      <w:footerReference w:type="default" r:id="rId11"/>
      <w:footnotePr>
        <w:numRestart w:val="eachSect"/>
      </w:footnotePr>
      <w:endnotePr>
        <w:numFmt w:val="decimal"/>
      </w:endnote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76411206"/>
      <w:docPartObj>
        <w:docPartGallery w:val="Page Numbers (Bottom of Page)"/>
        <w:docPartUnique/>
      </w:docPartObj>
    </w:sdtPr>
    <w:sdtEndPr>
      <w:rPr>
        <w:rFonts w:ascii="Times New Roman" w:hAnsi="Times New Roman" w:cs="Times New Roman"/>
        <w:noProof/>
      </w:rPr>
    </w:sdtEndPr>
    <w:sdtContent>
      <w:p w:rsidR="003E7E96" w14:paraId="511F431A" w14:textId="77777777">
        <w:pPr>
          <w:pStyle w:val="Footer"/>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5</w:t>
        </w:r>
        <w:r>
          <w:rPr>
            <w:rFonts w:ascii="Times New Roman" w:hAnsi="Times New Roman" w:cs="Times New Roman"/>
            <w:noProof/>
          </w:rPr>
          <w:fldChar w:fldCharType="end"/>
        </w:r>
      </w:p>
    </w:sdtContent>
  </w:sdt>
  <w:p w:rsidR="003E7E96" w14:paraId="375E2D9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D3C8A" w14:paraId="4B1B7706" w14:textId="77777777">
      <w:pPr>
        <w:spacing w:after="0" w:line="240" w:lineRule="auto"/>
      </w:pPr>
      <w:r>
        <w:separator/>
      </w:r>
    </w:p>
  </w:footnote>
  <w:footnote w:type="continuationSeparator" w:id="1">
    <w:p w:rsidR="009D3C8A" w14:paraId="047BA386" w14:textId="77777777">
      <w:pPr>
        <w:spacing w:after="0" w:line="240" w:lineRule="auto"/>
      </w:pPr>
      <w:r>
        <w:continuationSeparator/>
      </w:r>
    </w:p>
  </w:footnote>
  <w:footnote w:type="continuationNotice" w:id="2">
    <w:p w:rsidR="009D3C8A" w14:paraId="3CADF7DC" w14:textId="77777777">
      <w:pPr>
        <w:spacing w:after="0" w:line="240" w:lineRule="auto"/>
      </w:pPr>
    </w:p>
  </w:footnote>
  <w:footnote w:id="3">
    <w:p w:rsidR="003E7E96" w14:paraId="5AAD7A7D" w14:textId="77777777">
      <w:pPr>
        <w:pStyle w:val="FootnoteText"/>
        <w:rPr>
          <w:rFonts w:ascii="Times New Roman" w:hAnsi="Times New Roman" w:cs="Times New Roman"/>
          <w:sz w:val="26"/>
          <w:szCs w:val="26"/>
        </w:rPr>
      </w:pPr>
      <w:r>
        <w:rPr>
          <w:rStyle w:val="FootnoteReference"/>
          <w:rFonts w:ascii="Times New Roman" w:hAnsi="Times New Roman" w:cs="Times New Roman"/>
          <w:sz w:val="26"/>
          <w:szCs w:val="26"/>
          <w:vertAlign w:val="superscript"/>
        </w:rPr>
        <w:footnoteRef/>
      </w:r>
      <w:r>
        <w:rPr>
          <w:rFonts w:ascii="Times New Roman" w:hAnsi="Times New Roman" w:cs="Times New Roman"/>
          <w:sz w:val="26"/>
          <w:szCs w:val="26"/>
          <w:vertAlign w:val="superscript"/>
        </w:rPr>
        <w:t xml:space="preserve"> </w:t>
      </w:r>
      <w:r>
        <w:rPr>
          <w:rFonts w:ascii="Times New Roman" w:hAnsi="Times New Roman" w:cs="Times New Roman"/>
          <w:sz w:val="26"/>
          <w:szCs w:val="26"/>
        </w:rPr>
        <w:t xml:space="preserve">16 U.S.C. 824o(d)(2). </w:t>
      </w:r>
    </w:p>
  </w:footnote>
  <w:footnote w:id="4">
    <w:p w:rsidR="003E7E96" w14:paraId="4C40F56A" w14:textId="77777777">
      <w:pPr>
        <w:pStyle w:val="FootnoteText"/>
        <w:rPr>
          <w:rFonts w:ascii="Times New Roman" w:hAnsi="Times New Roman" w:cs="Times New Roman"/>
          <w:sz w:val="26"/>
          <w:szCs w:val="26"/>
        </w:rPr>
      </w:pPr>
      <w:r>
        <w:rPr>
          <w:rStyle w:val="FootnoteReference"/>
          <w:rFonts w:ascii="Times New Roman" w:hAnsi="Times New Roman" w:cs="Times New Roman"/>
          <w:sz w:val="26"/>
          <w:szCs w:val="26"/>
          <w:vertAlign w:val="superscript"/>
        </w:rPr>
        <w:footnoteRef/>
      </w:r>
      <w:r>
        <w:rPr>
          <w:rFonts w:ascii="Times New Roman" w:hAnsi="Times New Roman" w:cs="Times New Roman"/>
          <w:sz w:val="26"/>
          <w:szCs w:val="26"/>
        </w:rPr>
        <w:t xml:space="preserve"> The Energy Policy Act of 2005, Pub. L. No 109-58, Title XII, Subtitle A, 119 Stat. 594, 941 (2005), codified at 16 U.S.C. 824o.</w:t>
      </w:r>
    </w:p>
  </w:footnote>
  <w:footnote w:id="5">
    <w:p w:rsidR="003E7E96" w14:paraId="7313B27B" w14:textId="77777777">
      <w:pPr>
        <w:pStyle w:val="FootnoteText"/>
        <w:rPr>
          <w:rFonts w:ascii="Times New Roman" w:hAnsi="Times New Roman" w:cs="Times New Roman"/>
          <w:sz w:val="26"/>
          <w:szCs w:val="26"/>
        </w:rPr>
      </w:pPr>
      <w:r>
        <w:rPr>
          <w:rStyle w:val="FootnoteReference"/>
          <w:rFonts w:ascii="Times New Roman" w:hAnsi="Times New Roman" w:cs="Times New Roman"/>
          <w:sz w:val="26"/>
          <w:szCs w:val="26"/>
          <w:vertAlign w:val="superscript"/>
        </w:rPr>
        <w:footnoteRef/>
      </w:r>
      <w:r>
        <w:rPr>
          <w:rFonts w:ascii="Times New Roman" w:hAnsi="Times New Roman" w:cs="Times New Roman"/>
          <w:sz w:val="26"/>
          <w:szCs w:val="26"/>
          <w:vertAlign w:val="superscript"/>
        </w:rPr>
        <w:t xml:space="preserve"> </w:t>
      </w:r>
      <w:r>
        <w:rPr>
          <w:rFonts w:ascii="Times New Roman" w:hAnsi="Times New Roman" w:cs="Times New Roman"/>
          <w:sz w:val="26"/>
          <w:szCs w:val="26"/>
        </w:rPr>
        <w:t xml:space="preserve">16 U.S.C. 824o(d)(2). </w:t>
      </w:r>
    </w:p>
  </w:footnote>
  <w:footnote w:id="6">
    <w:p w:rsidR="003E7E96" w14:paraId="5FA1E8CE" w14:textId="77777777">
      <w:pPr>
        <w:pStyle w:val="FootnoteText"/>
        <w:rPr>
          <w:rFonts w:ascii="Times New Roman" w:hAnsi="Times New Roman" w:cs="Times New Roman"/>
          <w:sz w:val="26"/>
          <w:szCs w:val="26"/>
        </w:rPr>
      </w:pPr>
      <w:r>
        <w:rPr>
          <w:rStyle w:val="FootnoteReference"/>
          <w:rFonts w:ascii="Times New Roman" w:hAnsi="Times New Roman" w:cs="Times New Roman"/>
          <w:sz w:val="26"/>
          <w:szCs w:val="26"/>
          <w:vertAlign w:val="superscript"/>
        </w:rPr>
        <w:footnoteRef/>
      </w:r>
      <w:r>
        <w:rPr>
          <w:rFonts w:ascii="Times New Roman" w:hAnsi="Times New Roman" w:cs="Times New Roman"/>
          <w:sz w:val="26"/>
          <w:szCs w:val="26"/>
          <w:vertAlign w:val="superscript"/>
        </w:rPr>
        <w:t xml:space="preserve"> </w:t>
      </w:r>
      <w:r>
        <w:rPr>
          <w:rFonts w:ascii="Times New Roman" w:hAnsi="Times New Roman" w:cs="Times New Roman"/>
          <w:sz w:val="26"/>
          <w:szCs w:val="26"/>
        </w:rPr>
        <w:t xml:space="preserve">Details of the current ERO Reliability Standard processes are available in Appendix 3A of the NERC Rules of Procedure on the NERC website at </w:t>
      </w:r>
      <w:r>
        <w:rPr>
          <w:rStyle w:val="Hyperlink"/>
          <w:rFonts w:ascii="Times New Roman" w:hAnsi="Times New Roman"/>
          <w:sz w:val="26"/>
          <w:szCs w:val="26"/>
        </w:rPr>
        <w:t>https://www.nerc.com/AboutNERC/Pages/Rules-of-Procedure.aspx</w:t>
      </w:r>
      <w:r>
        <w:rPr>
          <w:rFonts w:ascii="Times New Roman" w:hAnsi="Times New Roman" w:cs="Times New Roman"/>
          <w:sz w:val="26"/>
          <w:szCs w:val="26"/>
        </w:rPr>
        <w:t>.</w:t>
      </w:r>
    </w:p>
  </w:footnote>
  <w:footnote w:id="7">
    <w:p w:rsidR="003E7E96" w14:paraId="616D20BE" w14:textId="10AB35D9">
      <w:pPr>
        <w:pStyle w:val="FootnoteText"/>
        <w:rPr>
          <w:rFonts w:ascii="Times New Roman" w:hAnsi="Times New Roman" w:cs="Times New Roman"/>
          <w:sz w:val="26"/>
          <w:szCs w:val="26"/>
        </w:rPr>
      </w:pPr>
      <w:r>
        <w:rPr>
          <w:rStyle w:val="FootnoteReference"/>
          <w:rFonts w:ascii="Times New Roman" w:hAnsi="Times New Roman" w:cs="Times New Roman"/>
          <w:sz w:val="26"/>
          <w:szCs w:val="26"/>
          <w:vertAlign w:val="superscript"/>
        </w:rPr>
        <w:footnoteRef/>
      </w:r>
      <w:r>
        <w:rPr>
          <w:rFonts w:ascii="Times New Roman" w:hAnsi="Times New Roman" w:cs="Times New Roman"/>
          <w:sz w:val="26"/>
          <w:szCs w:val="26"/>
          <w:vertAlign w:val="superscript"/>
        </w:rPr>
        <w:t xml:space="preserve"> </w:t>
      </w:r>
      <w:r w:rsidR="00A31259">
        <w:rPr>
          <w:rFonts w:ascii="Times New Roman" w:hAnsi="Times New Roman" w:cs="Times New Roman"/>
          <w:sz w:val="26"/>
          <w:szCs w:val="26"/>
        </w:rPr>
        <w:t>91</w:t>
      </w:r>
      <w:r>
        <w:rPr>
          <w:rFonts w:ascii="Times New Roman" w:hAnsi="Times New Roman" w:cs="Times New Roman"/>
          <w:sz w:val="26"/>
          <w:szCs w:val="26"/>
        </w:rPr>
        <w:t xml:space="preserve"> FR </w:t>
      </w:r>
      <w:r w:rsidR="00742F8C">
        <w:rPr>
          <w:rFonts w:ascii="Times New Roman" w:hAnsi="Times New Roman" w:cs="Times New Roman"/>
          <w:sz w:val="26"/>
          <w:szCs w:val="26"/>
        </w:rPr>
        <w:t>10592</w:t>
      </w:r>
    </w:p>
  </w:footnote>
  <w:footnote w:id="8">
    <w:p w:rsidR="003E7E96" w14:paraId="328E072B" w14:textId="251A1FF1">
      <w:pPr>
        <w:pStyle w:val="FootnoteText"/>
        <w:rPr>
          <w:rFonts w:ascii="Times New Roman" w:hAnsi="Times New Roman" w:cs="Times New Roman"/>
          <w:sz w:val="26"/>
          <w:szCs w:val="26"/>
        </w:rPr>
      </w:pPr>
      <w:r>
        <w:rPr>
          <w:rStyle w:val="FootnoteReference"/>
          <w:sz w:val="26"/>
          <w:szCs w:val="26"/>
          <w:vertAlign w:val="superscript"/>
        </w:rPr>
        <w:footnoteRef/>
      </w:r>
      <w:r>
        <w:t xml:space="preserve"> </w:t>
      </w:r>
      <w:r w:rsidR="00A31259">
        <w:rPr>
          <w:rFonts w:ascii="Times New Roman" w:hAnsi="Times New Roman" w:cs="Times New Roman"/>
          <w:sz w:val="26"/>
          <w:szCs w:val="26"/>
        </w:rPr>
        <w:t>91</w:t>
      </w:r>
      <w:r>
        <w:rPr>
          <w:rFonts w:ascii="Times New Roman" w:hAnsi="Times New Roman" w:cs="Times New Roman"/>
          <w:sz w:val="26"/>
          <w:szCs w:val="26"/>
        </w:rPr>
        <w:t xml:space="preserve"> FR </w:t>
      </w:r>
      <w:r w:rsidR="00B77470">
        <w:rPr>
          <w:rFonts w:ascii="Times New Roman" w:hAnsi="Times New Roman" w:cs="Times New Roman"/>
          <w:sz w:val="26"/>
          <w:szCs w:val="26"/>
        </w:rPr>
        <w:t>32035</w:t>
      </w:r>
    </w:p>
  </w:footnote>
  <w:footnote w:id="9">
    <w:p w:rsidR="003E7E96" w:rsidRPr="00176B56" w:rsidP="00E53AC4" w14:paraId="0DB5D6EA" w14:textId="77777777">
      <w:pPr>
        <w:pStyle w:val="FootnoteText"/>
        <w:rPr>
          <w:rFonts w:ascii="Times New Roman" w:hAnsi="Times New Roman" w:cs="Times New Roman"/>
          <w:sz w:val="24"/>
          <w:szCs w:val="24"/>
        </w:rPr>
      </w:pPr>
      <w:r w:rsidRPr="00176B56">
        <w:rPr>
          <w:rStyle w:val="FootnoteReference"/>
          <w:rFonts w:ascii="Times New Roman" w:hAnsi="Times New Roman" w:cs="Times New Roman"/>
          <w:sz w:val="24"/>
          <w:szCs w:val="24"/>
          <w:vertAlign w:val="superscript"/>
        </w:rPr>
        <w:footnoteRef/>
      </w:r>
      <w:r w:rsidRPr="00176B56">
        <w:rPr>
          <w:rFonts w:ascii="Times New Roman" w:hAnsi="Times New Roman" w:cs="Times New Roman"/>
          <w:sz w:val="24"/>
          <w:szCs w:val="24"/>
        </w:rPr>
        <w:t xml:space="preserve"> “Burden” is the total time, effort, or financial resources expended by persons to generate, maintain, retain, or disclose or provide information to or for a </w:t>
      </w:r>
      <w:r w:rsidRPr="00176B56">
        <w:rPr>
          <w:rFonts w:ascii="Times New Roman" w:hAnsi="Times New Roman" w:cs="Times New Roman"/>
          <w:sz w:val="24"/>
          <w:szCs w:val="24"/>
        </w:rPr>
        <w:t>Federal</w:t>
      </w:r>
      <w:r w:rsidRPr="00176B56">
        <w:rPr>
          <w:rFonts w:ascii="Times New Roman" w:hAnsi="Times New Roman" w:cs="Times New Roman"/>
          <w:sz w:val="24"/>
          <w:szCs w:val="24"/>
        </w:rPr>
        <w:t xml:space="preserve"> agency. For further explanation of what is included in the information collection burden, refer to 5 CFR § 1320.3.</w:t>
      </w:r>
    </w:p>
  </w:footnote>
  <w:footnote w:id="10">
    <w:p w:rsidR="00E53AC4" w:rsidRPr="00C06300" w:rsidP="00C06300" w14:paraId="09527D20" w14:textId="68D17189">
      <w:pPr>
        <w:pStyle w:val="FootnoteText"/>
        <w:rPr>
          <w:rFonts w:ascii="Times New Roman" w:eastAsia="Times New Roman" w:hAnsi="Times New Roman" w:cs="Times New Roman"/>
          <w:sz w:val="26"/>
          <w:szCs w:val="26"/>
        </w:rPr>
      </w:pPr>
      <w:r w:rsidRPr="00176B56">
        <w:rPr>
          <w:rStyle w:val="FootnoteReference"/>
          <w:rFonts w:ascii="Times New Roman" w:hAnsi="Times New Roman" w:cs="Times New Roman"/>
          <w:sz w:val="24"/>
          <w:szCs w:val="24"/>
          <w:vertAlign w:val="superscript"/>
        </w:rPr>
        <w:footnoteRef/>
      </w:r>
      <w:r w:rsidRPr="00176B56">
        <w:rPr>
          <w:rFonts w:ascii="Times New Roman" w:hAnsi="Times New Roman" w:cs="Times New Roman"/>
          <w:sz w:val="24"/>
          <w:szCs w:val="24"/>
        </w:rPr>
        <w:t xml:space="preserve"> </w:t>
      </w:r>
      <w:r w:rsidRPr="00C06300" w:rsidR="00C06300">
        <w:rPr>
          <w:rFonts w:ascii="Times New Roman" w:eastAsia="Times New Roman" w:hAnsi="Times New Roman" w:cs="Times New Roman"/>
          <w:sz w:val="26"/>
          <w:szCs w:val="26"/>
        </w:rPr>
        <w:t>The estimated hourly cost (salary plus benefits) is a combination of the following categories from the BLS website, http://www.bls.gov/oes/current/naics2_22.htm:  75% of the average of an Electrical Engineer (17-2071) $71.19/hr., x .75 = 53.3925 ($53.39-rounded) ($53.39/hour); and 25% of an Information and Record Clerk (43-4199) $40.51/hr., $40.51 x .25 = 10.1275 ($10.13 rounded) ($10.13/hour), for a total ($53.39+$10.13 = $63.52/hour).</w:t>
      </w:r>
      <w:bookmarkStart w:id="0" w:name="_Hlk38878426"/>
      <w:bookmarkEnd w:id="0"/>
      <w:r w:rsidRPr="00C06300" w:rsidR="00C06300">
        <w:rPr>
          <w:rFonts w:ascii="Times New Roman" w:eastAsia="Times New Roman" w:hAnsi="Times New Roman" w:cs="Times New Roman"/>
          <w:sz w:val="26"/>
          <w:szCs w:val="26"/>
        </w:rPr>
        <w:t xml:space="preserve"> </w:t>
      </w:r>
    </w:p>
  </w:footnote>
  <w:footnote w:id="11">
    <w:p w:rsidR="00466C81" w:rsidRPr="00670676" w:rsidP="00C06300" w14:paraId="2B84950A" w14:textId="77777777">
      <w:pPr>
        <w:pStyle w:val="FootnoteText"/>
        <w:rPr>
          <w:rFonts w:ascii="Times New Roman" w:hAnsi="Times New Roman" w:cs="Times New Roman"/>
          <w:sz w:val="26"/>
          <w:szCs w:val="26"/>
        </w:rPr>
      </w:pPr>
      <w:r w:rsidRPr="00C722C5">
        <w:rPr>
          <w:rStyle w:val="FootnoteReference"/>
          <w:rFonts w:ascii="Times New Roman" w:hAnsi="Times New Roman" w:cs="Times New Roman"/>
          <w:vertAlign w:val="superscript"/>
        </w:rPr>
        <w:footnoteRef/>
      </w:r>
      <w:r w:rsidRPr="00670676">
        <w:rPr>
          <w:rFonts w:ascii="Times New Roman" w:hAnsi="Times New Roman" w:cs="Times New Roman"/>
        </w:rPr>
        <w:t xml:space="preserve"> </w:t>
      </w:r>
      <w:r w:rsidRPr="00670676">
        <w:rPr>
          <w:rFonts w:ascii="Times New Roman" w:hAnsi="Times New Roman" w:cs="Times New Roman"/>
          <w:sz w:val="26"/>
          <w:szCs w:val="26"/>
        </w:rPr>
        <w:t>The “Number of Entity” data is compiled from the February 9, 2026, edition of the NERC Compliance Registry.  “TP” means transmission planner; “PC” means planning coordinator.”</w:t>
      </w:r>
    </w:p>
  </w:footnote>
  <w:footnote w:id="12">
    <w:p w:rsidR="008B489E" w:rsidRPr="00670676" w:rsidP="0099296B" w14:paraId="53849DFE" w14:textId="445D48E9">
      <w:pPr>
        <w:pStyle w:val="FootnoteText"/>
        <w:rPr>
          <w:rFonts w:ascii="Times New Roman" w:hAnsi="Times New Roman" w:cs="Times New Roman"/>
          <w:sz w:val="26"/>
          <w:szCs w:val="26"/>
        </w:rPr>
      </w:pPr>
      <w:r w:rsidRPr="008B3025">
        <w:rPr>
          <w:rStyle w:val="FootnoteReference"/>
          <w:vertAlign w:val="superscript"/>
        </w:rPr>
        <w:t>12</w:t>
      </w:r>
      <w:r w:rsidRPr="00670676">
        <w:rPr>
          <w:rFonts w:ascii="Times New Roman" w:hAnsi="Times New Roman" w:cs="Times New Roman"/>
        </w:rPr>
        <w:t xml:space="preserve"> </w:t>
      </w:r>
      <w:r w:rsidRPr="00670676">
        <w:rPr>
          <w:rFonts w:ascii="Times New Roman" w:hAnsi="Times New Roman" w:cs="Times New Roman"/>
          <w:sz w:val="26"/>
          <w:szCs w:val="26"/>
        </w:rPr>
        <w:t>The “Number of Entity” data is compiled from the February 9, 2026, edition of the NERC Compliance Registry.  “TP” means transmission planner; “GO” means generator owner; “PC” means planning coordinator; “TO” means transmission owner.”</w:t>
      </w:r>
    </w:p>
  </w:footnote>
  <w:footnote w:id="13">
    <w:p w:rsidR="00501B8D" w:rsidRPr="00670676" w:rsidP="0099296B" w14:paraId="22668F51" w14:textId="2F206BC6">
      <w:pPr>
        <w:pStyle w:val="FootnoteText"/>
        <w:rPr>
          <w:rFonts w:ascii="Times New Roman" w:hAnsi="Times New Roman" w:cs="Times New Roman"/>
          <w:sz w:val="26"/>
          <w:szCs w:val="26"/>
        </w:rPr>
      </w:pPr>
      <w:r w:rsidRPr="008B3025">
        <w:rPr>
          <w:rStyle w:val="FootnoteReference"/>
          <w:vertAlign w:val="superscript"/>
        </w:rPr>
        <w:t>13</w:t>
      </w:r>
      <w:r w:rsidRPr="00670676">
        <w:rPr>
          <w:rFonts w:ascii="Times New Roman" w:hAnsi="Times New Roman" w:cs="Times New Roman"/>
        </w:rPr>
        <w:t xml:space="preserve"> </w:t>
      </w:r>
      <w:r w:rsidRPr="00670676">
        <w:rPr>
          <w:rFonts w:ascii="Times New Roman" w:hAnsi="Times New Roman" w:cs="Times New Roman"/>
          <w:sz w:val="26"/>
          <w:szCs w:val="26"/>
        </w:rPr>
        <w:t>The “Number of Entity” data is compiled from the February 9, 2026, edition of the NERC Compliance Registry.  “PC” means planning coordinator; “TP” means transmission planner.”</w:t>
      </w:r>
    </w:p>
  </w:footnote>
  <w:footnote w:id="14">
    <w:p w:rsidR="000D552A" w14:paraId="7331C881" w14:textId="01602949">
      <w:pPr>
        <w:pStyle w:val="FootnoteText"/>
        <w:rPr>
          <w:rFonts w:ascii="Times New Roman" w:hAnsi="Times New Roman" w:cs="Times New Roman"/>
          <w:sz w:val="26"/>
          <w:szCs w:val="26"/>
        </w:rPr>
      </w:pPr>
      <w:r w:rsidRPr="009A4D35">
        <w:rPr>
          <w:rStyle w:val="FootnoteReference"/>
          <w:vertAlign w:val="superscript"/>
        </w:rPr>
        <w:t>14</w:t>
      </w:r>
      <w:r>
        <w:rPr>
          <w:rFonts w:ascii="Times New Roman" w:hAnsi="Times New Roman" w:cs="Times New Roman"/>
          <w:sz w:val="26"/>
          <w:szCs w:val="26"/>
          <w:vertAlign w:val="superscript"/>
        </w:rPr>
        <w:t xml:space="preserve"> </w:t>
      </w:r>
      <w:r>
        <w:rPr>
          <w:rFonts w:ascii="Times New Roman" w:hAnsi="Times New Roman" w:cs="Times New Roman"/>
          <w:sz w:val="26"/>
          <w:szCs w:val="26"/>
        </w:rPr>
        <w:t>Based upon FERC’s 2022 estimated average annual PRA Administrative Cost: $7,694.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7E96" w14:paraId="3D1FE33E" w14:textId="77777777">
    <w:pPr>
      <w:pStyle w:val="Header"/>
      <w:rPr>
        <w:rFonts w:ascii="Times New Roman" w:hAnsi="Times New Roman"/>
        <w:sz w:val="24"/>
        <w:szCs w:val="24"/>
      </w:rPr>
    </w:pPr>
    <w:r>
      <w:rPr>
        <w:rFonts w:ascii="Times New Roman" w:hAnsi="Times New Roman"/>
        <w:i/>
        <w:noProof/>
        <w:sz w:val="24"/>
        <w:szCs w:val="24"/>
      </w:rPr>
      <mc:AlternateContent>
        <mc:Choice Requires="wps">
          <w:drawing>
            <wp:anchor distT="0" distB="0" distL="114300" distR="114300" simplePos="0" relativeHeight="251658240" behindDoc="0" locked="0" layoutInCell="0" allowOverlap="1">
              <wp:simplePos x="0" y="0"/>
              <wp:positionH relativeFrom="page">
                <wp:posOffset>0</wp:posOffset>
              </wp:positionH>
              <wp:positionV relativeFrom="page">
                <wp:posOffset>190500</wp:posOffset>
              </wp:positionV>
              <wp:extent cx="7772400" cy="266700"/>
              <wp:effectExtent l="0" t="0" r="0" b="0"/>
              <wp:wrapNone/>
              <wp:docPr id="1" name="MSIPCM791745c29670e4aa131e2b16" descr="{&quot;HashCode&quot;:-175139966,&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2667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3E7E96" w14:textId="77777777">
                          <w:pPr>
                            <w:spacing w:after="0"/>
                            <w:jc w:val="center"/>
                            <w:rPr>
                              <w:rFonts w:ascii="Times New Roman" w:hAnsi="Times New Roman" w:cs="Times New Roman"/>
                              <w:color w:val="A80000"/>
                              <w:sz w:val="26"/>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MSIPCM791745c29670e4aa131e2b16" o:spid="_x0000_s2049" type="#_x0000_t202" alt="{&quot;HashCode&quot;:-175139966,&quot;Height&quot;:792.0,&quot;Width&quot;:612.0,&quot;Placement&quot;:&quot;Header&quot;,&quot;Index&quot;:&quot;Primary&quot;,&quot;Section&quot;:1,&quot;Top&quot;:0.0,&quot;Left&quot;:0.0}" style="width:612pt;height:21pt;margin-top:15pt;margin-left:0;mso-position-horizontal-relative:page;mso-position-vertical-relative:page;mso-wrap-distance-bottom:0;mso-wrap-distance-left:9pt;mso-wrap-distance-right:9pt;mso-wrap-distance-top:0;mso-wrap-style:square;position:absolute;visibility:visible;v-text-anchor:top;z-index:251659264" o:allowincell="f" filled="f" stroked="f" strokeweight="0.5pt">
              <v:textbox inset=",0,,0">
                <w:txbxContent>
                  <w:p w:rsidR="003E7E96" w14:paraId="32113925" w14:textId="77777777">
                    <w:pPr>
                      <w:spacing w:after="0"/>
                      <w:jc w:val="center"/>
                      <w:rPr>
                        <w:rFonts w:ascii="Times New Roman" w:hAnsi="Times New Roman" w:cs="Times New Roman"/>
                        <w:color w:val="A80000"/>
                        <w:sz w:val="26"/>
                      </w:rPr>
                    </w:pPr>
                  </w:p>
                </w:txbxContent>
              </v:textbox>
            </v:shape>
          </w:pict>
        </mc:Fallback>
      </mc:AlternateContent>
    </w:r>
    <w:r>
      <w:rPr>
        <w:rFonts w:ascii="Times New Roman" w:hAnsi="Times New Roman"/>
        <w:sz w:val="24"/>
        <w:szCs w:val="24"/>
      </w:rPr>
      <w:t>FERC-725N (OMB Control No.: 1902-0264)</w:t>
    </w:r>
    <w:r>
      <w:rPr>
        <w:rFonts w:ascii="Times New Roman" w:hAnsi="Times New Roman"/>
        <w:b/>
        <w:sz w:val="24"/>
        <w:szCs w:val="24"/>
      </w:rPr>
      <w:t xml:space="preserve"> </w:t>
    </w:r>
  </w:p>
  <w:p w:rsidR="003E7E96" w14:paraId="0B5D955F" w14:textId="65BD5311">
    <w:pPr>
      <w:pStyle w:val="Header"/>
      <w:rPr>
        <w:rFonts w:ascii="Times New Roman" w:hAnsi="Times New Roman"/>
        <w:sz w:val="24"/>
        <w:szCs w:val="24"/>
      </w:rPr>
    </w:pPr>
    <w:r>
      <w:rPr>
        <w:rFonts w:ascii="Times New Roman" w:hAnsi="Times New Roman"/>
        <w:sz w:val="24"/>
        <w:szCs w:val="24"/>
      </w:rPr>
      <w:t xml:space="preserve">Docket No. </w:t>
    </w:r>
    <w:r w:rsidR="007D0DEE">
      <w:rPr>
        <w:rFonts w:ascii="Times New Roman" w:hAnsi="Times New Roman"/>
        <w:sz w:val="24"/>
        <w:szCs w:val="24"/>
      </w:rPr>
      <w:t>IC</w:t>
    </w:r>
    <w:r>
      <w:rPr>
        <w:rFonts w:ascii="Times New Roman" w:hAnsi="Times New Roman"/>
        <w:sz w:val="24"/>
        <w:szCs w:val="24"/>
      </w:rPr>
      <w:t>2</w:t>
    </w:r>
    <w:r w:rsidR="00496B28">
      <w:rPr>
        <w:rFonts w:ascii="Times New Roman" w:hAnsi="Times New Roman"/>
        <w:sz w:val="24"/>
        <w:szCs w:val="24"/>
      </w:rPr>
      <w:t>6</w:t>
    </w:r>
    <w:r>
      <w:rPr>
        <w:rFonts w:ascii="Times New Roman" w:hAnsi="Times New Roman"/>
        <w:sz w:val="24"/>
        <w:szCs w:val="24"/>
      </w:rPr>
      <w:t>-</w:t>
    </w:r>
    <w:r w:rsidR="00F469A2">
      <w:rPr>
        <w:rFonts w:ascii="Times New Roman" w:hAnsi="Times New Roman"/>
        <w:sz w:val="24"/>
        <w:szCs w:val="24"/>
      </w:rPr>
      <w:t>19</w:t>
    </w:r>
    <w:r>
      <w:rPr>
        <w:rFonts w:ascii="Times New Roman" w:hAnsi="Times New Roman"/>
        <w:sz w:val="24"/>
        <w:szCs w:val="24"/>
      </w:rPr>
      <w:t>-000</w:t>
    </w:r>
  </w:p>
  <w:p w:rsidR="003E7E96" w14:paraId="23691AA4" w14:textId="77777777">
    <w:pPr>
      <w:pStyle w:val="Header"/>
      <w:tabs>
        <w:tab w:val="left" w:pos="2980"/>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00000885"/>
    <w:lvl w:ilvl="0">
      <w:start w:val="0"/>
      <w:numFmt w:val="bullet"/>
      <w:lvlText w:val=""/>
      <w:lvlJc w:val="left"/>
      <w:pPr>
        <w:ind w:left="1700" w:hanging="540"/>
      </w:pPr>
      <w:rPr>
        <w:rFonts w:ascii="Symbol" w:hAnsi="Symbol" w:cs="Symbol"/>
        <w:b w:val="0"/>
        <w:bCs w:val="0"/>
        <w:sz w:val="24"/>
        <w:szCs w:val="24"/>
      </w:rPr>
    </w:lvl>
    <w:lvl w:ilvl="1">
      <w:start w:val="0"/>
      <w:numFmt w:val="bullet"/>
      <w:lvlText w:val="•"/>
      <w:lvlJc w:val="left"/>
      <w:pPr>
        <w:ind w:left="2440" w:hanging="540"/>
      </w:pPr>
    </w:lvl>
    <w:lvl w:ilvl="2">
      <w:start w:val="0"/>
      <w:numFmt w:val="bullet"/>
      <w:lvlText w:val="•"/>
      <w:lvlJc w:val="left"/>
      <w:pPr>
        <w:ind w:left="3180" w:hanging="540"/>
      </w:pPr>
    </w:lvl>
    <w:lvl w:ilvl="3">
      <w:start w:val="0"/>
      <w:numFmt w:val="bullet"/>
      <w:lvlText w:val="•"/>
      <w:lvlJc w:val="left"/>
      <w:pPr>
        <w:ind w:left="3920" w:hanging="540"/>
      </w:pPr>
    </w:lvl>
    <w:lvl w:ilvl="4">
      <w:start w:val="0"/>
      <w:numFmt w:val="bullet"/>
      <w:lvlText w:val="•"/>
      <w:lvlJc w:val="left"/>
      <w:pPr>
        <w:ind w:left="4660" w:hanging="540"/>
      </w:pPr>
    </w:lvl>
    <w:lvl w:ilvl="5">
      <w:start w:val="0"/>
      <w:numFmt w:val="bullet"/>
      <w:lvlText w:val="•"/>
      <w:lvlJc w:val="left"/>
      <w:pPr>
        <w:ind w:left="5400" w:hanging="540"/>
      </w:pPr>
    </w:lvl>
    <w:lvl w:ilvl="6">
      <w:start w:val="0"/>
      <w:numFmt w:val="bullet"/>
      <w:lvlText w:val="•"/>
      <w:lvlJc w:val="left"/>
      <w:pPr>
        <w:ind w:left="6140" w:hanging="540"/>
      </w:pPr>
    </w:lvl>
    <w:lvl w:ilvl="7">
      <w:start w:val="0"/>
      <w:numFmt w:val="bullet"/>
      <w:lvlText w:val="•"/>
      <w:lvlJc w:val="left"/>
      <w:pPr>
        <w:ind w:left="6880" w:hanging="540"/>
      </w:pPr>
    </w:lvl>
    <w:lvl w:ilvl="8">
      <w:start w:val="0"/>
      <w:numFmt w:val="bullet"/>
      <w:lvlText w:val="•"/>
      <w:lvlJc w:val="left"/>
      <w:pPr>
        <w:ind w:left="7620" w:hanging="540"/>
      </w:pPr>
    </w:lvl>
  </w:abstractNum>
  <w:abstractNum w:abstractNumId="1">
    <w:nsid w:val="03340A83"/>
    <w:multiLevelType w:val="hybridMultilevel"/>
    <w:tmpl w:val="C3FC529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9C02951"/>
    <w:multiLevelType w:val="hybridMultilevel"/>
    <w:tmpl w:val="7332B2A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3F26DE4"/>
    <w:multiLevelType w:val="hybridMultilevel"/>
    <w:tmpl w:val="14B2576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5162617"/>
    <w:multiLevelType w:val="hybridMultilevel"/>
    <w:tmpl w:val="1018B7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D0A3848"/>
    <w:multiLevelType w:val="hybridMultilevel"/>
    <w:tmpl w:val="8B8E3D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FCC1895"/>
    <w:multiLevelType w:val="hybridMultilevel"/>
    <w:tmpl w:val="632C2E0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1586E6A"/>
    <w:multiLevelType w:val="hybridMultilevel"/>
    <w:tmpl w:val="542809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4657912"/>
    <w:multiLevelType w:val="hybridMultilevel"/>
    <w:tmpl w:val="FBAEFA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BA77D90"/>
    <w:multiLevelType w:val="hybridMultilevel"/>
    <w:tmpl w:val="82F800C0"/>
    <w:lvl w:ilvl="0">
      <w:start w:val="1"/>
      <w:numFmt w:val="bullet"/>
      <w:lvlText w:val=""/>
      <w:lvlJc w:val="left"/>
      <w:pPr>
        <w:ind w:left="766" w:hanging="360"/>
      </w:pPr>
      <w:rPr>
        <w:rFonts w:ascii="Symbol" w:hAnsi="Symbol" w:hint="default"/>
      </w:rPr>
    </w:lvl>
    <w:lvl w:ilvl="1" w:tentative="1">
      <w:start w:val="1"/>
      <w:numFmt w:val="bullet"/>
      <w:lvlText w:val="o"/>
      <w:lvlJc w:val="left"/>
      <w:pPr>
        <w:ind w:left="1486" w:hanging="360"/>
      </w:pPr>
      <w:rPr>
        <w:rFonts w:ascii="Courier New" w:hAnsi="Courier New" w:cs="Courier New" w:hint="default"/>
      </w:rPr>
    </w:lvl>
    <w:lvl w:ilvl="2" w:tentative="1">
      <w:start w:val="1"/>
      <w:numFmt w:val="bullet"/>
      <w:lvlText w:val=""/>
      <w:lvlJc w:val="left"/>
      <w:pPr>
        <w:ind w:left="2206" w:hanging="360"/>
      </w:pPr>
      <w:rPr>
        <w:rFonts w:ascii="Wingdings" w:hAnsi="Wingdings" w:hint="default"/>
      </w:rPr>
    </w:lvl>
    <w:lvl w:ilvl="3" w:tentative="1">
      <w:start w:val="1"/>
      <w:numFmt w:val="bullet"/>
      <w:lvlText w:val=""/>
      <w:lvlJc w:val="left"/>
      <w:pPr>
        <w:ind w:left="2926" w:hanging="360"/>
      </w:pPr>
      <w:rPr>
        <w:rFonts w:ascii="Symbol" w:hAnsi="Symbol" w:hint="default"/>
      </w:rPr>
    </w:lvl>
    <w:lvl w:ilvl="4" w:tentative="1">
      <w:start w:val="1"/>
      <w:numFmt w:val="bullet"/>
      <w:lvlText w:val="o"/>
      <w:lvlJc w:val="left"/>
      <w:pPr>
        <w:ind w:left="3646" w:hanging="360"/>
      </w:pPr>
      <w:rPr>
        <w:rFonts w:ascii="Courier New" w:hAnsi="Courier New" w:cs="Courier New" w:hint="default"/>
      </w:rPr>
    </w:lvl>
    <w:lvl w:ilvl="5" w:tentative="1">
      <w:start w:val="1"/>
      <w:numFmt w:val="bullet"/>
      <w:lvlText w:val=""/>
      <w:lvlJc w:val="left"/>
      <w:pPr>
        <w:ind w:left="4366" w:hanging="360"/>
      </w:pPr>
      <w:rPr>
        <w:rFonts w:ascii="Wingdings" w:hAnsi="Wingdings" w:hint="default"/>
      </w:rPr>
    </w:lvl>
    <w:lvl w:ilvl="6" w:tentative="1">
      <w:start w:val="1"/>
      <w:numFmt w:val="bullet"/>
      <w:lvlText w:val=""/>
      <w:lvlJc w:val="left"/>
      <w:pPr>
        <w:ind w:left="5086" w:hanging="360"/>
      </w:pPr>
      <w:rPr>
        <w:rFonts w:ascii="Symbol" w:hAnsi="Symbol" w:hint="default"/>
      </w:rPr>
    </w:lvl>
    <w:lvl w:ilvl="7" w:tentative="1">
      <w:start w:val="1"/>
      <w:numFmt w:val="bullet"/>
      <w:lvlText w:val="o"/>
      <w:lvlJc w:val="left"/>
      <w:pPr>
        <w:ind w:left="5806" w:hanging="360"/>
      </w:pPr>
      <w:rPr>
        <w:rFonts w:ascii="Courier New" w:hAnsi="Courier New" w:cs="Courier New" w:hint="default"/>
      </w:rPr>
    </w:lvl>
    <w:lvl w:ilvl="8" w:tentative="1">
      <w:start w:val="1"/>
      <w:numFmt w:val="bullet"/>
      <w:lvlText w:val=""/>
      <w:lvlJc w:val="left"/>
      <w:pPr>
        <w:ind w:left="6526" w:hanging="360"/>
      </w:pPr>
      <w:rPr>
        <w:rFonts w:ascii="Wingdings" w:hAnsi="Wingdings" w:hint="default"/>
      </w:rPr>
    </w:lvl>
  </w:abstractNum>
  <w:abstractNum w:abstractNumId="10">
    <w:nsid w:val="7D3B09D3"/>
    <w:multiLevelType w:val="hybridMultilevel"/>
    <w:tmpl w:val="05AE5148"/>
    <w:lvl w:ilvl="0">
      <w:start w:val="1"/>
      <w:numFmt w:val="decimal"/>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color w:val="auto"/>
        <w:spacing w:val="0"/>
        <w:kern w:val="0"/>
        <w:position w:val="0"/>
        <w:sz w:val="26"/>
        <w:szCs w:val="26"/>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E4E4DD3"/>
    <w:multiLevelType w:val="hybridMultilevel"/>
    <w:tmpl w:val="7CB2385A"/>
    <w:lvl w:ilvl="0">
      <w:start w:val="1"/>
      <w:numFmt w:val="decimal"/>
      <w:pStyle w:val="FERCparanumber"/>
      <w:lvlText w:val="%1."/>
      <w:lvlJc w:val="left"/>
      <w:pPr>
        <w:tabs>
          <w:tab w:val="num" w:pos="990"/>
        </w:tabs>
        <w:ind w:left="270" w:firstLine="0"/>
      </w:pPr>
      <w:rPr>
        <w:rFonts w:hint="default"/>
        <w:b w:val="0"/>
        <w:i w:val="0"/>
        <w:sz w:val="26"/>
        <w:szCs w:val="26"/>
      </w:rPr>
    </w:lvl>
    <w:lvl w:ilvl="1">
      <w:start w:val="3"/>
      <w:numFmt w:val="upperLetter"/>
      <w:lvlText w:val="%2."/>
      <w:lvlJc w:val="left"/>
      <w:pPr>
        <w:tabs>
          <w:tab w:val="num" w:pos="830"/>
        </w:tabs>
        <w:ind w:left="830" w:hanging="660"/>
      </w:pPr>
      <w:rPr>
        <w:rFonts w:hint="default"/>
        <w:b/>
        <w:color w:val="auto"/>
        <w:u w:val="none"/>
      </w:rPr>
    </w:lvl>
    <w:lvl w:ilvl="2">
      <w:start w:val="1"/>
      <w:numFmt w:val="lowerRoman"/>
      <w:lvlText w:val="%3."/>
      <w:lvlJc w:val="right"/>
      <w:pPr>
        <w:tabs>
          <w:tab w:val="num" w:pos="1250"/>
        </w:tabs>
        <w:ind w:left="1250" w:hanging="180"/>
      </w:pPr>
      <w:rPr>
        <w:rFonts w:hint="default"/>
      </w:rPr>
    </w:lvl>
    <w:lvl w:ilvl="3">
      <w:start w:val="1"/>
      <w:numFmt w:val="decimal"/>
      <w:lvlText w:val="%4."/>
      <w:lvlJc w:val="left"/>
      <w:pPr>
        <w:tabs>
          <w:tab w:val="num" w:pos="1970"/>
        </w:tabs>
        <w:ind w:left="1970" w:hanging="360"/>
      </w:pPr>
    </w:lvl>
    <w:lvl w:ilvl="4" w:tentative="1">
      <w:start w:val="1"/>
      <w:numFmt w:val="lowerLetter"/>
      <w:lvlText w:val="%5."/>
      <w:lvlJc w:val="left"/>
      <w:pPr>
        <w:tabs>
          <w:tab w:val="num" w:pos="2690"/>
        </w:tabs>
        <w:ind w:left="2690" w:hanging="360"/>
      </w:pPr>
    </w:lvl>
    <w:lvl w:ilvl="5" w:tentative="1">
      <w:start w:val="1"/>
      <w:numFmt w:val="lowerRoman"/>
      <w:lvlText w:val="%6."/>
      <w:lvlJc w:val="right"/>
      <w:pPr>
        <w:tabs>
          <w:tab w:val="num" w:pos="3410"/>
        </w:tabs>
        <w:ind w:left="3410" w:hanging="180"/>
      </w:pPr>
    </w:lvl>
    <w:lvl w:ilvl="6" w:tentative="1">
      <w:start w:val="1"/>
      <w:numFmt w:val="decimal"/>
      <w:lvlText w:val="%7."/>
      <w:lvlJc w:val="left"/>
      <w:pPr>
        <w:tabs>
          <w:tab w:val="num" w:pos="4130"/>
        </w:tabs>
        <w:ind w:left="4130" w:hanging="360"/>
      </w:pPr>
    </w:lvl>
    <w:lvl w:ilvl="7" w:tentative="1">
      <w:start w:val="1"/>
      <w:numFmt w:val="lowerLetter"/>
      <w:lvlText w:val="%8."/>
      <w:lvlJc w:val="left"/>
      <w:pPr>
        <w:tabs>
          <w:tab w:val="num" w:pos="4850"/>
        </w:tabs>
        <w:ind w:left="4850" w:hanging="360"/>
      </w:pPr>
    </w:lvl>
    <w:lvl w:ilvl="8" w:tentative="1">
      <w:start w:val="1"/>
      <w:numFmt w:val="lowerRoman"/>
      <w:lvlText w:val="%9."/>
      <w:lvlJc w:val="right"/>
      <w:pPr>
        <w:tabs>
          <w:tab w:val="num" w:pos="5570"/>
        </w:tabs>
        <w:ind w:left="5570" w:hanging="180"/>
      </w:pPr>
    </w:lvl>
  </w:abstractNum>
  <w:num w:numId="1" w16cid:durableId="1779639159">
    <w:abstractNumId w:val="6"/>
  </w:num>
  <w:num w:numId="2" w16cid:durableId="1400635894">
    <w:abstractNumId w:val="0"/>
  </w:num>
  <w:num w:numId="3" w16cid:durableId="1290432155">
    <w:abstractNumId w:val="3"/>
  </w:num>
  <w:num w:numId="4" w16cid:durableId="977420238">
    <w:abstractNumId w:val="9"/>
  </w:num>
  <w:num w:numId="5" w16cid:durableId="1807510718">
    <w:abstractNumId w:val="5"/>
  </w:num>
  <w:num w:numId="6" w16cid:durableId="1616672379">
    <w:abstractNumId w:val="11"/>
  </w:num>
  <w:num w:numId="7" w16cid:durableId="1514952919">
    <w:abstractNumId w:val="1"/>
  </w:num>
  <w:num w:numId="8" w16cid:durableId="1281497004">
    <w:abstractNumId w:val="4"/>
  </w:num>
  <w:num w:numId="9" w16cid:durableId="381682336">
    <w:abstractNumId w:val="10"/>
  </w:num>
  <w:num w:numId="10" w16cid:durableId="1390297819">
    <w:abstractNumId w:val="8"/>
  </w:num>
  <w:num w:numId="11" w16cid:durableId="166482550">
    <w:abstractNumId w:val="2"/>
  </w:num>
  <w:num w:numId="12" w16cid:durableId="3792809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numRestart w:val="eachSect"/>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E96"/>
    <w:rsid w:val="00003F17"/>
    <w:rsid w:val="0000550B"/>
    <w:rsid w:val="00006455"/>
    <w:rsid w:val="00011B54"/>
    <w:rsid w:val="00012D99"/>
    <w:rsid w:val="000355FB"/>
    <w:rsid w:val="000550E6"/>
    <w:rsid w:val="00073AF7"/>
    <w:rsid w:val="000A300C"/>
    <w:rsid w:val="000B1B81"/>
    <w:rsid w:val="000D24E6"/>
    <w:rsid w:val="000D552A"/>
    <w:rsid w:val="000F067C"/>
    <w:rsid w:val="00103ABB"/>
    <w:rsid w:val="001330E7"/>
    <w:rsid w:val="00150AD3"/>
    <w:rsid w:val="00156096"/>
    <w:rsid w:val="00163818"/>
    <w:rsid w:val="001715E3"/>
    <w:rsid w:val="00176B56"/>
    <w:rsid w:val="001B09EE"/>
    <w:rsid w:val="00202EBD"/>
    <w:rsid w:val="00207D4B"/>
    <w:rsid w:val="00226737"/>
    <w:rsid w:val="00235D52"/>
    <w:rsid w:val="002403A8"/>
    <w:rsid w:val="00251F29"/>
    <w:rsid w:val="0025458F"/>
    <w:rsid w:val="00276E9E"/>
    <w:rsid w:val="00282BC0"/>
    <w:rsid w:val="002A09D1"/>
    <w:rsid w:val="002A6A05"/>
    <w:rsid w:val="002A6E5B"/>
    <w:rsid w:val="00341213"/>
    <w:rsid w:val="003504A5"/>
    <w:rsid w:val="0035258C"/>
    <w:rsid w:val="00393BA6"/>
    <w:rsid w:val="003A0F73"/>
    <w:rsid w:val="003E7E96"/>
    <w:rsid w:val="003F0EB4"/>
    <w:rsid w:val="003F6B0C"/>
    <w:rsid w:val="00404A47"/>
    <w:rsid w:val="004116EB"/>
    <w:rsid w:val="0041227E"/>
    <w:rsid w:val="00422FF7"/>
    <w:rsid w:val="004272D3"/>
    <w:rsid w:val="00437CC5"/>
    <w:rsid w:val="00442912"/>
    <w:rsid w:val="004525D4"/>
    <w:rsid w:val="00456616"/>
    <w:rsid w:val="00464052"/>
    <w:rsid w:val="00464ECB"/>
    <w:rsid w:val="00466C81"/>
    <w:rsid w:val="00496B28"/>
    <w:rsid w:val="004D7BAC"/>
    <w:rsid w:val="004E4724"/>
    <w:rsid w:val="004E65E4"/>
    <w:rsid w:val="004F7025"/>
    <w:rsid w:val="00501B8D"/>
    <w:rsid w:val="00524135"/>
    <w:rsid w:val="00561E64"/>
    <w:rsid w:val="00583E5A"/>
    <w:rsid w:val="00584086"/>
    <w:rsid w:val="005D5AA0"/>
    <w:rsid w:val="005E1730"/>
    <w:rsid w:val="00604700"/>
    <w:rsid w:val="00621DFD"/>
    <w:rsid w:val="0065459B"/>
    <w:rsid w:val="00660E2F"/>
    <w:rsid w:val="00670676"/>
    <w:rsid w:val="00677334"/>
    <w:rsid w:val="00677858"/>
    <w:rsid w:val="006B2B49"/>
    <w:rsid w:val="006C38B5"/>
    <w:rsid w:val="006D65CB"/>
    <w:rsid w:val="00703E35"/>
    <w:rsid w:val="00742F8C"/>
    <w:rsid w:val="00752C09"/>
    <w:rsid w:val="00766D0B"/>
    <w:rsid w:val="0076722C"/>
    <w:rsid w:val="00783B00"/>
    <w:rsid w:val="0079046F"/>
    <w:rsid w:val="007D0DEE"/>
    <w:rsid w:val="007E5E17"/>
    <w:rsid w:val="007E5F7E"/>
    <w:rsid w:val="00830A0A"/>
    <w:rsid w:val="00861D61"/>
    <w:rsid w:val="008B0ACB"/>
    <w:rsid w:val="008B3025"/>
    <w:rsid w:val="008B489E"/>
    <w:rsid w:val="008C3FFB"/>
    <w:rsid w:val="008D3C4D"/>
    <w:rsid w:val="008F46EC"/>
    <w:rsid w:val="00905ABC"/>
    <w:rsid w:val="0093379B"/>
    <w:rsid w:val="00936C20"/>
    <w:rsid w:val="00967DB6"/>
    <w:rsid w:val="00977DFB"/>
    <w:rsid w:val="0099296B"/>
    <w:rsid w:val="009A4D35"/>
    <w:rsid w:val="009A7FE9"/>
    <w:rsid w:val="009C2533"/>
    <w:rsid w:val="009C5EED"/>
    <w:rsid w:val="009D3C8A"/>
    <w:rsid w:val="009D6137"/>
    <w:rsid w:val="00A022DD"/>
    <w:rsid w:val="00A31259"/>
    <w:rsid w:val="00A379AB"/>
    <w:rsid w:val="00A41CBF"/>
    <w:rsid w:val="00A736FB"/>
    <w:rsid w:val="00AB2822"/>
    <w:rsid w:val="00AD1818"/>
    <w:rsid w:val="00AF5B3F"/>
    <w:rsid w:val="00B24350"/>
    <w:rsid w:val="00B45ABF"/>
    <w:rsid w:val="00B77470"/>
    <w:rsid w:val="00BB211A"/>
    <w:rsid w:val="00BC2449"/>
    <w:rsid w:val="00BC2EAE"/>
    <w:rsid w:val="00C00FB2"/>
    <w:rsid w:val="00C01916"/>
    <w:rsid w:val="00C06300"/>
    <w:rsid w:val="00C07E54"/>
    <w:rsid w:val="00C1216E"/>
    <w:rsid w:val="00C64D39"/>
    <w:rsid w:val="00C722C5"/>
    <w:rsid w:val="00C76A7B"/>
    <w:rsid w:val="00C90824"/>
    <w:rsid w:val="00C93279"/>
    <w:rsid w:val="00CD4424"/>
    <w:rsid w:val="00CF77B7"/>
    <w:rsid w:val="00D160BD"/>
    <w:rsid w:val="00D666B9"/>
    <w:rsid w:val="00D76A88"/>
    <w:rsid w:val="00D97858"/>
    <w:rsid w:val="00E01306"/>
    <w:rsid w:val="00E16F0D"/>
    <w:rsid w:val="00E40E4C"/>
    <w:rsid w:val="00E53AC4"/>
    <w:rsid w:val="00E6032E"/>
    <w:rsid w:val="00E62301"/>
    <w:rsid w:val="00E91457"/>
    <w:rsid w:val="00E957D7"/>
    <w:rsid w:val="00EB1121"/>
    <w:rsid w:val="00EB3252"/>
    <w:rsid w:val="00EB4994"/>
    <w:rsid w:val="00ED5990"/>
    <w:rsid w:val="00F15865"/>
    <w:rsid w:val="00F469A2"/>
    <w:rsid w:val="00F506DE"/>
    <w:rsid w:val="00F54021"/>
    <w:rsid w:val="00F7483C"/>
    <w:rsid w:val="00F76A7D"/>
    <w:rsid w:val="00FB6ACA"/>
    <w:rsid w:val="00FC57AF"/>
    <w:rsid w:val="00FC7AF0"/>
    <w:rsid w:val="00FE2713"/>
    <w:rsid w:val="00FF5323"/>
    <w:rsid w:val="00FF5FE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11C08AB"/>
  <w15:docId w15:val="{36A20EA1-B3AF-44D3-833E-0512438FC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Char"/>
    <w:basedOn w:val="Normal"/>
    <w:link w:val="FootnoteTextChar"/>
    <w:unhideWhenUsed/>
    <w:qFormat/>
    <w:pPr>
      <w:spacing w:after="0" w:line="240" w:lineRule="auto"/>
    </w:pPr>
    <w:rPr>
      <w:sz w:val="20"/>
      <w:szCs w:val="20"/>
    </w:rPr>
  </w:style>
  <w:style w:type="character" w:customStyle="1" w:styleId="FootnoteTextChar">
    <w:name w:val="Footnote Text Char"/>
    <w:aliases w:val="Footnote Text Char Char Char Char1,Footnote Text Char Char Char2,Footnote Text Char1 Char Char Char1,Footnote Text Char1 Char Char2,Footnote Text Char1 Char1 Char1,Footnote Text Char1 Char3,Footnote Text Char2 Char Char,fn Char1"/>
    <w:basedOn w:val="DefaultParagraphFont"/>
    <w:link w:val="FootnoteText"/>
    <w:rPr>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uiPriority w:val="99"/>
    <w:qFormat/>
  </w:style>
  <w:style w:type="paragraph" w:styleId="CommentText">
    <w:name w:val="annotation text"/>
    <w:basedOn w:val="Normal"/>
    <w:link w:val="CommentTextChar"/>
    <w:uiPriority w:val="99"/>
    <w:unhideWhenUsed/>
    <w:pPr>
      <w:spacing w:after="200"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Hyperlink">
    <w:name w:val="Hyperlink"/>
    <w:basedOn w:val="DefaultParagraphFont"/>
    <w:uiPriority w:val="99"/>
    <w:rPr>
      <w:rFonts w:cs="Times New Roman"/>
      <w:color w:val="0000FF"/>
      <w:u w:val="single"/>
    </w:rPr>
  </w:style>
  <w:style w:type="paragraph" w:styleId="ListParagraph">
    <w:name w:val="List Paragraph"/>
    <w:basedOn w:val="Normal"/>
    <w:uiPriority w:val="34"/>
    <w:qFormat/>
    <w:pPr>
      <w:ind w:left="720"/>
      <w:contextualSpacing/>
    </w:pPr>
  </w:style>
  <w:style w:type="character" w:customStyle="1" w:styleId="FootnoteTextChar2">
    <w:name w:val="Footnote Text Char2"/>
    <w:aliases w:val="Footnote Text Char Char Char Char,Footnote Text Char Char Char1,Footnote Text Char1 Char Char Char,Footnote Text Char1 Char Char1,Footnote Text Char1 Char1 Char,Footnote Text Char1 Char2,Footnote Text MRP Char,fn Char,fn1 Char"/>
    <w:uiPriority w:val="99"/>
    <w:rPr>
      <w:sz w:val="26"/>
      <w:lang w:val="en-US" w:eastAsia="en-US" w:bidi="ar-SA"/>
    </w:rPr>
  </w:style>
  <w:style w:type="paragraph" w:customStyle="1" w:styleId="FERCparanumber">
    <w:name w:val="FERC paranumber"/>
    <w:basedOn w:val="Normal"/>
    <w:link w:val="FERCparanumberChar1"/>
    <w:qFormat/>
    <w:pPr>
      <w:numPr>
        <w:numId w:val="6"/>
      </w:numPr>
      <w:spacing w:after="0" w:line="480" w:lineRule="auto"/>
    </w:pPr>
    <w:rPr>
      <w:rFonts w:ascii="Times New Roman" w:eastAsia="Times New Roman" w:hAnsi="Times New Roman" w:cs="Times New Roman"/>
      <w:sz w:val="26"/>
      <w:szCs w:val="24"/>
    </w:rPr>
  </w:style>
  <w:style w:type="character" w:customStyle="1" w:styleId="FERCparanumberChar1">
    <w:name w:val="FERC paranumber Char1"/>
    <w:link w:val="FERCparanumber"/>
    <w:rPr>
      <w:rFonts w:ascii="Times New Roman" w:eastAsia="Times New Roman" w:hAnsi="Times New Roman" w:cs="Times New Roman"/>
      <w:sz w:val="26"/>
      <w:szCs w:val="24"/>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pPr>
      <w:spacing w:after="160"/>
    </w:pPr>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FERCparanumberChar">
    <w:name w:val="FERC paranumber Char"/>
    <w:basedOn w:val="DefaultParagraphFont"/>
    <w:rPr>
      <w:rFonts w:ascii="Times New Roman" w:hAnsi="Times New Roman" w:cs="Times New Roman"/>
      <w:sz w:val="26"/>
    </w:rPr>
  </w:style>
  <w:style w:type="character" w:styleId="FollowedHyperlink">
    <w:name w:val="FollowedHyperlink"/>
    <w:basedOn w:val="DefaultParagraphFont"/>
    <w:uiPriority w:val="99"/>
    <w:semiHidden/>
    <w:unhideWhenUsed/>
    <w:rPr>
      <w:color w:val="954F72" w:themeColor="followedHyperlink"/>
      <w:u w:val="single"/>
    </w:rPr>
  </w:style>
  <w:style w:type="character" w:styleId="UnresolvedMention">
    <w:name w:val="Unresolved Mention"/>
    <w:basedOn w:val="DefaultParagraphFont"/>
    <w:uiPriority w:val="99"/>
    <w:semiHidden/>
    <w:unhideWhenUsed/>
    <w:rsid w:val="00341213"/>
    <w:rPr>
      <w:color w:val="605E5C"/>
      <w:shd w:val="clear" w:color="auto" w:fill="E1DFDD"/>
    </w:rPr>
  </w:style>
  <w:style w:type="paragraph" w:styleId="EndnoteText">
    <w:name w:val="endnote text"/>
    <w:basedOn w:val="Normal"/>
    <w:link w:val="EndnoteTextChar"/>
    <w:uiPriority w:val="99"/>
    <w:semiHidden/>
    <w:unhideWhenUsed/>
    <w:rsid w:val="003504A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504A5"/>
    <w:rPr>
      <w:sz w:val="20"/>
      <w:szCs w:val="20"/>
    </w:rPr>
  </w:style>
  <w:style w:type="character" w:styleId="EndnoteReference">
    <w:name w:val="endnote reference"/>
    <w:basedOn w:val="DefaultParagraphFont"/>
    <w:uiPriority w:val="99"/>
    <w:semiHidden/>
    <w:unhideWhenUsed/>
    <w:rsid w:val="003504A5"/>
    <w:rPr>
      <w:vertAlign w:val="superscript"/>
    </w:rPr>
  </w:style>
  <w:style w:type="paragraph" w:styleId="Revision">
    <w:name w:val="Revision"/>
    <w:hidden/>
    <w:uiPriority w:val="99"/>
    <w:semiHidden/>
    <w:rsid w:val="00C908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rc.gov/information-colle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725N</_x0031__x002e__x0020_Collection_x0020_Number>
    <Date xmlns="d6eefc7d-9817-4fa6-84d5-3bc009be21b8">2023-01-12T05:00:00+00:00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IC22-30</_x0031__x002e__x0020_Docket_x0020_Number>
    <_x0033__x002e__x0020_Collection_x0020_Number xmlns="d6eefc7d-9817-4fa6-84d5-3bc009be21b8" xsi:nil="true"/>
    <TaxCatchAll xmlns="5a7c6213-c3f8-4376-93f2-dc58e5c51d54" xsi:nil="true"/>
    <lcf76f155ced4ddcb4097134ff3c332f xmlns="e029e753-062b-49ce-baa7-feb352134f8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AB4819515F02041B733A30B504091D8" ma:contentTypeVersion="21" ma:contentTypeDescription="Create a new document." ma:contentTypeScope="" ma:versionID="9f757fac7c7b0b3ff33a1b2962e07276">
  <xsd:schema xmlns:xsd="http://www.w3.org/2001/XMLSchema" xmlns:xs="http://www.w3.org/2001/XMLSchema" xmlns:p="http://schemas.microsoft.com/office/2006/metadata/properties" xmlns:ns2="d6eefc7d-9817-4fa6-84d5-3bc009be21b8" xmlns:ns3="e029e753-062b-49ce-baa7-feb352134f8f" xmlns:ns4="5a7c6213-c3f8-4376-93f2-dc58e5c51d54" targetNamespace="http://schemas.microsoft.com/office/2006/metadata/properties" ma:root="true" ma:fieldsID="3d748f22f8ae9cdada74fd2f074b77a3" ns2:_="" ns3:_="" ns4:_="">
    <xsd:import namespace="d6eefc7d-9817-4fa6-84d5-3bc009be21b8"/>
    <xsd:import namespace="e029e753-062b-49ce-baa7-feb352134f8f"/>
    <xsd:import namespace="5a7c6213-c3f8-4376-93f2-dc58e5c51d54"/>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dexed="true"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dexed="true"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dexed="true"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dexed="true"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e029e753-062b-49ce-baa7-feb352134f8f"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9776dbc-9393-46bd-9fa9-87fe347ccf2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3106a42-f136-493a-9b07-5365c92b590c}" ma:internalName="TaxCatchAll" ma:showField="CatchAllData" ma:web="5a7c6213-c3f8-4376-93f2-dc58e5c51d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7E5159-921F-47EF-BE2D-2679DB21A839}">
  <ds:schemaRefs>
    <ds:schemaRef ds:uri="http://schemas.microsoft.com/sharepoint/v3/contenttype/forms"/>
  </ds:schemaRefs>
</ds:datastoreItem>
</file>

<file path=customXml/itemProps2.xml><?xml version="1.0" encoding="utf-8"?>
<ds:datastoreItem xmlns:ds="http://schemas.openxmlformats.org/officeDocument/2006/customXml" ds:itemID="{ED07740B-AA04-49A1-8875-0BAB9D9A805C}">
  <ds:schemaRefs>
    <ds:schemaRef ds:uri="http://schemas.openxmlformats.org/officeDocument/2006/bibliography"/>
  </ds:schemaRefs>
</ds:datastoreItem>
</file>

<file path=customXml/itemProps3.xml><?xml version="1.0" encoding="utf-8"?>
<ds:datastoreItem xmlns:ds="http://schemas.openxmlformats.org/officeDocument/2006/customXml" ds:itemID="{CEEE68EE-2CAF-4104-92DB-1A179AD5207B}">
  <ds:schemaRefs>
    <ds:schemaRef ds:uri="http://schemas.microsoft.com/office/2006/metadata/properties"/>
    <ds:schemaRef ds:uri="http://schemas.microsoft.com/office/infopath/2007/PartnerControls"/>
    <ds:schemaRef ds:uri="d6eefc7d-9817-4fa6-84d5-3bc009be21b8"/>
    <ds:schemaRef ds:uri="5a7c6213-c3f8-4376-93f2-dc58e5c51d54"/>
    <ds:schemaRef ds:uri="e029e753-062b-49ce-baa7-feb352134f8f"/>
  </ds:schemaRefs>
</ds:datastoreItem>
</file>

<file path=customXml/itemProps4.xml><?xml version="1.0" encoding="utf-8"?>
<ds:datastoreItem xmlns:ds="http://schemas.openxmlformats.org/officeDocument/2006/customXml" ds:itemID="{ED6E8793-15A3-4A52-BA74-A56201BA1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e029e753-062b-49ce-baa7-feb352134f8f"/>
    <ds:schemaRef ds:uri="5a7c6213-c3f8-4376-93f2-dc58e5c51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9</Pages>
  <Words>2185</Words>
  <Characters>12963</Characters>
  <Application>Microsoft Office Word</Application>
  <DocSecurity>0</DocSecurity>
  <Lines>498</Lines>
  <Paragraphs>207</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Williams</dc:creator>
  <cp:lastModifiedBy>Kayla Williams</cp:lastModifiedBy>
  <cp:revision>2</cp:revision>
  <cp:lastPrinted>2020-02-13T13:03:00Z</cp:lastPrinted>
  <dcterms:created xsi:type="dcterms:W3CDTF">2026-06-25T14:40:00Z</dcterms:created>
  <dcterms:modified xsi:type="dcterms:W3CDTF">2026-06-25T14:40:00Z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0x0101006AB4819515F02041B733A30B504091D8</vt:lpwstr>
  </property>
  <property fmtid="{D5CDD505-2E9C-101B-9397-08002B2CF9AE}" pid="3" name="MediaServiceImageTags">
    <vt:lpwstr/>
  </property>
  <property fmtid="{D5CDD505-2E9C-101B-9397-08002B2CF9AE}" pid="4" name="MSIP_Label_bd24d06a-0e85-4d57-b1e0-ba34b1abc708_ActionId">
    <vt:lpwstr>08aaeb63-463b-4f38-bb67-cbdf0f4267aa</vt:lpwstr>
  </property>
  <property fmtid="{D5CDD505-2E9C-101B-9397-08002B2CF9AE}" pid="5" name="MSIP_Label_bd24d06a-0e85-4d57-b1e0-ba34b1abc708_ContentBits">
    <vt:lpwstr>0</vt:lpwstr>
  </property>
  <property fmtid="{D5CDD505-2E9C-101B-9397-08002B2CF9AE}" pid="6" name="MSIP_Label_bd24d06a-0e85-4d57-b1e0-ba34b1abc708_Enabled">
    <vt:lpwstr>true</vt:lpwstr>
  </property>
  <property fmtid="{D5CDD505-2E9C-101B-9397-08002B2CF9AE}" pid="7" name="MSIP_Label_bd24d06a-0e85-4d57-b1e0-ba34b1abc708_Method">
    <vt:lpwstr>Privileged</vt:lpwstr>
  </property>
  <property fmtid="{D5CDD505-2E9C-101B-9397-08002B2CF9AE}" pid="8" name="MSIP_Label_bd24d06a-0e85-4d57-b1e0-ba34b1abc708_Name">
    <vt:lpwstr>bd24d06a-0e85-4d57-b1e0-ba34b1abc708</vt:lpwstr>
  </property>
  <property fmtid="{D5CDD505-2E9C-101B-9397-08002B2CF9AE}" pid="9" name="MSIP_Label_bd24d06a-0e85-4d57-b1e0-ba34b1abc708_SetDate">
    <vt:lpwstr>2026-05-13T11:05:22Z</vt:lpwstr>
  </property>
  <property fmtid="{D5CDD505-2E9C-101B-9397-08002B2CF9AE}" pid="10" name="MSIP_Label_bd24d06a-0e85-4d57-b1e0-ba34b1abc708_SiteId">
    <vt:lpwstr>19caa9e9-04ff-43fa-885f-d77fac387903</vt:lpwstr>
  </property>
  <property fmtid="{D5CDD505-2E9C-101B-9397-08002B2CF9AE}" pid="11" name="MSIP_Label_bd24d06a-0e85-4d57-b1e0-ba34b1abc708_Tag">
    <vt:lpwstr>10, 0, 1, 1</vt:lpwstr>
  </property>
</Properties>
</file>