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86890" w:rsidRPr="00A26B8A" w:rsidP="00F86890" w14:paraId="522924D8" w14:textId="77777777">
      <w:pPr>
        <w:jc w:val="center"/>
        <w:rPr>
          <w:szCs w:val="26"/>
        </w:rPr>
      </w:pPr>
      <w:r w:rsidRPr="00A26B8A">
        <w:rPr>
          <w:szCs w:val="26"/>
        </w:rPr>
        <w:t>UNITED STATES OF AMERICA</w:t>
      </w:r>
    </w:p>
    <w:p w:rsidR="00F86890" w:rsidRPr="00A26B8A" w:rsidP="00F86890" w14:paraId="0F7761D1" w14:textId="77777777">
      <w:pPr>
        <w:jc w:val="center"/>
        <w:rPr>
          <w:szCs w:val="26"/>
        </w:rPr>
      </w:pPr>
      <w:r w:rsidRPr="00A26B8A">
        <w:rPr>
          <w:szCs w:val="26"/>
        </w:rPr>
        <w:t>FEDERAL ENERGY REGULATORY COMMISSION</w:t>
      </w:r>
    </w:p>
    <w:p w:rsidR="00F86890" w:rsidRPr="00A26B8A" w:rsidP="00F86890" w14:paraId="71F03F40" w14:textId="77777777">
      <w:pPr>
        <w:rPr>
          <w:szCs w:val="26"/>
        </w:rPr>
      </w:pPr>
    </w:p>
    <w:p w:rsidR="00F86890" w:rsidRPr="00A26B8A" w:rsidP="00F86890" w14:paraId="28B78086" w14:textId="16C4E4F0">
      <w:pPr>
        <w:jc w:val="center"/>
        <w:rPr>
          <w:szCs w:val="26"/>
        </w:rPr>
      </w:pPr>
      <w:r w:rsidRPr="00C5238F">
        <w:rPr>
          <w:szCs w:val="26"/>
        </w:rPr>
        <w:t xml:space="preserve">[Docket No. </w:t>
      </w:r>
      <w:r w:rsidRPr="001B7A8D" w:rsidR="00362F6A">
        <w:rPr>
          <w:szCs w:val="26"/>
        </w:rPr>
        <w:t>IC</w:t>
      </w:r>
      <w:r w:rsidRPr="001B7A8D" w:rsidR="00C5238F">
        <w:rPr>
          <w:szCs w:val="26"/>
        </w:rPr>
        <w:t>2</w:t>
      </w:r>
      <w:r>
        <w:rPr>
          <w:szCs w:val="26"/>
        </w:rPr>
        <w:t>6</w:t>
      </w:r>
      <w:r w:rsidRPr="001B7A8D" w:rsidR="004108F8">
        <w:rPr>
          <w:szCs w:val="26"/>
        </w:rPr>
        <w:t>-</w:t>
      </w:r>
      <w:r w:rsidR="00CC5971">
        <w:rPr>
          <w:szCs w:val="26"/>
        </w:rPr>
        <w:t>22</w:t>
      </w:r>
      <w:r w:rsidRPr="001B7A8D">
        <w:rPr>
          <w:szCs w:val="26"/>
        </w:rPr>
        <w:t>-000</w:t>
      </w:r>
      <w:r w:rsidRPr="00C5238F">
        <w:rPr>
          <w:szCs w:val="26"/>
        </w:rPr>
        <w:t>]</w:t>
      </w:r>
    </w:p>
    <w:p w:rsidR="00F86890" w:rsidRPr="00A26B8A" w:rsidP="00F86890" w14:paraId="22CA5B57" w14:textId="77777777">
      <w:pPr>
        <w:rPr>
          <w:szCs w:val="26"/>
        </w:rPr>
      </w:pPr>
    </w:p>
    <w:p w:rsidR="000C0396" w:rsidP="00F86890" w14:paraId="0E4EE778" w14:textId="77777777">
      <w:pPr>
        <w:jc w:val="center"/>
        <w:rPr>
          <w:szCs w:val="26"/>
        </w:rPr>
      </w:pPr>
      <w:r w:rsidRPr="00A26B8A">
        <w:rPr>
          <w:szCs w:val="26"/>
        </w:rPr>
        <w:t>COMMISSION INFORMATION COLLECTION ACTIVITIES</w:t>
      </w:r>
    </w:p>
    <w:p w:rsidR="00F86890" w:rsidRPr="00A26B8A" w:rsidP="00F86890" w14:paraId="481ED718" w14:textId="25321B52">
      <w:pPr>
        <w:jc w:val="center"/>
        <w:rPr>
          <w:szCs w:val="26"/>
        </w:rPr>
      </w:pPr>
      <w:r w:rsidRPr="00A26B8A">
        <w:rPr>
          <w:szCs w:val="26"/>
        </w:rPr>
        <w:t xml:space="preserve"> (FERC-</w:t>
      </w:r>
      <w:r w:rsidRPr="00A26B8A" w:rsidR="00E5116F">
        <w:rPr>
          <w:szCs w:val="26"/>
        </w:rPr>
        <w:t>725T</w:t>
      </w:r>
      <w:r w:rsidRPr="00A26B8A">
        <w:rPr>
          <w:szCs w:val="26"/>
        </w:rPr>
        <w:t>);</w:t>
      </w:r>
    </w:p>
    <w:p w:rsidR="00F86890" w:rsidRPr="00A26B8A" w:rsidP="00F86890" w14:paraId="622EA04A" w14:textId="77777777">
      <w:pPr>
        <w:jc w:val="center"/>
        <w:rPr>
          <w:szCs w:val="26"/>
        </w:rPr>
      </w:pPr>
      <w:r w:rsidRPr="00A26B8A">
        <w:rPr>
          <w:szCs w:val="26"/>
        </w:rPr>
        <w:t>COMMENT REQUEST; EXTENSION</w:t>
      </w:r>
    </w:p>
    <w:p w:rsidR="004C77BD" w:rsidRPr="00A26B8A" w:rsidP="00F86890" w14:paraId="31C8184A" w14:textId="77777777">
      <w:pPr>
        <w:jc w:val="center"/>
        <w:rPr>
          <w:szCs w:val="26"/>
        </w:rPr>
      </w:pPr>
    </w:p>
    <w:p w:rsidR="000D5F4D" w:rsidP="00D33A79" w14:paraId="7D95E9FF" w14:textId="3CDEF7BA">
      <w:pPr>
        <w:jc w:val="center"/>
        <w:rPr>
          <w:szCs w:val="26"/>
        </w:rPr>
      </w:pPr>
      <w:r w:rsidRPr="00D33A79">
        <w:rPr>
          <w:szCs w:val="26"/>
        </w:rPr>
        <w:t>(May 22, 2026)</w:t>
      </w:r>
    </w:p>
    <w:p w:rsidR="00D33A79" w:rsidRPr="00D33A79" w:rsidP="00D33A79" w14:paraId="7868E5FF" w14:textId="77777777">
      <w:pPr>
        <w:rPr>
          <w:szCs w:val="26"/>
        </w:rPr>
      </w:pPr>
    </w:p>
    <w:p w:rsidR="000C0396" w:rsidRPr="000C0396" w:rsidP="000C0396" w14:paraId="17245B51" w14:textId="77777777">
      <w:pPr>
        <w:rPr>
          <w:szCs w:val="26"/>
        </w:rPr>
      </w:pPr>
    </w:p>
    <w:p w:rsidR="00F86890" w:rsidRPr="00A26B8A" w:rsidP="00CE64F2" w14:paraId="5DBCBBB1" w14:textId="77777777">
      <w:pPr>
        <w:spacing w:line="480" w:lineRule="auto"/>
        <w:rPr>
          <w:szCs w:val="26"/>
        </w:rPr>
      </w:pPr>
      <w:r w:rsidRPr="00A26B8A">
        <w:rPr>
          <w:b/>
          <w:szCs w:val="26"/>
        </w:rPr>
        <w:t>AGENCY</w:t>
      </w:r>
      <w:r w:rsidRPr="00A26B8A">
        <w:rPr>
          <w:b/>
          <w:szCs w:val="26"/>
        </w:rPr>
        <w:t>:</w:t>
      </w:r>
      <w:r w:rsidRPr="00A26B8A">
        <w:rPr>
          <w:szCs w:val="26"/>
        </w:rPr>
        <w:t xml:space="preserve">  Federal</w:t>
      </w:r>
      <w:r w:rsidRPr="00A26B8A">
        <w:rPr>
          <w:szCs w:val="26"/>
        </w:rPr>
        <w:t xml:space="preserve"> Energy Regulatory Commission.</w:t>
      </w:r>
    </w:p>
    <w:p w:rsidR="00F86890" w:rsidRPr="00A26B8A" w:rsidP="00CE64F2" w14:paraId="2C795D01" w14:textId="77777777">
      <w:pPr>
        <w:spacing w:line="480" w:lineRule="auto"/>
        <w:rPr>
          <w:szCs w:val="26"/>
        </w:rPr>
      </w:pPr>
      <w:r w:rsidRPr="00A26B8A">
        <w:rPr>
          <w:b/>
          <w:szCs w:val="26"/>
        </w:rPr>
        <w:t>ACTION</w:t>
      </w:r>
      <w:r w:rsidRPr="00A26B8A">
        <w:rPr>
          <w:b/>
          <w:szCs w:val="26"/>
        </w:rPr>
        <w:t>:</w:t>
      </w:r>
      <w:r w:rsidRPr="00A26B8A">
        <w:rPr>
          <w:szCs w:val="26"/>
        </w:rPr>
        <w:t xml:space="preserve">  Notice</w:t>
      </w:r>
      <w:r w:rsidRPr="00A26B8A">
        <w:rPr>
          <w:szCs w:val="26"/>
        </w:rPr>
        <w:t xml:space="preserve"> of information collection and request for comments.</w:t>
      </w:r>
    </w:p>
    <w:p w:rsidR="00F86890" w:rsidRPr="008041CD" w:rsidP="008041CD" w14:paraId="46F1B1D3" w14:textId="27F827A1">
      <w:pPr>
        <w:autoSpaceDE w:val="0"/>
        <w:autoSpaceDN w:val="0"/>
        <w:adjustRightInd w:val="0"/>
        <w:spacing w:line="480" w:lineRule="auto"/>
      </w:pPr>
      <w:r w:rsidRPr="00A26B8A">
        <w:rPr>
          <w:b/>
          <w:szCs w:val="26"/>
        </w:rPr>
        <w:t>SUMMARY</w:t>
      </w:r>
      <w:r w:rsidRPr="00A26B8A">
        <w:rPr>
          <w:b/>
          <w:szCs w:val="26"/>
        </w:rPr>
        <w:t>:</w:t>
      </w:r>
      <w:r w:rsidRPr="00A26B8A">
        <w:rPr>
          <w:szCs w:val="26"/>
        </w:rPr>
        <w:t xml:space="preserve">  In</w:t>
      </w:r>
      <w:r w:rsidRPr="00A26B8A">
        <w:rPr>
          <w:szCs w:val="26"/>
        </w:rPr>
        <w:t xml:space="preserve"> compliance with the requirements of </w:t>
      </w:r>
      <w:r w:rsidRPr="00A26B8A" w:rsidR="00DA7F57">
        <w:rPr>
          <w:szCs w:val="26"/>
        </w:rPr>
        <w:t xml:space="preserve">the </w:t>
      </w:r>
      <w:r w:rsidRPr="00A26B8A" w:rsidR="0005366B">
        <w:rPr>
          <w:szCs w:val="26"/>
        </w:rPr>
        <w:t>Paperwork Reduction Act of 1995</w:t>
      </w:r>
      <w:r w:rsidRPr="00A26B8A">
        <w:rPr>
          <w:szCs w:val="26"/>
        </w:rPr>
        <w:t xml:space="preserve">, the Federal Energy Regulatory Commission (Commission or FERC) is soliciting public comment on the </w:t>
      </w:r>
      <w:r w:rsidRPr="00A26B8A" w:rsidR="00E146ED">
        <w:rPr>
          <w:szCs w:val="26"/>
        </w:rPr>
        <w:t>currently ap</w:t>
      </w:r>
      <w:r w:rsidRPr="00A26B8A" w:rsidR="00E5116F">
        <w:rPr>
          <w:szCs w:val="26"/>
        </w:rPr>
        <w:t xml:space="preserve">proved information collection, </w:t>
      </w:r>
      <w:bookmarkStart w:id="0" w:name="_Hlk36637989"/>
      <w:r w:rsidRPr="00A26B8A" w:rsidR="00E5116F">
        <w:rPr>
          <w:szCs w:val="26"/>
        </w:rPr>
        <w:t>FERC-725T, Mandatory Reliability Standards for the Bulk-Power System: T</w:t>
      </w:r>
      <w:r w:rsidR="00E73898">
        <w:rPr>
          <w:szCs w:val="26"/>
        </w:rPr>
        <w:t xml:space="preserve">exas Reliability </w:t>
      </w:r>
      <w:r w:rsidRPr="00A26B8A" w:rsidR="00E5116F">
        <w:rPr>
          <w:szCs w:val="26"/>
        </w:rPr>
        <w:t>E</w:t>
      </w:r>
      <w:r w:rsidR="00E73898">
        <w:rPr>
          <w:szCs w:val="26"/>
        </w:rPr>
        <w:t>ntity (TRE)</w:t>
      </w:r>
      <w:r w:rsidRPr="00A26B8A" w:rsidR="00E5116F">
        <w:rPr>
          <w:szCs w:val="26"/>
        </w:rPr>
        <w:t xml:space="preserve"> Reliability Standards</w:t>
      </w:r>
      <w:bookmarkEnd w:id="0"/>
      <w:r w:rsidRPr="00A26B8A" w:rsidR="00E5116F">
        <w:rPr>
          <w:szCs w:val="26"/>
        </w:rPr>
        <w:t>.</w:t>
      </w:r>
      <w:r w:rsidR="008041CD">
        <w:rPr>
          <w:szCs w:val="26"/>
        </w:rPr>
        <w:t xml:space="preserve"> </w:t>
      </w:r>
      <w:r w:rsidR="008041CD">
        <w:t>The 60-day comment period ended on May 4, 2026, no comments were received.</w:t>
      </w:r>
    </w:p>
    <w:p w:rsidR="00F86890" w:rsidRPr="00A26B8A" w:rsidP="00CE64F2" w14:paraId="413FC9EA" w14:textId="018B811A">
      <w:pPr>
        <w:spacing w:line="480" w:lineRule="auto"/>
        <w:rPr>
          <w:szCs w:val="26"/>
        </w:rPr>
      </w:pPr>
      <w:r w:rsidRPr="00A26B8A">
        <w:rPr>
          <w:b/>
          <w:szCs w:val="26"/>
        </w:rPr>
        <w:t>DATES</w:t>
      </w:r>
      <w:r w:rsidRPr="00A26B8A">
        <w:rPr>
          <w:b/>
          <w:szCs w:val="26"/>
        </w:rPr>
        <w:t>:</w:t>
      </w:r>
      <w:r w:rsidRPr="00A26B8A">
        <w:rPr>
          <w:szCs w:val="26"/>
        </w:rPr>
        <w:t xml:space="preserve">  Comments</w:t>
      </w:r>
      <w:r w:rsidRPr="00A26B8A">
        <w:rPr>
          <w:szCs w:val="26"/>
        </w:rPr>
        <w:t xml:space="preserve"> </w:t>
      </w:r>
      <w:r w:rsidRPr="00A26B8A" w:rsidR="00DA7F57">
        <w:rPr>
          <w:szCs w:val="26"/>
        </w:rPr>
        <w:t>on</w:t>
      </w:r>
      <w:r w:rsidRPr="00A26B8A">
        <w:rPr>
          <w:szCs w:val="26"/>
        </w:rPr>
        <w:t xml:space="preserve"> the collection of information are due </w:t>
      </w:r>
      <w:r w:rsidRPr="00A26B8A">
        <w:rPr>
          <w:b/>
          <w:szCs w:val="26"/>
        </w:rPr>
        <w:t>[</w:t>
      </w:r>
      <w:r w:rsidR="00D33A79">
        <w:rPr>
          <w:b/>
          <w:szCs w:val="26"/>
        </w:rPr>
        <w:t>I</w:t>
      </w:r>
      <w:r w:rsidRPr="00A26B8A" w:rsidR="00D33A79">
        <w:rPr>
          <w:b/>
          <w:szCs w:val="26"/>
        </w:rPr>
        <w:t xml:space="preserve">NSERT DATE </w:t>
      </w:r>
      <w:r w:rsidR="00D33A79">
        <w:rPr>
          <w:b/>
          <w:szCs w:val="26"/>
        </w:rPr>
        <w:t>3</w:t>
      </w:r>
      <w:r w:rsidRPr="00A26B8A" w:rsidR="00D33A79">
        <w:rPr>
          <w:b/>
          <w:szCs w:val="26"/>
        </w:rPr>
        <w:t>0 DAYS AFTER DATE OF PUBLICATION IN THE FEDERAL REGISTER</w:t>
      </w:r>
      <w:r w:rsidRPr="00A26B8A">
        <w:rPr>
          <w:b/>
          <w:szCs w:val="26"/>
        </w:rPr>
        <w:t>]</w:t>
      </w:r>
      <w:r w:rsidRPr="00A26B8A">
        <w:rPr>
          <w:szCs w:val="26"/>
        </w:rPr>
        <w:t xml:space="preserve">. </w:t>
      </w:r>
    </w:p>
    <w:p w:rsidR="004326C4" w:rsidRPr="00132DCD" w:rsidP="004326C4" w14:paraId="32D87A1C" w14:textId="49802938">
      <w:pPr>
        <w:spacing w:line="480" w:lineRule="auto"/>
      </w:pPr>
      <w:bookmarkStart w:id="1" w:name="OLE_LINK1"/>
      <w:r w:rsidRPr="5791CE72">
        <w:rPr>
          <w:b/>
          <w:bCs/>
        </w:rPr>
        <w:t>ADDRESSES:</w:t>
      </w:r>
      <w:r>
        <w:t xml:space="preserve">  Send written comments on FERC-725T to OMB through </w:t>
      </w:r>
      <w:hyperlink r:id="rId11">
        <w:r w:rsidRPr="5791CE72">
          <w:rPr>
            <w:rStyle w:val="Hyperlink"/>
          </w:rPr>
          <w:t>https://www.reginfo.gov/public/do/PRA/icrPublicCommentRequest?ref_nbr=202604-1902-009</w:t>
        </w:r>
      </w:hyperlink>
      <w:r>
        <w:t xml:space="preserve">.  You can also visit </w:t>
      </w:r>
      <w:hyperlink r:id="rId12">
        <w:r w:rsidRPr="5791CE72">
          <w:rPr>
            <w:color w:val="0000FF"/>
            <w:u w:val="single"/>
          </w:rPr>
          <w:t>https://www.reginfo.gov/public/do/PRAMain</w:t>
        </w:r>
      </w:hyperlink>
      <w:r>
        <w:t xml:space="preserve"> and use the drop-down under “Currently under Review” to select the “Federal Energy Regulatory Commission” where you can see the open opportunities to provide comments. Comments should be sent within 30 days of publication of this notice. </w:t>
      </w:r>
    </w:p>
    <w:p w:rsidR="004326C4" w:rsidRPr="00132DCD" w:rsidP="004326C4" w14:paraId="35D14B5B" w14:textId="32A5E08D">
      <w:pPr>
        <w:spacing w:line="480" w:lineRule="auto"/>
      </w:pPr>
      <w:r w:rsidRPr="00132DCD">
        <w:t xml:space="preserve">Please submit a copy of your comments to the Commission via email to </w:t>
      </w:r>
      <w:hyperlink r:id="rId13" w:tgtFrame="_blank" w:history="1">
        <w:r w:rsidRPr="00132DCD">
          <w:rPr>
            <w:color w:val="0000FF"/>
            <w:u w:val="single"/>
          </w:rPr>
          <w:t>DataClearance@FERC.gov</w:t>
        </w:r>
      </w:hyperlink>
      <w:r w:rsidRPr="00132DCD">
        <w:t>. You must specify Docket No. (IC26-</w:t>
      </w:r>
      <w:r>
        <w:t>22</w:t>
      </w:r>
      <w:r w:rsidRPr="00132DCD">
        <w:t>-000) and the FERC Information Collection number (FERC-725</w:t>
      </w:r>
      <w:r>
        <w:t>T</w:t>
      </w:r>
      <w:r w:rsidRPr="00132DCD">
        <w:t>) in your email. If you are unable to file electronically, comments may be filed by USPS mail or by hand (including courier) delivery: </w:t>
      </w:r>
    </w:p>
    <w:p w:rsidR="004326C4" w:rsidRPr="00132DCD" w:rsidP="004326C4" w14:paraId="3944AAF7" w14:textId="77777777">
      <w:pPr>
        <w:numPr>
          <w:ilvl w:val="0"/>
          <w:numId w:val="8"/>
        </w:numPr>
        <w:spacing w:line="480" w:lineRule="auto"/>
      </w:pPr>
      <w:r w:rsidRPr="00132DCD">
        <w:t>Mail via U.S. Postal Service Only: Federal Energy Regulatory Commission, Secretary of the Commission, 888 First Street, N.E., Washington, DC 20426. </w:t>
      </w:r>
    </w:p>
    <w:p w:rsidR="004326C4" w:rsidRPr="00132DCD" w:rsidP="004326C4" w14:paraId="1A5F9575" w14:textId="77777777">
      <w:pPr>
        <w:numPr>
          <w:ilvl w:val="0"/>
          <w:numId w:val="9"/>
        </w:numPr>
        <w:spacing w:line="480" w:lineRule="auto"/>
      </w:pPr>
      <w:r w:rsidRPr="00132DCD">
        <w:t>All other delivery methods: Federal Energy Regulatory Commission, Secretary of the Commission, 12225 Wilkins Avenue, Rockville, MD 20852. </w:t>
      </w:r>
    </w:p>
    <w:p w:rsidR="00D76D45" w:rsidRPr="004326C4" w:rsidP="006902C3" w14:paraId="03A3BE23" w14:textId="2F243071">
      <w:pPr>
        <w:spacing w:line="480" w:lineRule="auto"/>
      </w:pPr>
      <w:r w:rsidRPr="00132DCD">
        <w:rPr>
          <w:i/>
          <w:iCs/>
        </w:rPr>
        <w:t>Docket</w:t>
      </w:r>
      <w:r w:rsidRPr="00132DCD">
        <w:t xml:space="preserve">:  To view comments and issuances in this docket, please visit </w:t>
      </w:r>
      <w:hyperlink r:id="rId14" w:tgtFrame="_blank" w:history="1">
        <w:r w:rsidRPr="00132DCD">
          <w:rPr>
            <w:color w:val="0000FF"/>
            <w:u w:val="single"/>
          </w:rPr>
          <w:t>https://elibrary.ferc.gov/eLibrary/search</w:t>
        </w:r>
      </w:hyperlink>
      <w:r w:rsidRPr="00132DCD">
        <w:t>. Once there, you can also sign up for automatic notification of activity in this docket.  </w:t>
      </w:r>
      <w:r w:rsidRPr="00A26B8A" w:rsidR="00241BFD">
        <w:rPr>
          <w:szCs w:val="26"/>
        </w:rPr>
        <w:t xml:space="preserve"> </w:t>
      </w:r>
    </w:p>
    <w:bookmarkEnd w:id="1"/>
    <w:p w:rsidR="00F86890" w:rsidRPr="00A26B8A" w:rsidP="00CE64F2" w14:paraId="3BC1FAAA" w14:textId="4169B218">
      <w:pPr>
        <w:spacing w:line="480" w:lineRule="auto"/>
        <w:rPr>
          <w:szCs w:val="26"/>
        </w:rPr>
      </w:pPr>
      <w:r w:rsidRPr="00A26B8A">
        <w:rPr>
          <w:b/>
          <w:szCs w:val="26"/>
        </w:rPr>
        <w:t>FOR FURTHER INFORMATION</w:t>
      </w:r>
      <w:r w:rsidR="003B4FE5">
        <w:rPr>
          <w:b/>
          <w:szCs w:val="26"/>
        </w:rPr>
        <w:t xml:space="preserve"> CONTACT</w:t>
      </w:r>
      <w:r w:rsidRPr="00A26B8A">
        <w:rPr>
          <w:b/>
          <w:szCs w:val="26"/>
        </w:rPr>
        <w:t>:</w:t>
      </w:r>
      <w:r w:rsidRPr="00A26B8A">
        <w:rPr>
          <w:szCs w:val="26"/>
        </w:rPr>
        <w:t xml:space="preserve">  </w:t>
      </w:r>
      <w:r>
        <w:rPr>
          <w:szCs w:val="26"/>
        </w:rPr>
        <w:t>Contact: Kayla Williams</w:t>
      </w:r>
      <w:r w:rsidRPr="00A26B8A">
        <w:rPr>
          <w:szCs w:val="26"/>
        </w:rPr>
        <w:t xml:space="preserve"> at </w:t>
      </w:r>
      <w:r>
        <w:fldChar w:fldCharType="begin"/>
      </w:r>
      <w:r w:rsidRPr="00A26B8A" w:rsidR="00C56512">
        <w:rPr>
          <w:rStyle w:val="Hyperlink"/>
          <w:szCs w:val="26"/>
        </w:rPr>
        <w:instrText xml:space="preserve"> HYPERLINK "mailto:DataClearance@FERC.gov" </w:instrText>
      </w:r>
      <w:r>
        <w:fldChar w:fldCharType="separate"/>
      </w:r>
      <w:r w:rsidRPr="00A26B8A" w:rsidR="00C56512">
        <w:rPr>
          <w:rStyle w:val="Hyperlink"/>
          <w:szCs w:val="26"/>
        </w:rPr>
        <w:t>DataClearance@FERC.gov</w:t>
      </w:r>
      <w:r>
        <w:fldChar w:fldCharType="end"/>
      </w:r>
      <w:r w:rsidRPr="00A26B8A">
        <w:rPr>
          <w:szCs w:val="26"/>
        </w:rPr>
        <w:t>, telephone at (202) 502-</w:t>
      </w:r>
      <w:r>
        <w:rPr>
          <w:szCs w:val="26"/>
        </w:rPr>
        <w:t>6468</w:t>
      </w:r>
      <w:r w:rsidRPr="00A26B8A">
        <w:rPr>
          <w:szCs w:val="26"/>
        </w:rPr>
        <w:t>.</w:t>
      </w:r>
    </w:p>
    <w:p w:rsidR="00C056FE" w:rsidRPr="00A26B8A" w:rsidP="00CE64F2" w14:paraId="1BBA1D35" w14:textId="77777777">
      <w:pPr>
        <w:spacing w:line="480" w:lineRule="auto"/>
        <w:rPr>
          <w:szCs w:val="26"/>
        </w:rPr>
      </w:pPr>
      <w:r w:rsidRPr="00A26B8A">
        <w:rPr>
          <w:szCs w:val="26"/>
        </w:rPr>
        <w:t xml:space="preserve"> </w:t>
      </w:r>
      <w:r w:rsidRPr="00A26B8A">
        <w:rPr>
          <w:b/>
          <w:szCs w:val="26"/>
        </w:rPr>
        <w:t>SUPPLEMENTARY INFORMATION:</w:t>
      </w:r>
      <w:r w:rsidRPr="00A26B8A">
        <w:rPr>
          <w:szCs w:val="26"/>
        </w:rPr>
        <w:t xml:space="preserve">  </w:t>
      </w:r>
    </w:p>
    <w:p w:rsidR="00C056FE" w:rsidRPr="00A26B8A" w:rsidP="00CE64F2" w14:paraId="4DFF3EBD" w14:textId="3CCCF94E">
      <w:pPr>
        <w:spacing w:line="480" w:lineRule="auto"/>
        <w:rPr>
          <w:i/>
          <w:szCs w:val="26"/>
        </w:rPr>
      </w:pPr>
      <w:r w:rsidRPr="00A26B8A">
        <w:rPr>
          <w:i/>
          <w:szCs w:val="26"/>
        </w:rPr>
        <w:t>Title:</w:t>
      </w:r>
      <w:r w:rsidRPr="00A26B8A" w:rsidR="00CD787F">
        <w:rPr>
          <w:i/>
          <w:szCs w:val="26"/>
        </w:rPr>
        <w:t xml:space="preserve"> </w:t>
      </w:r>
      <w:r w:rsidRPr="00A26B8A" w:rsidR="00BF05A6">
        <w:rPr>
          <w:szCs w:val="26"/>
        </w:rPr>
        <w:t xml:space="preserve">FERC-725T, </w:t>
      </w:r>
      <w:r w:rsidRPr="00A26B8A" w:rsidR="00E5116F">
        <w:rPr>
          <w:szCs w:val="26"/>
        </w:rPr>
        <w:t>Mandatory Reliability Standards for the Bulk-Power System: TRE</w:t>
      </w:r>
      <w:r w:rsidR="00E73898">
        <w:t xml:space="preserve"> </w:t>
      </w:r>
      <w:r w:rsidRPr="00A26B8A" w:rsidR="00E5116F">
        <w:rPr>
          <w:szCs w:val="26"/>
        </w:rPr>
        <w:t>Reliability Standards</w:t>
      </w:r>
      <w:r w:rsidR="0001732C">
        <w:rPr>
          <w:szCs w:val="26"/>
        </w:rPr>
        <w:t xml:space="preserve"> </w:t>
      </w:r>
      <w:r w:rsidR="007D387A">
        <w:rPr>
          <w:szCs w:val="26"/>
        </w:rPr>
        <w:t>BAL-001-TRE-2 (Primary Frequency Response in the ERCOT Region)</w:t>
      </w:r>
      <w:r w:rsidRPr="00A26B8A" w:rsidR="00E5116F">
        <w:rPr>
          <w:szCs w:val="26"/>
        </w:rPr>
        <w:t>.</w:t>
      </w:r>
    </w:p>
    <w:p w:rsidR="00C056FE" w:rsidRPr="00A26B8A" w:rsidP="00CE64F2" w14:paraId="5416B33F" w14:textId="77777777">
      <w:pPr>
        <w:spacing w:line="480" w:lineRule="auto"/>
        <w:rPr>
          <w:szCs w:val="26"/>
        </w:rPr>
      </w:pPr>
      <w:r w:rsidRPr="00A26B8A">
        <w:rPr>
          <w:i/>
          <w:szCs w:val="26"/>
        </w:rPr>
        <w:t>OMB Control No.:</w:t>
      </w:r>
      <w:r w:rsidRPr="00A26B8A" w:rsidR="00F50EDA">
        <w:rPr>
          <w:szCs w:val="26"/>
        </w:rPr>
        <w:t xml:space="preserve"> </w:t>
      </w:r>
      <w:r w:rsidRPr="00A26B8A" w:rsidR="00E5116F">
        <w:rPr>
          <w:szCs w:val="26"/>
        </w:rPr>
        <w:t>1902-0273</w:t>
      </w:r>
    </w:p>
    <w:p w:rsidR="00C056FE" w:rsidRPr="00A26B8A" w:rsidP="00CE64F2" w14:paraId="05E768E2" w14:textId="77777777">
      <w:pPr>
        <w:spacing w:line="480" w:lineRule="auto"/>
        <w:rPr>
          <w:szCs w:val="26"/>
        </w:rPr>
      </w:pPr>
      <w:r w:rsidRPr="00A26B8A">
        <w:rPr>
          <w:i/>
          <w:szCs w:val="26"/>
        </w:rPr>
        <w:t>Type of Request:</w:t>
      </w:r>
      <w:r w:rsidRPr="00A26B8A">
        <w:rPr>
          <w:szCs w:val="26"/>
        </w:rPr>
        <w:t xml:space="preserve"> Three-year extension of the FERC-</w:t>
      </w:r>
      <w:r w:rsidRPr="00A26B8A" w:rsidR="00E5116F">
        <w:rPr>
          <w:szCs w:val="26"/>
        </w:rPr>
        <w:t>725T</w:t>
      </w:r>
      <w:r w:rsidRPr="00A26B8A">
        <w:rPr>
          <w:szCs w:val="26"/>
        </w:rPr>
        <w:t xml:space="preserve"> information collection </w:t>
      </w:r>
      <w:r w:rsidRPr="00A26B8A" w:rsidR="009447D3">
        <w:rPr>
          <w:szCs w:val="26"/>
        </w:rPr>
        <w:t xml:space="preserve">requirements with no changes to the current reporting requirements. </w:t>
      </w:r>
    </w:p>
    <w:p w:rsidR="00E5116F" w:rsidRPr="00A26B8A" w:rsidP="00E5116F" w14:paraId="19AF5648" w14:textId="77777777">
      <w:pPr>
        <w:spacing w:line="480" w:lineRule="auto"/>
        <w:rPr>
          <w:szCs w:val="26"/>
        </w:rPr>
      </w:pPr>
      <w:r w:rsidRPr="00A26B8A">
        <w:rPr>
          <w:i/>
          <w:szCs w:val="26"/>
        </w:rPr>
        <w:t>Abstract</w:t>
      </w:r>
      <w:r w:rsidRPr="00A26B8A">
        <w:rPr>
          <w:i/>
          <w:szCs w:val="26"/>
        </w:rPr>
        <w:t xml:space="preserve">: </w:t>
      </w:r>
      <w:r w:rsidRPr="00A26B8A">
        <w:rPr>
          <w:szCs w:val="26"/>
        </w:rPr>
        <w:t xml:space="preserve"> </w:t>
      </w:r>
      <w:r w:rsidRPr="00A26B8A" w:rsidR="00F75AAC">
        <w:rPr>
          <w:szCs w:val="26"/>
        </w:rPr>
        <w:t>TRE</w:t>
      </w:r>
      <w:r w:rsidRPr="00A26B8A" w:rsidR="00F75AAC">
        <w:rPr>
          <w:szCs w:val="26"/>
        </w:rPr>
        <w:t xml:space="preserve"> </w:t>
      </w:r>
      <w:r w:rsidRPr="00A26B8A">
        <w:rPr>
          <w:szCs w:val="26"/>
        </w:rPr>
        <w:t>Reliability Standard</w:t>
      </w:r>
      <w:r w:rsidRPr="00A26B8A" w:rsidR="00F75AAC">
        <w:rPr>
          <w:szCs w:val="26"/>
        </w:rPr>
        <w:t>s</w:t>
      </w:r>
      <w:r w:rsidRPr="00A26B8A">
        <w:rPr>
          <w:szCs w:val="26"/>
        </w:rPr>
        <w:t xml:space="preserve"> appl</w:t>
      </w:r>
      <w:r w:rsidRPr="00A26B8A" w:rsidR="00F75AAC">
        <w:rPr>
          <w:szCs w:val="26"/>
        </w:rPr>
        <w:t>y</w:t>
      </w:r>
      <w:r w:rsidRPr="00A26B8A">
        <w:rPr>
          <w:szCs w:val="26"/>
        </w:rPr>
        <w:t xml:space="preserve"> to entities registered as Generator Owners (GOs), Generator Operators (GOPs), and Balancing Autho</w:t>
      </w:r>
      <w:r w:rsidRPr="00A26B8A" w:rsidR="00906D4D">
        <w:rPr>
          <w:szCs w:val="26"/>
        </w:rPr>
        <w:t>rities (BAs) within the Texas Reliability Entity</w:t>
      </w:r>
      <w:r w:rsidRPr="00A26B8A">
        <w:rPr>
          <w:szCs w:val="26"/>
        </w:rPr>
        <w:t xml:space="preserve"> region.  </w:t>
      </w:r>
    </w:p>
    <w:p w:rsidR="00E5116F" w:rsidRPr="00A26B8A" w:rsidP="00E5116F" w14:paraId="768DDA20" w14:textId="77777777">
      <w:pPr>
        <w:spacing w:line="480" w:lineRule="auto"/>
        <w:rPr>
          <w:szCs w:val="26"/>
        </w:rPr>
      </w:pPr>
      <w:r w:rsidRPr="00A26B8A">
        <w:rPr>
          <w:szCs w:val="26"/>
        </w:rPr>
        <w:tab/>
        <w:t>The information collection requirements entail the setting or configuration of the Control System software, identification and recording of events, data retention, and submitting frequency measurable events to the compliance enforcement authority (Regional Entity or NERC).</w:t>
      </w:r>
    </w:p>
    <w:p w:rsidR="00C36B6B" w:rsidRPr="00A26B8A" w:rsidP="00E5116F" w14:paraId="3AF5F2E3" w14:textId="1E84F763">
      <w:pPr>
        <w:spacing w:line="480" w:lineRule="auto"/>
        <w:rPr>
          <w:szCs w:val="26"/>
        </w:rPr>
      </w:pPr>
      <w:r w:rsidRPr="00A26B8A">
        <w:rPr>
          <w:szCs w:val="26"/>
        </w:rPr>
        <w:tab/>
        <w:t>Submitting frequency measurable events</w:t>
      </w:r>
      <w:r w:rsidR="009F03BE">
        <w:rPr>
          <w:szCs w:val="26"/>
        </w:rPr>
        <w:t xml:space="preserve"> </w:t>
      </w:r>
      <w:r w:rsidR="009F03BE">
        <w:rPr>
          <w:szCs w:val="26"/>
        </w:rPr>
        <w:t>-</w:t>
      </w:r>
      <w:r w:rsidRPr="00A26B8A">
        <w:rPr>
          <w:szCs w:val="26"/>
        </w:rPr>
        <w:t xml:space="preserve">  </w:t>
      </w:r>
      <w:r w:rsidRPr="00A26B8A" w:rsidR="00412C32">
        <w:rPr>
          <w:szCs w:val="26"/>
        </w:rPr>
        <w:t>T</w:t>
      </w:r>
      <w:r w:rsidRPr="00A26B8A">
        <w:rPr>
          <w:szCs w:val="26"/>
        </w:rPr>
        <w:t>he</w:t>
      </w:r>
      <w:r w:rsidRPr="00A26B8A">
        <w:rPr>
          <w:szCs w:val="26"/>
        </w:rPr>
        <w:t xml:space="preserve"> BA</w:t>
      </w:r>
      <w:r w:rsidR="00E73898">
        <w:rPr>
          <w:szCs w:val="26"/>
        </w:rPr>
        <w:t xml:space="preserve"> is required to</w:t>
      </w:r>
      <w:r w:rsidRPr="00A26B8A">
        <w:rPr>
          <w:szCs w:val="26"/>
        </w:rPr>
        <w:t xml:space="preserve"> identify and post information regarding Frequency Measurable Events (FME).  Further, the BA </w:t>
      </w:r>
      <w:r w:rsidR="00E73898">
        <w:rPr>
          <w:szCs w:val="26"/>
        </w:rPr>
        <w:t>must</w:t>
      </w:r>
      <w:r w:rsidRPr="00A26B8A">
        <w:rPr>
          <w:szCs w:val="26"/>
        </w:rPr>
        <w:t xml:space="preserve"> calculate and report to the Compliance Enforcement Authority data related to Primary Frequency Response (PFR) performance of each generating unit/generating facility.</w:t>
      </w:r>
    </w:p>
    <w:p w:rsidR="00E5116F" w:rsidRPr="00A26B8A" w:rsidP="00E5116F" w14:paraId="0873D2A6" w14:textId="6E134078">
      <w:pPr>
        <w:spacing w:line="480" w:lineRule="auto"/>
        <w:rPr>
          <w:szCs w:val="26"/>
          <w:u w:val="single"/>
        </w:rPr>
      </w:pPr>
      <w:r w:rsidRPr="00A26B8A">
        <w:rPr>
          <w:szCs w:val="26"/>
        </w:rPr>
        <w:tab/>
        <w:t>Data retention</w:t>
      </w:r>
      <w:r w:rsidR="009F03BE">
        <w:rPr>
          <w:szCs w:val="26"/>
        </w:rPr>
        <w:t xml:space="preserve"> -</w:t>
      </w:r>
      <w:r w:rsidRPr="00A26B8A">
        <w:rPr>
          <w:szCs w:val="26"/>
        </w:rPr>
        <w:t xml:space="preserve"> The BA, GO, and GOP shall keep data or evidence to show compliance, as identified below, unless directed by its Compliance Enforcement Authority to retain specific evidence for a longer </w:t>
      </w:r>
      <w:r w:rsidRPr="00A26B8A">
        <w:rPr>
          <w:szCs w:val="26"/>
        </w:rPr>
        <w:t>period of time</w:t>
      </w:r>
      <w:r w:rsidRPr="00A26B8A">
        <w:rPr>
          <w:szCs w:val="26"/>
        </w:rPr>
        <w:t xml:space="preserve"> as part of an investigation.  Compliance audits are generally about three years apart.</w:t>
      </w:r>
    </w:p>
    <w:p w:rsidR="00E5116F" w:rsidRPr="00A26B8A" w:rsidP="00E5116F" w14:paraId="5E64D829" w14:textId="77777777">
      <w:pPr>
        <w:numPr>
          <w:ilvl w:val="0"/>
          <w:numId w:val="4"/>
        </w:numPr>
        <w:spacing w:line="480" w:lineRule="auto"/>
        <w:rPr>
          <w:szCs w:val="26"/>
        </w:rPr>
      </w:pPr>
      <w:r w:rsidRPr="00A26B8A">
        <w:rPr>
          <w:szCs w:val="26"/>
        </w:rPr>
        <w:t xml:space="preserve">The BA shall retain a list of identified Frequency Measurable Events and shall retain FME information </w:t>
      </w:r>
      <w:r w:rsidRPr="00A26B8A">
        <w:rPr>
          <w:szCs w:val="26"/>
        </w:rPr>
        <w:t>since</w:t>
      </w:r>
      <w:r w:rsidRPr="00A26B8A">
        <w:rPr>
          <w:szCs w:val="26"/>
        </w:rPr>
        <w:t xml:space="preserve"> its last compliance audit.</w:t>
      </w:r>
    </w:p>
    <w:p w:rsidR="00E5116F" w:rsidRPr="00A26B8A" w:rsidP="00E5116F" w14:paraId="5DC57D07" w14:textId="77777777">
      <w:pPr>
        <w:numPr>
          <w:ilvl w:val="0"/>
          <w:numId w:val="4"/>
        </w:numPr>
        <w:spacing w:line="480" w:lineRule="auto"/>
        <w:rPr>
          <w:szCs w:val="26"/>
        </w:rPr>
      </w:pPr>
      <w:r w:rsidRPr="00A26B8A">
        <w:rPr>
          <w:szCs w:val="26"/>
        </w:rPr>
        <w:t>The BA shall retain all monthly PFR performance reports since its last compliance audit</w:t>
      </w:r>
      <w:r w:rsidRPr="00A26B8A" w:rsidR="00412C32">
        <w:rPr>
          <w:szCs w:val="26"/>
        </w:rPr>
        <w:t>.</w:t>
      </w:r>
    </w:p>
    <w:p w:rsidR="00E5116F" w:rsidRPr="00A26B8A" w:rsidP="00E5116F" w14:paraId="7C5A511A" w14:textId="77777777">
      <w:pPr>
        <w:numPr>
          <w:ilvl w:val="0"/>
          <w:numId w:val="4"/>
        </w:numPr>
        <w:spacing w:line="480" w:lineRule="auto"/>
        <w:rPr>
          <w:szCs w:val="26"/>
        </w:rPr>
      </w:pPr>
      <w:r w:rsidRPr="00A26B8A">
        <w:rPr>
          <w:szCs w:val="26"/>
        </w:rPr>
        <w:t>The BA shall retain all annual Interconnection minimum Frequency Response calculations, and related methodology and criteria documents, relating to time periods since its last compliance audit</w:t>
      </w:r>
      <w:r w:rsidRPr="00A26B8A" w:rsidR="00412C32">
        <w:rPr>
          <w:szCs w:val="26"/>
        </w:rPr>
        <w:t>.</w:t>
      </w:r>
    </w:p>
    <w:p w:rsidR="00E5116F" w:rsidRPr="00A26B8A" w:rsidP="00E5116F" w14:paraId="2FE6514D" w14:textId="77777777">
      <w:pPr>
        <w:numPr>
          <w:ilvl w:val="0"/>
          <w:numId w:val="4"/>
        </w:numPr>
        <w:spacing w:line="480" w:lineRule="auto"/>
        <w:rPr>
          <w:szCs w:val="26"/>
        </w:rPr>
      </w:pPr>
      <w:r w:rsidRPr="00A26B8A">
        <w:rPr>
          <w:szCs w:val="26"/>
        </w:rPr>
        <w:t>The BA shall retain all data and calculations relating to the Interconnection’s Frequency Response, and all evidence of actions taken to increase the Interconnection’s Frequency Response, since its last compliance audit.</w:t>
      </w:r>
    </w:p>
    <w:p w:rsidR="005B11C5" w:rsidRPr="005B11C5" w:rsidP="005B11C5" w14:paraId="236099CC" w14:textId="101E94B7">
      <w:pPr>
        <w:numPr>
          <w:ilvl w:val="0"/>
          <w:numId w:val="4"/>
        </w:numPr>
        <w:spacing w:line="480" w:lineRule="auto"/>
        <w:rPr>
          <w:szCs w:val="26"/>
        </w:rPr>
      </w:pPr>
      <w:r w:rsidRPr="00A26B8A">
        <w:rPr>
          <w:szCs w:val="26"/>
        </w:rPr>
        <w:t xml:space="preserve">Each GOP </w:t>
      </w:r>
      <w:r w:rsidR="00A26B8A">
        <w:rPr>
          <w:szCs w:val="26"/>
        </w:rPr>
        <w:t xml:space="preserve">and GO </w:t>
      </w:r>
      <w:r w:rsidRPr="00A26B8A">
        <w:rPr>
          <w:szCs w:val="26"/>
        </w:rPr>
        <w:t xml:space="preserve">shall retain evidence </w:t>
      </w:r>
      <w:r w:rsidRPr="00A26B8A">
        <w:rPr>
          <w:szCs w:val="26"/>
        </w:rPr>
        <w:t>since</w:t>
      </w:r>
      <w:r w:rsidRPr="00A26B8A">
        <w:rPr>
          <w:szCs w:val="26"/>
        </w:rPr>
        <w:t xml:space="preserve"> its last compliance audit</w:t>
      </w:r>
      <w:r w:rsidRPr="00A26B8A" w:rsidR="00412C32">
        <w:rPr>
          <w:szCs w:val="26"/>
        </w:rPr>
        <w:t>.</w:t>
      </w:r>
    </w:p>
    <w:p w:rsidR="009679E3" w:rsidRPr="00A26B8A" w:rsidP="00CE64F2" w14:paraId="23996D0D" w14:textId="63951061">
      <w:pPr>
        <w:spacing w:line="480" w:lineRule="auto"/>
        <w:rPr>
          <w:szCs w:val="26"/>
        </w:rPr>
      </w:pPr>
      <w:r w:rsidRPr="00A26B8A">
        <w:rPr>
          <w:i/>
          <w:szCs w:val="26"/>
        </w:rPr>
        <w:t xml:space="preserve">Type of Respondents: </w:t>
      </w:r>
      <w:r w:rsidRPr="00A26B8A" w:rsidR="00E5116F">
        <w:rPr>
          <w:szCs w:val="26"/>
        </w:rPr>
        <w:t>NERC Registered entities</w:t>
      </w:r>
      <w:r w:rsidR="00A26B8A">
        <w:rPr>
          <w:szCs w:val="26"/>
        </w:rPr>
        <w:t xml:space="preserve">: </w:t>
      </w:r>
      <w:r w:rsidRPr="00A26B8A" w:rsidR="00E5116F">
        <w:rPr>
          <w:szCs w:val="26"/>
        </w:rPr>
        <w:t xml:space="preserve"> </w:t>
      </w:r>
      <w:r w:rsidR="00A26B8A">
        <w:rPr>
          <w:szCs w:val="26"/>
        </w:rPr>
        <w:t>B</w:t>
      </w:r>
      <w:r w:rsidRPr="00A26B8A" w:rsidR="00E5116F">
        <w:rPr>
          <w:szCs w:val="26"/>
        </w:rPr>
        <w:t>alancing</w:t>
      </w:r>
      <w:r w:rsidRPr="00A26B8A" w:rsidR="00E5116F">
        <w:rPr>
          <w:szCs w:val="26"/>
        </w:rPr>
        <w:t xml:space="preserve"> </w:t>
      </w:r>
      <w:r w:rsidR="00A26B8A">
        <w:rPr>
          <w:szCs w:val="26"/>
        </w:rPr>
        <w:t>Au</w:t>
      </w:r>
      <w:r w:rsidRPr="00A26B8A" w:rsidR="00E5116F">
        <w:rPr>
          <w:szCs w:val="26"/>
        </w:rPr>
        <w:t>thorities</w:t>
      </w:r>
      <w:r w:rsidR="005B11C5">
        <w:rPr>
          <w:szCs w:val="26"/>
        </w:rPr>
        <w:t xml:space="preserve"> (BA)</w:t>
      </w:r>
      <w:r w:rsidRPr="00A26B8A" w:rsidR="00E5116F">
        <w:rPr>
          <w:szCs w:val="26"/>
        </w:rPr>
        <w:t xml:space="preserve">, </w:t>
      </w:r>
      <w:r w:rsidR="00A26B8A">
        <w:rPr>
          <w:szCs w:val="26"/>
        </w:rPr>
        <w:t>G</w:t>
      </w:r>
      <w:r w:rsidRPr="00A26B8A" w:rsidR="00E5116F">
        <w:rPr>
          <w:szCs w:val="26"/>
        </w:rPr>
        <w:t xml:space="preserve">enerator </w:t>
      </w:r>
      <w:r w:rsidR="00A26B8A">
        <w:rPr>
          <w:szCs w:val="26"/>
        </w:rPr>
        <w:t>O</w:t>
      </w:r>
      <w:r w:rsidRPr="00A26B8A" w:rsidR="00E5116F">
        <w:rPr>
          <w:szCs w:val="26"/>
        </w:rPr>
        <w:t>wners</w:t>
      </w:r>
      <w:r w:rsidR="005B11C5">
        <w:rPr>
          <w:szCs w:val="26"/>
        </w:rPr>
        <w:t xml:space="preserve"> (GO)</w:t>
      </w:r>
      <w:r w:rsidRPr="00A26B8A" w:rsidR="00E5116F">
        <w:rPr>
          <w:szCs w:val="26"/>
        </w:rPr>
        <w:t xml:space="preserve">, </w:t>
      </w:r>
      <w:r w:rsidR="00A26B8A">
        <w:rPr>
          <w:szCs w:val="26"/>
        </w:rPr>
        <w:t>G</w:t>
      </w:r>
      <w:r w:rsidRPr="00A26B8A" w:rsidR="00E5116F">
        <w:rPr>
          <w:szCs w:val="26"/>
        </w:rPr>
        <w:t xml:space="preserve">enerator </w:t>
      </w:r>
      <w:r w:rsidR="00A26B8A">
        <w:rPr>
          <w:szCs w:val="26"/>
        </w:rPr>
        <w:t>O</w:t>
      </w:r>
      <w:r w:rsidRPr="00A26B8A" w:rsidR="00E5116F">
        <w:rPr>
          <w:szCs w:val="26"/>
        </w:rPr>
        <w:t>perators</w:t>
      </w:r>
      <w:r w:rsidR="005B11C5">
        <w:rPr>
          <w:szCs w:val="26"/>
        </w:rPr>
        <w:t xml:space="preserve"> (GOP)</w:t>
      </w:r>
      <w:r w:rsidRPr="00A26B8A" w:rsidR="00E5116F">
        <w:rPr>
          <w:szCs w:val="26"/>
        </w:rPr>
        <w:t>.</w:t>
      </w:r>
      <w:r w:rsidRPr="00A26B8A">
        <w:rPr>
          <w:szCs w:val="26"/>
        </w:rPr>
        <w:t xml:space="preserve"> </w:t>
      </w:r>
    </w:p>
    <w:p w:rsidR="00696A1D" w:rsidRPr="00A26B8A" w:rsidP="00696A1D" w14:paraId="4FF94F15" w14:textId="6DC75198">
      <w:pPr>
        <w:spacing w:line="480" w:lineRule="auto"/>
        <w:rPr>
          <w:szCs w:val="26"/>
        </w:rPr>
      </w:pPr>
      <w:r w:rsidRPr="00A26B8A">
        <w:rPr>
          <w:i/>
          <w:szCs w:val="26"/>
        </w:rPr>
        <w:t>Estimate of Annual Burden</w:t>
      </w:r>
      <w:r w:rsidR="00E73898">
        <w:rPr>
          <w:i/>
          <w:szCs w:val="26"/>
        </w:rPr>
        <w:t>:</w:t>
      </w:r>
      <w:r>
        <w:rPr>
          <w:rStyle w:val="FootnoteReference"/>
          <w:i/>
        </w:rPr>
        <w:footnoteReference w:id="2"/>
      </w:r>
      <w:r w:rsidRPr="00A26B8A">
        <w:rPr>
          <w:i/>
          <w:szCs w:val="26"/>
        </w:rPr>
        <w:t xml:space="preserve"> </w:t>
      </w:r>
      <w:r w:rsidRPr="00A26B8A">
        <w:rPr>
          <w:szCs w:val="26"/>
        </w:rPr>
        <w:t>The Commission estimates the annual public reporting burden for the information collection as: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3"/>
        <w:gridCol w:w="1331"/>
        <w:gridCol w:w="1252"/>
        <w:gridCol w:w="1152"/>
        <w:gridCol w:w="1359"/>
        <w:gridCol w:w="1803"/>
        <w:gridCol w:w="1252"/>
      </w:tblGrid>
      <w:tr w14:paraId="1C8C83BD" w14:textId="77777777" w:rsidTr="00F92C4D">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9422" w:type="dxa"/>
            <w:gridSpan w:val="7"/>
            <w:tcBorders>
              <w:bottom w:val="single" w:sz="4" w:space="0" w:color="auto"/>
            </w:tcBorders>
            <w:shd w:val="clear" w:color="auto" w:fill="D9D9D9"/>
          </w:tcPr>
          <w:p w:rsidR="00696A1D" w:rsidRPr="00A26B8A" w:rsidP="00A226EE" w14:paraId="2A5BBDC9" w14:textId="77777777">
            <w:pPr>
              <w:jc w:val="center"/>
              <w:rPr>
                <w:rFonts w:eastAsia="Calibri"/>
                <w:b/>
                <w:szCs w:val="26"/>
              </w:rPr>
            </w:pPr>
            <w:r w:rsidRPr="00A26B8A">
              <w:rPr>
                <w:rFonts w:eastAsia="Calibri"/>
                <w:b/>
                <w:szCs w:val="26"/>
              </w:rPr>
              <w:t>FERC-725T (Mandatory Reliability Standards for the Bulk-Power System: TRE Reliability Standards)</w:t>
            </w:r>
          </w:p>
        </w:tc>
      </w:tr>
      <w:tr w14:paraId="53B80710" w14:textId="77777777" w:rsidTr="005B11C5">
        <w:tblPrEx>
          <w:tblW w:w="0" w:type="auto"/>
          <w:tblInd w:w="-72" w:type="dxa"/>
          <w:tblLayout w:type="fixed"/>
          <w:tblLook w:val="01E0"/>
        </w:tblPrEx>
        <w:trPr>
          <w:cantSplit/>
        </w:trPr>
        <w:tc>
          <w:tcPr>
            <w:tcW w:w="1273" w:type="dxa"/>
            <w:shd w:val="clear" w:color="auto" w:fill="D9D9D9"/>
          </w:tcPr>
          <w:p w:rsidR="00696A1D" w:rsidRPr="00A26B8A" w:rsidP="00A226EE" w14:paraId="55A6BA95" w14:textId="77777777">
            <w:pPr>
              <w:jc w:val="center"/>
              <w:rPr>
                <w:rFonts w:eastAsia="Calibri"/>
                <w:b/>
                <w:szCs w:val="26"/>
              </w:rPr>
            </w:pPr>
          </w:p>
        </w:tc>
        <w:tc>
          <w:tcPr>
            <w:tcW w:w="1331" w:type="dxa"/>
            <w:shd w:val="clear" w:color="auto" w:fill="D9D9D9"/>
            <w:vAlign w:val="bottom"/>
          </w:tcPr>
          <w:p w:rsidR="00696A1D" w:rsidRPr="00A26B8A" w:rsidP="00A226EE" w14:paraId="7850C68F" w14:textId="1CC68B0D">
            <w:pPr>
              <w:jc w:val="center"/>
              <w:rPr>
                <w:rFonts w:eastAsia="Calibri"/>
                <w:b/>
                <w:szCs w:val="26"/>
              </w:rPr>
            </w:pPr>
            <w:r w:rsidRPr="00A26B8A">
              <w:rPr>
                <w:rFonts w:eastAsia="Calibri"/>
                <w:b/>
                <w:szCs w:val="26"/>
              </w:rPr>
              <w:t>Number of Respondents</w:t>
            </w:r>
            <w:r>
              <w:rPr>
                <w:rStyle w:val="FootnoteReference"/>
                <w:rFonts w:eastAsia="Calibri"/>
                <w:b w:val="0"/>
              </w:rPr>
              <w:footnoteReference w:id="3"/>
            </w:r>
            <w:r w:rsidRPr="00A26B8A">
              <w:rPr>
                <w:rFonts w:eastAsia="Calibri"/>
                <w:b/>
                <w:szCs w:val="26"/>
              </w:rPr>
              <w:br/>
              <w:t>(1)</w:t>
            </w:r>
          </w:p>
        </w:tc>
        <w:tc>
          <w:tcPr>
            <w:tcW w:w="1252" w:type="dxa"/>
            <w:shd w:val="clear" w:color="auto" w:fill="D9D9D9"/>
            <w:vAlign w:val="bottom"/>
          </w:tcPr>
          <w:p w:rsidR="00696A1D" w:rsidRPr="00A26B8A" w:rsidP="00A226EE" w14:paraId="4DDE5362" w14:textId="77777777">
            <w:pPr>
              <w:jc w:val="center"/>
              <w:rPr>
                <w:rFonts w:eastAsia="Calibri"/>
                <w:b/>
                <w:szCs w:val="26"/>
              </w:rPr>
            </w:pPr>
            <w:r w:rsidRPr="00A26B8A">
              <w:rPr>
                <w:rFonts w:eastAsia="Calibri"/>
                <w:b/>
                <w:szCs w:val="26"/>
              </w:rPr>
              <w:t>Annual Number of Responses per Respondent</w:t>
            </w:r>
          </w:p>
          <w:p w:rsidR="00696A1D" w:rsidRPr="00A26B8A" w:rsidP="00A226EE" w14:paraId="6531C51E" w14:textId="77777777">
            <w:pPr>
              <w:jc w:val="center"/>
              <w:rPr>
                <w:rFonts w:eastAsia="Calibri"/>
                <w:b/>
                <w:szCs w:val="26"/>
              </w:rPr>
            </w:pPr>
            <w:r w:rsidRPr="00A26B8A">
              <w:rPr>
                <w:rFonts w:eastAsia="Calibri"/>
                <w:b/>
                <w:szCs w:val="26"/>
              </w:rPr>
              <w:t>(2)</w:t>
            </w:r>
          </w:p>
        </w:tc>
        <w:tc>
          <w:tcPr>
            <w:tcW w:w="1152" w:type="dxa"/>
            <w:shd w:val="clear" w:color="auto" w:fill="D9D9D9"/>
            <w:vAlign w:val="bottom"/>
          </w:tcPr>
          <w:p w:rsidR="00696A1D" w:rsidRPr="00A26B8A" w:rsidP="00A226EE" w14:paraId="41640D07" w14:textId="77777777">
            <w:pPr>
              <w:jc w:val="center"/>
              <w:rPr>
                <w:rFonts w:eastAsia="Calibri"/>
                <w:b/>
                <w:szCs w:val="26"/>
              </w:rPr>
            </w:pPr>
            <w:r w:rsidRPr="00A26B8A">
              <w:rPr>
                <w:rFonts w:eastAsia="Calibri"/>
                <w:b/>
                <w:szCs w:val="26"/>
              </w:rPr>
              <w:t>Total Number of Responses (</w:t>
            </w:r>
            <w:r w:rsidRPr="00A26B8A">
              <w:rPr>
                <w:rFonts w:eastAsia="Calibri"/>
                <w:b/>
                <w:szCs w:val="26"/>
              </w:rPr>
              <w:t>1)*</w:t>
            </w:r>
            <w:r w:rsidRPr="00A26B8A">
              <w:rPr>
                <w:rFonts w:eastAsia="Calibri"/>
                <w:b/>
                <w:szCs w:val="26"/>
              </w:rPr>
              <w:t>(</w:t>
            </w:r>
            <w:r w:rsidRPr="00A26B8A">
              <w:rPr>
                <w:rFonts w:eastAsia="Calibri"/>
                <w:b/>
                <w:szCs w:val="26"/>
              </w:rPr>
              <w:t>2)=</w:t>
            </w:r>
            <w:r w:rsidRPr="00A26B8A">
              <w:rPr>
                <w:rFonts w:eastAsia="Calibri"/>
                <w:b/>
                <w:szCs w:val="26"/>
              </w:rPr>
              <w:t>(3)</w:t>
            </w:r>
          </w:p>
        </w:tc>
        <w:tc>
          <w:tcPr>
            <w:tcW w:w="1359" w:type="dxa"/>
            <w:shd w:val="clear" w:color="auto" w:fill="D9D9D9"/>
            <w:vAlign w:val="bottom"/>
          </w:tcPr>
          <w:p w:rsidR="00696A1D" w:rsidRPr="00A26B8A" w:rsidP="00A226EE" w14:paraId="3654AC6C" w14:textId="77777777">
            <w:pPr>
              <w:jc w:val="center"/>
              <w:rPr>
                <w:rFonts w:eastAsia="Calibri"/>
                <w:b/>
                <w:szCs w:val="26"/>
              </w:rPr>
            </w:pPr>
            <w:r w:rsidRPr="00A26B8A">
              <w:rPr>
                <w:rFonts w:eastAsia="Calibri"/>
                <w:b/>
                <w:szCs w:val="26"/>
              </w:rPr>
              <w:t>Average Burden &amp; Cost Per Response</w:t>
            </w:r>
            <w:bookmarkStart w:id="2" w:name="_Ref366073887"/>
            <w:r>
              <w:rPr>
                <w:b/>
                <w:szCs w:val="26"/>
                <w:vertAlign w:val="superscript"/>
              </w:rPr>
              <w:footnoteReference w:id="4"/>
            </w:r>
            <w:bookmarkEnd w:id="2"/>
          </w:p>
          <w:p w:rsidR="00696A1D" w:rsidRPr="00A26B8A" w:rsidP="00A226EE" w14:paraId="69676DC5" w14:textId="77777777">
            <w:pPr>
              <w:jc w:val="center"/>
              <w:rPr>
                <w:rFonts w:eastAsia="Calibri"/>
                <w:b/>
                <w:szCs w:val="26"/>
              </w:rPr>
            </w:pPr>
            <w:r w:rsidRPr="00A26B8A">
              <w:rPr>
                <w:rFonts w:eastAsia="Calibri"/>
                <w:b/>
                <w:szCs w:val="26"/>
              </w:rPr>
              <w:t>(4)</w:t>
            </w:r>
          </w:p>
        </w:tc>
        <w:tc>
          <w:tcPr>
            <w:tcW w:w="1803" w:type="dxa"/>
            <w:shd w:val="clear" w:color="auto" w:fill="D9D9D9"/>
            <w:vAlign w:val="bottom"/>
          </w:tcPr>
          <w:p w:rsidR="00696A1D" w:rsidRPr="00A26B8A" w:rsidP="00A226EE" w14:paraId="3FEB03CB" w14:textId="77777777">
            <w:pPr>
              <w:jc w:val="center"/>
              <w:rPr>
                <w:rFonts w:eastAsia="Calibri"/>
                <w:b/>
                <w:szCs w:val="26"/>
              </w:rPr>
            </w:pPr>
            <w:r w:rsidRPr="00A26B8A">
              <w:rPr>
                <w:rFonts w:eastAsia="Calibri"/>
                <w:b/>
                <w:szCs w:val="26"/>
              </w:rPr>
              <w:t>Total Annual Burden Hours &amp; Total Annual Cost</w:t>
            </w:r>
          </w:p>
          <w:p w:rsidR="00696A1D" w:rsidRPr="00A26B8A" w:rsidP="00A226EE" w14:paraId="35FD6BCC" w14:textId="77777777">
            <w:pPr>
              <w:jc w:val="center"/>
              <w:rPr>
                <w:rFonts w:eastAsia="Calibri"/>
                <w:b/>
                <w:szCs w:val="26"/>
              </w:rPr>
            </w:pPr>
            <w:r w:rsidRPr="00A26B8A">
              <w:rPr>
                <w:rFonts w:eastAsia="Calibri"/>
                <w:b/>
                <w:szCs w:val="26"/>
              </w:rPr>
              <w:t>(</w:t>
            </w:r>
            <w:r w:rsidRPr="00A26B8A">
              <w:rPr>
                <w:rFonts w:eastAsia="Calibri"/>
                <w:b/>
                <w:szCs w:val="26"/>
              </w:rPr>
              <w:t>3)*</w:t>
            </w:r>
            <w:r w:rsidRPr="00A26B8A">
              <w:rPr>
                <w:rFonts w:eastAsia="Calibri"/>
                <w:b/>
                <w:szCs w:val="26"/>
              </w:rPr>
              <w:t>(</w:t>
            </w:r>
            <w:r w:rsidRPr="00A26B8A">
              <w:rPr>
                <w:rFonts w:eastAsia="Calibri"/>
                <w:b/>
                <w:szCs w:val="26"/>
              </w:rPr>
              <w:t>4)=</w:t>
            </w:r>
            <w:r w:rsidRPr="00A26B8A">
              <w:rPr>
                <w:rFonts w:eastAsia="Calibri"/>
                <w:b/>
                <w:szCs w:val="26"/>
              </w:rPr>
              <w:t>(5)</w:t>
            </w:r>
          </w:p>
        </w:tc>
        <w:tc>
          <w:tcPr>
            <w:tcW w:w="1252" w:type="dxa"/>
            <w:shd w:val="clear" w:color="auto" w:fill="D9D9D9"/>
            <w:vAlign w:val="bottom"/>
          </w:tcPr>
          <w:p w:rsidR="00696A1D" w:rsidRPr="00A26B8A" w:rsidP="00A226EE" w14:paraId="561D3DE9" w14:textId="77777777">
            <w:pPr>
              <w:jc w:val="center"/>
              <w:rPr>
                <w:rFonts w:eastAsia="Calibri"/>
                <w:b/>
                <w:szCs w:val="26"/>
              </w:rPr>
            </w:pPr>
            <w:r w:rsidRPr="00A26B8A">
              <w:rPr>
                <w:rFonts w:eastAsia="Calibri"/>
                <w:b/>
                <w:szCs w:val="26"/>
              </w:rPr>
              <w:t>Cost per Respondent</w:t>
            </w:r>
          </w:p>
          <w:p w:rsidR="00696A1D" w:rsidRPr="00A26B8A" w:rsidP="00A226EE" w14:paraId="3ADCF474" w14:textId="0B0B6DDC">
            <w:pPr>
              <w:jc w:val="center"/>
              <w:rPr>
                <w:rFonts w:eastAsia="Calibri"/>
                <w:b/>
                <w:szCs w:val="26"/>
              </w:rPr>
            </w:pPr>
            <w:r w:rsidRPr="00A26B8A">
              <w:rPr>
                <w:rFonts w:eastAsia="Calibri"/>
                <w:b/>
                <w:szCs w:val="26"/>
              </w:rPr>
              <w:t xml:space="preserve"> ($)</w:t>
            </w:r>
            <w:r w:rsidR="005B11C5">
              <w:rPr>
                <w:rFonts w:eastAsia="Calibri"/>
                <w:b/>
                <w:szCs w:val="26"/>
              </w:rPr>
              <w:t xml:space="preserve"> Rounded</w:t>
            </w:r>
          </w:p>
          <w:p w:rsidR="00696A1D" w:rsidRPr="00A26B8A" w:rsidP="00A226EE" w14:paraId="499AD3B1" w14:textId="77777777">
            <w:pPr>
              <w:jc w:val="center"/>
              <w:rPr>
                <w:rFonts w:eastAsia="Calibri"/>
                <w:b/>
                <w:szCs w:val="26"/>
              </w:rPr>
            </w:pPr>
            <w:r w:rsidRPr="00A26B8A">
              <w:rPr>
                <w:rFonts w:eastAsia="Calibri"/>
                <w:b/>
                <w:szCs w:val="26"/>
              </w:rPr>
              <w:t>(</w:t>
            </w:r>
            <w:r w:rsidRPr="00A26B8A">
              <w:rPr>
                <w:rFonts w:eastAsia="Calibri"/>
                <w:b/>
                <w:szCs w:val="26"/>
              </w:rPr>
              <w:t>5)÷</w:t>
            </w:r>
            <w:r w:rsidRPr="00A26B8A">
              <w:rPr>
                <w:rFonts w:eastAsia="Calibri"/>
                <w:b/>
                <w:szCs w:val="26"/>
              </w:rPr>
              <w:t>(1)</w:t>
            </w:r>
          </w:p>
        </w:tc>
      </w:tr>
      <w:tr w14:paraId="2D830AD8" w14:textId="77777777" w:rsidTr="005B11C5">
        <w:tblPrEx>
          <w:tblW w:w="0" w:type="auto"/>
          <w:tblInd w:w="-72" w:type="dxa"/>
          <w:tblLayout w:type="fixed"/>
          <w:tblLook w:val="01E0"/>
        </w:tblPrEx>
        <w:trPr>
          <w:cantSplit/>
        </w:trPr>
        <w:tc>
          <w:tcPr>
            <w:tcW w:w="1273" w:type="dxa"/>
            <w:vMerge w:val="restart"/>
          </w:tcPr>
          <w:p w:rsidR="00E639E7" w:rsidRPr="00A26B8A" w:rsidP="00A226EE" w14:paraId="55F3E1E1" w14:textId="762594CB">
            <w:pPr>
              <w:rPr>
                <w:rFonts w:eastAsia="Calibri"/>
                <w:szCs w:val="26"/>
              </w:rPr>
            </w:pPr>
            <w:r>
              <w:rPr>
                <w:rFonts w:eastAsia="Calibri"/>
                <w:szCs w:val="26"/>
              </w:rPr>
              <w:t>Annual Review and Evidence Retention</w:t>
            </w:r>
          </w:p>
        </w:tc>
        <w:tc>
          <w:tcPr>
            <w:tcW w:w="1331" w:type="dxa"/>
          </w:tcPr>
          <w:p w:rsidR="00E639E7" w:rsidRPr="00A26B8A" w:rsidP="00A226EE" w14:paraId="082D5241" w14:textId="21C83636">
            <w:pPr>
              <w:jc w:val="right"/>
              <w:rPr>
                <w:rFonts w:eastAsia="Calibri"/>
                <w:szCs w:val="26"/>
              </w:rPr>
            </w:pPr>
            <w:r w:rsidRPr="00A26B8A">
              <w:rPr>
                <w:rFonts w:eastAsia="Calibri"/>
                <w:szCs w:val="26"/>
              </w:rPr>
              <w:t>1</w:t>
            </w:r>
            <w:r>
              <w:rPr>
                <w:rFonts w:eastAsia="Calibri"/>
                <w:szCs w:val="26"/>
              </w:rPr>
              <w:t xml:space="preserve"> (BA)</w:t>
            </w:r>
          </w:p>
          <w:p w:rsidR="00E639E7" w:rsidRPr="00A26B8A" w:rsidP="00A226EE" w14:paraId="4DB92F1A" w14:textId="77777777">
            <w:pPr>
              <w:jc w:val="right"/>
              <w:rPr>
                <w:rFonts w:eastAsia="Calibri"/>
                <w:szCs w:val="26"/>
              </w:rPr>
            </w:pPr>
          </w:p>
        </w:tc>
        <w:tc>
          <w:tcPr>
            <w:tcW w:w="1252" w:type="dxa"/>
          </w:tcPr>
          <w:p w:rsidR="00E639E7" w:rsidRPr="00A26B8A" w:rsidP="00A226EE" w14:paraId="5450C7B8" w14:textId="77777777">
            <w:pPr>
              <w:jc w:val="right"/>
              <w:rPr>
                <w:rFonts w:eastAsia="Calibri"/>
                <w:szCs w:val="26"/>
              </w:rPr>
            </w:pPr>
            <w:r w:rsidRPr="00A26B8A">
              <w:rPr>
                <w:rFonts w:eastAsia="Calibri"/>
                <w:szCs w:val="26"/>
              </w:rPr>
              <w:t>1</w:t>
            </w:r>
          </w:p>
        </w:tc>
        <w:tc>
          <w:tcPr>
            <w:tcW w:w="1152" w:type="dxa"/>
          </w:tcPr>
          <w:p w:rsidR="00E639E7" w:rsidRPr="00A26B8A" w:rsidP="00A226EE" w14:paraId="3A0ABE6D" w14:textId="77777777">
            <w:pPr>
              <w:jc w:val="right"/>
              <w:rPr>
                <w:rFonts w:eastAsia="Calibri"/>
                <w:szCs w:val="26"/>
              </w:rPr>
            </w:pPr>
            <w:r w:rsidRPr="00A26B8A">
              <w:rPr>
                <w:rFonts w:eastAsia="Calibri"/>
                <w:szCs w:val="26"/>
              </w:rPr>
              <w:t>1</w:t>
            </w:r>
          </w:p>
        </w:tc>
        <w:tc>
          <w:tcPr>
            <w:tcW w:w="1359" w:type="dxa"/>
          </w:tcPr>
          <w:p w:rsidR="00E639E7" w:rsidRPr="00A26B8A" w:rsidP="00A226EE" w14:paraId="49383A9B" w14:textId="54554ED9">
            <w:pPr>
              <w:jc w:val="right"/>
              <w:rPr>
                <w:rFonts w:eastAsia="Calibri"/>
                <w:szCs w:val="26"/>
              </w:rPr>
            </w:pPr>
            <w:r w:rsidRPr="00A26B8A">
              <w:rPr>
                <w:rFonts w:eastAsia="Calibri"/>
                <w:szCs w:val="26"/>
              </w:rPr>
              <w:t>1</w:t>
            </w:r>
            <w:r>
              <w:rPr>
                <w:rFonts w:eastAsia="Calibri"/>
                <w:szCs w:val="26"/>
              </w:rPr>
              <w:t>8</w:t>
            </w:r>
            <w:r w:rsidRPr="00A26B8A">
              <w:rPr>
                <w:rFonts w:eastAsia="Calibri"/>
                <w:szCs w:val="26"/>
              </w:rPr>
              <w:t xml:space="preserve"> hrs.; </w:t>
            </w:r>
          </w:p>
          <w:p w:rsidR="00E639E7" w:rsidRPr="00A26B8A" w:rsidP="00A226EE" w14:paraId="0D2D3270" w14:textId="1CB8E95B">
            <w:pPr>
              <w:jc w:val="right"/>
              <w:rPr>
                <w:rFonts w:eastAsia="Calibri"/>
                <w:szCs w:val="26"/>
              </w:rPr>
            </w:pPr>
            <w:r w:rsidRPr="00A26B8A">
              <w:rPr>
                <w:rFonts w:eastAsia="Calibri"/>
                <w:szCs w:val="26"/>
              </w:rPr>
              <w:t>$</w:t>
            </w:r>
            <w:r w:rsidR="005B11C5">
              <w:rPr>
                <w:rFonts w:eastAsia="Calibri"/>
                <w:szCs w:val="26"/>
              </w:rPr>
              <w:t>1,143.36</w:t>
            </w:r>
          </w:p>
        </w:tc>
        <w:tc>
          <w:tcPr>
            <w:tcW w:w="1803" w:type="dxa"/>
          </w:tcPr>
          <w:p w:rsidR="00E639E7" w:rsidRPr="00A26B8A" w:rsidP="00A226EE" w14:paraId="19F4BC45" w14:textId="7D212544">
            <w:pPr>
              <w:jc w:val="right"/>
              <w:rPr>
                <w:rFonts w:eastAsia="Calibri"/>
                <w:szCs w:val="26"/>
              </w:rPr>
            </w:pPr>
            <w:r w:rsidRPr="00A26B8A">
              <w:rPr>
                <w:rFonts w:eastAsia="Calibri"/>
                <w:szCs w:val="26"/>
              </w:rPr>
              <w:t xml:space="preserve"> 1</w:t>
            </w:r>
            <w:r w:rsidR="005B11C5">
              <w:rPr>
                <w:rFonts w:eastAsia="Calibri"/>
                <w:szCs w:val="26"/>
              </w:rPr>
              <w:t>8</w:t>
            </w:r>
            <w:r w:rsidRPr="00A26B8A">
              <w:rPr>
                <w:rFonts w:eastAsia="Calibri"/>
                <w:szCs w:val="26"/>
              </w:rPr>
              <w:t xml:space="preserve"> hrs.; </w:t>
            </w:r>
          </w:p>
          <w:p w:rsidR="00E639E7" w:rsidRPr="00A26B8A" w:rsidP="00A226EE" w14:paraId="5CE764C7" w14:textId="1630FEDC">
            <w:pPr>
              <w:jc w:val="right"/>
              <w:rPr>
                <w:rFonts w:eastAsia="Calibri"/>
                <w:szCs w:val="26"/>
              </w:rPr>
            </w:pPr>
            <w:r w:rsidRPr="00A26B8A">
              <w:rPr>
                <w:rFonts w:eastAsia="Calibri"/>
                <w:szCs w:val="26"/>
              </w:rPr>
              <w:t>$</w:t>
            </w:r>
            <w:r w:rsidR="005B11C5">
              <w:rPr>
                <w:rFonts w:eastAsia="Calibri"/>
                <w:szCs w:val="26"/>
              </w:rPr>
              <w:t>1,143.36</w:t>
            </w:r>
          </w:p>
        </w:tc>
        <w:tc>
          <w:tcPr>
            <w:tcW w:w="1252" w:type="dxa"/>
          </w:tcPr>
          <w:p w:rsidR="00E639E7" w:rsidRPr="00A26B8A" w:rsidP="00A226EE" w14:paraId="34120B99" w14:textId="3B09A7DE">
            <w:pPr>
              <w:jc w:val="right"/>
              <w:rPr>
                <w:rFonts w:eastAsia="Calibri"/>
                <w:szCs w:val="26"/>
              </w:rPr>
            </w:pPr>
            <w:r w:rsidRPr="00A26B8A">
              <w:rPr>
                <w:rFonts w:eastAsia="Calibri"/>
                <w:szCs w:val="26"/>
              </w:rPr>
              <w:t>$</w:t>
            </w:r>
            <w:r w:rsidR="005B11C5">
              <w:rPr>
                <w:rFonts w:eastAsia="Calibri"/>
                <w:szCs w:val="26"/>
              </w:rPr>
              <w:t>1,143</w:t>
            </w:r>
          </w:p>
          <w:p w:rsidR="00E639E7" w:rsidRPr="00A26B8A" w:rsidP="00A226EE" w14:paraId="3353B63D" w14:textId="77777777">
            <w:pPr>
              <w:jc w:val="right"/>
              <w:rPr>
                <w:rFonts w:eastAsia="Calibri"/>
                <w:szCs w:val="26"/>
              </w:rPr>
            </w:pPr>
          </w:p>
        </w:tc>
      </w:tr>
      <w:tr w14:paraId="0A0F286F" w14:textId="77777777" w:rsidTr="005B11C5">
        <w:tblPrEx>
          <w:tblW w:w="0" w:type="auto"/>
          <w:tblInd w:w="-72" w:type="dxa"/>
          <w:tblLayout w:type="fixed"/>
          <w:tblLook w:val="01E0"/>
        </w:tblPrEx>
        <w:trPr>
          <w:cantSplit/>
        </w:trPr>
        <w:tc>
          <w:tcPr>
            <w:tcW w:w="1273" w:type="dxa"/>
            <w:vMerge/>
          </w:tcPr>
          <w:p w:rsidR="00E639E7" w:rsidRPr="00A26B8A" w:rsidP="00A226EE" w14:paraId="1743BB4A" w14:textId="6AF04D83">
            <w:pPr>
              <w:rPr>
                <w:rFonts w:eastAsia="Calibri"/>
                <w:szCs w:val="26"/>
              </w:rPr>
            </w:pPr>
          </w:p>
        </w:tc>
        <w:tc>
          <w:tcPr>
            <w:tcW w:w="1331" w:type="dxa"/>
          </w:tcPr>
          <w:p w:rsidR="00E639E7" w:rsidRPr="00A26B8A" w:rsidP="00A226EE" w14:paraId="1C74CFEA" w14:textId="003BE5FC">
            <w:pPr>
              <w:jc w:val="right"/>
              <w:rPr>
                <w:rFonts w:eastAsia="Calibri"/>
                <w:szCs w:val="26"/>
              </w:rPr>
            </w:pPr>
            <w:r>
              <w:rPr>
                <w:rFonts w:eastAsia="Calibri"/>
                <w:szCs w:val="26"/>
              </w:rPr>
              <w:t>309 (GO)</w:t>
            </w:r>
          </w:p>
        </w:tc>
        <w:tc>
          <w:tcPr>
            <w:tcW w:w="1252" w:type="dxa"/>
          </w:tcPr>
          <w:p w:rsidR="00E639E7" w:rsidRPr="00A26B8A" w:rsidP="00A226EE" w14:paraId="4859092B" w14:textId="77777777">
            <w:pPr>
              <w:jc w:val="right"/>
              <w:rPr>
                <w:rFonts w:eastAsia="Calibri"/>
                <w:szCs w:val="26"/>
              </w:rPr>
            </w:pPr>
            <w:r w:rsidRPr="00A26B8A">
              <w:rPr>
                <w:rFonts w:eastAsia="Calibri"/>
                <w:szCs w:val="26"/>
              </w:rPr>
              <w:t>1</w:t>
            </w:r>
          </w:p>
        </w:tc>
        <w:tc>
          <w:tcPr>
            <w:tcW w:w="1152" w:type="dxa"/>
          </w:tcPr>
          <w:p w:rsidR="00E639E7" w:rsidRPr="00A26B8A" w:rsidP="00A226EE" w14:paraId="1AC18333" w14:textId="45380F3A">
            <w:pPr>
              <w:jc w:val="right"/>
              <w:rPr>
                <w:rFonts w:eastAsia="Calibri"/>
                <w:szCs w:val="26"/>
              </w:rPr>
            </w:pPr>
            <w:r>
              <w:rPr>
                <w:rFonts w:eastAsia="Calibri"/>
                <w:szCs w:val="26"/>
              </w:rPr>
              <w:t>309</w:t>
            </w:r>
          </w:p>
        </w:tc>
        <w:tc>
          <w:tcPr>
            <w:tcW w:w="1359" w:type="dxa"/>
          </w:tcPr>
          <w:p w:rsidR="00E639E7" w:rsidRPr="00A26B8A" w:rsidP="00A226EE" w14:paraId="0CD3076F" w14:textId="77777777">
            <w:pPr>
              <w:jc w:val="right"/>
              <w:rPr>
                <w:rFonts w:eastAsia="Calibri"/>
                <w:szCs w:val="26"/>
              </w:rPr>
            </w:pPr>
            <w:r w:rsidRPr="00A26B8A">
              <w:rPr>
                <w:rFonts w:eastAsia="Calibri"/>
                <w:szCs w:val="26"/>
              </w:rPr>
              <w:t xml:space="preserve">2 hrs.; </w:t>
            </w:r>
          </w:p>
          <w:p w:rsidR="00E639E7" w:rsidRPr="00A26B8A" w:rsidP="00A226EE" w14:paraId="16D0E0E1" w14:textId="21A1D526">
            <w:pPr>
              <w:jc w:val="right"/>
              <w:rPr>
                <w:rFonts w:eastAsia="Calibri"/>
                <w:szCs w:val="26"/>
              </w:rPr>
            </w:pPr>
            <w:r w:rsidRPr="00A26B8A">
              <w:rPr>
                <w:rFonts w:eastAsia="Calibri"/>
                <w:szCs w:val="26"/>
              </w:rPr>
              <w:t>$</w:t>
            </w:r>
            <w:r w:rsidR="005B11C5">
              <w:rPr>
                <w:rFonts w:eastAsia="Calibri"/>
                <w:szCs w:val="26"/>
              </w:rPr>
              <w:t>127.04</w:t>
            </w:r>
          </w:p>
        </w:tc>
        <w:tc>
          <w:tcPr>
            <w:tcW w:w="1803" w:type="dxa"/>
          </w:tcPr>
          <w:p w:rsidR="00E639E7" w:rsidRPr="00A26B8A" w:rsidP="00A226EE" w14:paraId="664FCA03" w14:textId="5C3B243C">
            <w:pPr>
              <w:jc w:val="right"/>
              <w:rPr>
                <w:rFonts w:eastAsia="Calibri"/>
                <w:szCs w:val="26"/>
              </w:rPr>
            </w:pPr>
            <w:r>
              <w:rPr>
                <w:rFonts w:eastAsia="Calibri"/>
                <w:szCs w:val="26"/>
              </w:rPr>
              <w:t>618</w:t>
            </w:r>
            <w:r w:rsidRPr="00A26B8A">
              <w:rPr>
                <w:rFonts w:eastAsia="Calibri"/>
                <w:szCs w:val="26"/>
              </w:rPr>
              <w:t xml:space="preserve"> hrs.;</w:t>
            </w:r>
          </w:p>
          <w:p w:rsidR="00E639E7" w:rsidRPr="00A26B8A" w:rsidP="00A226EE" w14:paraId="1E05D0B9" w14:textId="73DCD958">
            <w:pPr>
              <w:jc w:val="right"/>
              <w:rPr>
                <w:rFonts w:eastAsia="Calibri"/>
                <w:szCs w:val="26"/>
              </w:rPr>
            </w:pPr>
            <w:r>
              <w:rPr>
                <w:rFonts w:eastAsia="Calibri"/>
                <w:szCs w:val="26"/>
              </w:rPr>
              <w:t>$</w:t>
            </w:r>
            <w:r w:rsidR="005B11C5">
              <w:rPr>
                <w:rFonts w:eastAsia="Calibri"/>
                <w:szCs w:val="26"/>
              </w:rPr>
              <w:t>39,255.36</w:t>
            </w:r>
          </w:p>
        </w:tc>
        <w:tc>
          <w:tcPr>
            <w:tcW w:w="1252" w:type="dxa"/>
          </w:tcPr>
          <w:p w:rsidR="00E639E7" w:rsidP="00A226EE" w14:paraId="59DE6241" w14:textId="77777777">
            <w:pPr>
              <w:jc w:val="right"/>
              <w:rPr>
                <w:rFonts w:eastAsia="Calibri"/>
                <w:szCs w:val="26"/>
              </w:rPr>
            </w:pPr>
            <w:r w:rsidRPr="00A26B8A">
              <w:rPr>
                <w:rFonts w:eastAsia="Calibri"/>
                <w:szCs w:val="26"/>
              </w:rPr>
              <w:t>$</w:t>
            </w:r>
            <w:r w:rsidRPr="00F7576E">
              <w:rPr>
                <w:rFonts w:eastAsia="Calibri"/>
                <w:szCs w:val="26"/>
              </w:rPr>
              <w:t>1</w:t>
            </w:r>
            <w:r w:rsidR="005B11C5">
              <w:rPr>
                <w:rFonts w:eastAsia="Calibri"/>
                <w:szCs w:val="26"/>
              </w:rPr>
              <w:t>27</w:t>
            </w:r>
          </w:p>
          <w:p w:rsidR="005B11C5" w:rsidRPr="00A26B8A" w:rsidP="005B11C5" w14:paraId="602517CE" w14:textId="197BFB20">
            <w:pPr>
              <w:rPr>
                <w:rFonts w:eastAsia="Calibri"/>
                <w:szCs w:val="26"/>
              </w:rPr>
            </w:pPr>
          </w:p>
        </w:tc>
      </w:tr>
      <w:tr w14:paraId="2100289E" w14:textId="77777777" w:rsidTr="005B11C5">
        <w:tblPrEx>
          <w:tblW w:w="0" w:type="auto"/>
          <w:tblInd w:w="-72" w:type="dxa"/>
          <w:tblLayout w:type="fixed"/>
          <w:tblLook w:val="01E0"/>
        </w:tblPrEx>
        <w:trPr>
          <w:cantSplit/>
        </w:trPr>
        <w:tc>
          <w:tcPr>
            <w:tcW w:w="1273" w:type="dxa"/>
            <w:vMerge/>
          </w:tcPr>
          <w:p w:rsidR="00E639E7" w:rsidRPr="00A26B8A" w:rsidP="00A226EE" w14:paraId="08CB04E5" w14:textId="77777777">
            <w:pPr>
              <w:rPr>
                <w:rFonts w:eastAsia="Calibri"/>
                <w:szCs w:val="26"/>
              </w:rPr>
            </w:pPr>
          </w:p>
        </w:tc>
        <w:tc>
          <w:tcPr>
            <w:tcW w:w="1331" w:type="dxa"/>
          </w:tcPr>
          <w:p w:rsidR="00E639E7" w:rsidP="00A226EE" w14:paraId="6F877C69" w14:textId="572C1144">
            <w:pPr>
              <w:jc w:val="right"/>
              <w:rPr>
                <w:rFonts w:eastAsia="Calibri"/>
                <w:szCs w:val="26"/>
              </w:rPr>
            </w:pPr>
            <w:r>
              <w:rPr>
                <w:rFonts w:eastAsia="Calibri"/>
                <w:szCs w:val="26"/>
              </w:rPr>
              <w:t>220 (GOP)</w:t>
            </w:r>
          </w:p>
        </w:tc>
        <w:tc>
          <w:tcPr>
            <w:tcW w:w="1252" w:type="dxa"/>
          </w:tcPr>
          <w:p w:rsidR="00E639E7" w:rsidRPr="00A26B8A" w:rsidP="00A226EE" w14:paraId="3BBCC354" w14:textId="593E3282">
            <w:pPr>
              <w:jc w:val="right"/>
              <w:rPr>
                <w:rFonts w:eastAsia="Calibri"/>
                <w:szCs w:val="26"/>
              </w:rPr>
            </w:pPr>
            <w:r>
              <w:rPr>
                <w:rFonts w:eastAsia="Calibri"/>
                <w:szCs w:val="26"/>
              </w:rPr>
              <w:t>1</w:t>
            </w:r>
          </w:p>
        </w:tc>
        <w:tc>
          <w:tcPr>
            <w:tcW w:w="1152" w:type="dxa"/>
          </w:tcPr>
          <w:p w:rsidR="00E639E7" w:rsidP="00A226EE" w14:paraId="539E38AB" w14:textId="3C8F7E12">
            <w:pPr>
              <w:jc w:val="right"/>
              <w:rPr>
                <w:rFonts w:eastAsia="Calibri"/>
                <w:szCs w:val="26"/>
              </w:rPr>
            </w:pPr>
            <w:r>
              <w:rPr>
                <w:rFonts w:eastAsia="Calibri"/>
                <w:szCs w:val="26"/>
              </w:rPr>
              <w:t>220</w:t>
            </w:r>
          </w:p>
        </w:tc>
        <w:tc>
          <w:tcPr>
            <w:tcW w:w="1359" w:type="dxa"/>
          </w:tcPr>
          <w:p w:rsidR="005B11C5" w:rsidRPr="00A26B8A" w:rsidP="005B11C5" w14:paraId="6F905694" w14:textId="77777777">
            <w:pPr>
              <w:jc w:val="right"/>
              <w:rPr>
                <w:rFonts w:eastAsia="Calibri"/>
                <w:szCs w:val="26"/>
              </w:rPr>
            </w:pPr>
            <w:r w:rsidRPr="00A26B8A">
              <w:rPr>
                <w:rFonts w:eastAsia="Calibri"/>
                <w:szCs w:val="26"/>
              </w:rPr>
              <w:t xml:space="preserve">2 hrs.; </w:t>
            </w:r>
          </w:p>
          <w:p w:rsidR="00E639E7" w:rsidRPr="00A26B8A" w:rsidP="005B11C5" w14:paraId="77F0D913" w14:textId="0F565F15">
            <w:pPr>
              <w:jc w:val="right"/>
              <w:rPr>
                <w:rFonts w:eastAsia="Calibri"/>
                <w:szCs w:val="26"/>
              </w:rPr>
            </w:pPr>
            <w:r w:rsidRPr="00A26B8A">
              <w:rPr>
                <w:rFonts w:eastAsia="Calibri"/>
                <w:szCs w:val="26"/>
              </w:rPr>
              <w:t>$</w:t>
            </w:r>
            <w:r>
              <w:rPr>
                <w:rFonts w:eastAsia="Calibri"/>
                <w:szCs w:val="26"/>
              </w:rPr>
              <w:t>127.04</w:t>
            </w:r>
          </w:p>
        </w:tc>
        <w:tc>
          <w:tcPr>
            <w:tcW w:w="1803" w:type="dxa"/>
          </w:tcPr>
          <w:p w:rsidR="005B11C5" w:rsidRPr="00A26B8A" w:rsidP="005B11C5" w14:paraId="2C7583D3" w14:textId="7F3EDE44">
            <w:pPr>
              <w:jc w:val="right"/>
              <w:rPr>
                <w:rFonts w:eastAsia="Calibri"/>
                <w:szCs w:val="26"/>
              </w:rPr>
            </w:pPr>
            <w:r>
              <w:rPr>
                <w:rFonts w:eastAsia="Calibri"/>
                <w:szCs w:val="26"/>
              </w:rPr>
              <w:t>440</w:t>
            </w:r>
            <w:r w:rsidRPr="00A26B8A">
              <w:rPr>
                <w:rFonts w:eastAsia="Calibri"/>
                <w:szCs w:val="26"/>
              </w:rPr>
              <w:t xml:space="preserve"> hrs.;</w:t>
            </w:r>
          </w:p>
          <w:p w:rsidR="00E639E7" w:rsidP="005B11C5" w14:paraId="6DC4AFC0" w14:textId="08CC377D">
            <w:pPr>
              <w:jc w:val="right"/>
              <w:rPr>
                <w:rFonts w:eastAsia="Calibri"/>
                <w:szCs w:val="26"/>
              </w:rPr>
            </w:pPr>
            <w:r>
              <w:rPr>
                <w:rFonts w:eastAsia="Calibri"/>
                <w:szCs w:val="26"/>
              </w:rPr>
              <w:t>$27,948.80</w:t>
            </w:r>
          </w:p>
        </w:tc>
        <w:tc>
          <w:tcPr>
            <w:tcW w:w="1252" w:type="dxa"/>
          </w:tcPr>
          <w:p w:rsidR="005B11C5" w:rsidP="005B11C5" w14:paraId="04BF35C3" w14:textId="77777777">
            <w:pPr>
              <w:jc w:val="right"/>
              <w:rPr>
                <w:rFonts w:eastAsia="Calibri"/>
                <w:szCs w:val="26"/>
              </w:rPr>
            </w:pPr>
            <w:r w:rsidRPr="00A26B8A">
              <w:rPr>
                <w:rFonts w:eastAsia="Calibri"/>
                <w:szCs w:val="26"/>
              </w:rPr>
              <w:t>$</w:t>
            </w:r>
            <w:r w:rsidRPr="00F7576E">
              <w:rPr>
                <w:rFonts w:eastAsia="Calibri"/>
                <w:szCs w:val="26"/>
              </w:rPr>
              <w:t>1</w:t>
            </w:r>
            <w:r>
              <w:rPr>
                <w:rFonts w:eastAsia="Calibri"/>
                <w:szCs w:val="26"/>
              </w:rPr>
              <w:t>27</w:t>
            </w:r>
          </w:p>
          <w:p w:rsidR="00E639E7" w:rsidRPr="00A26B8A" w:rsidP="00A226EE" w14:paraId="2D9750B6" w14:textId="77777777">
            <w:pPr>
              <w:jc w:val="right"/>
              <w:rPr>
                <w:rFonts w:eastAsia="Calibri"/>
                <w:szCs w:val="26"/>
              </w:rPr>
            </w:pPr>
          </w:p>
        </w:tc>
      </w:tr>
      <w:tr w14:paraId="13AC0882" w14:textId="77777777" w:rsidTr="005B11C5">
        <w:tblPrEx>
          <w:tblW w:w="0" w:type="auto"/>
          <w:tblInd w:w="-72" w:type="dxa"/>
          <w:tblLayout w:type="fixed"/>
          <w:tblLook w:val="01E0"/>
        </w:tblPrEx>
        <w:trPr>
          <w:cantSplit/>
          <w:trHeight w:val="485"/>
        </w:trPr>
        <w:tc>
          <w:tcPr>
            <w:tcW w:w="1273" w:type="dxa"/>
            <w:tcBorders>
              <w:bottom w:val="single" w:sz="4" w:space="0" w:color="auto"/>
            </w:tcBorders>
          </w:tcPr>
          <w:p w:rsidR="00696A1D" w:rsidRPr="00A26B8A" w:rsidP="00A226EE" w14:paraId="028EE1B3" w14:textId="77777777">
            <w:pPr>
              <w:rPr>
                <w:rFonts w:eastAsia="Calibri"/>
                <w:b/>
                <w:szCs w:val="26"/>
              </w:rPr>
            </w:pPr>
            <w:r w:rsidRPr="00A26B8A">
              <w:rPr>
                <w:rFonts w:eastAsia="Calibri"/>
                <w:b/>
                <w:szCs w:val="26"/>
              </w:rPr>
              <w:t>TOTAL</w:t>
            </w:r>
          </w:p>
        </w:tc>
        <w:tc>
          <w:tcPr>
            <w:tcW w:w="2583" w:type="dxa"/>
            <w:gridSpan w:val="2"/>
            <w:tcBorders>
              <w:bottom w:val="single" w:sz="4" w:space="0" w:color="auto"/>
            </w:tcBorders>
            <w:shd w:val="clear" w:color="auto" w:fill="D9D9D9"/>
          </w:tcPr>
          <w:p w:rsidR="00696A1D" w:rsidRPr="00A26B8A" w:rsidP="00A226EE" w14:paraId="3E754C6C" w14:textId="77777777">
            <w:pPr>
              <w:jc w:val="right"/>
              <w:rPr>
                <w:rFonts w:eastAsia="Calibri"/>
                <w:szCs w:val="26"/>
              </w:rPr>
            </w:pPr>
          </w:p>
        </w:tc>
        <w:tc>
          <w:tcPr>
            <w:tcW w:w="1152" w:type="dxa"/>
            <w:tcBorders>
              <w:bottom w:val="single" w:sz="4" w:space="0" w:color="auto"/>
            </w:tcBorders>
          </w:tcPr>
          <w:p w:rsidR="00696A1D" w:rsidRPr="00A26B8A" w:rsidP="00A226EE" w14:paraId="35018E26" w14:textId="5EBE3A3D">
            <w:pPr>
              <w:jc w:val="right"/>
              <w:rPr>
                <w:rFonts w:eastAsia="Calibri"/>
                <w:b/>
                <w:szCs w:val="26"/>
              </w:rPr>
            </w:pPr>
            <w:r>
              <w:rPr>
                <w:rFonts w:eastAsia="Calibri"/>
                <w:b/>
                <w:szCs w:val="26"/>
              </w:rPr>
              <w:t>530</w:t>
            </w:r>
          </w:p>
        </w:tc>
        <w:tc>
          <w:tcPr>
            <w:tcW w:w="1359" w:type="dxa"/>
            <w:tcBorders>
              <w:bottom w:val="single" w:sz="4" w:space="0" w:color="auto"/>
            </w:tcBorders>
            <w:shd w:val="clear" w:color="auto" w:fill="D9D9D9"/>
          </w:tcPr>
          <w:p w:rsidR="00696A1D" w:rsidRPr="00A26B8A" w:rsidP="00A226EE" w14:paraId="17B71A27" w14:textId="77777777">
            <w:pPr>
              <w:jc w:val="right"/>
              <w:rPr>
                <w:rFonts w:eastAsia="Calibri"/>
                <w:szCs w:val="26"/>
              </w:rPr>
            </w:pPr>
          </w:p>
        </w:tc>
        <w:tc>
          <w:tcPr>
            <w:tcW w:w="1803" w:type="dxa"/>
            <w:tcBorders>
              <w:bottom w:val="single" w:sz="4" w:space="0" w:color="auto"/>
            </w:tcBorders>
          </w:tcPr>
          <w:p w:rsidR="00696A1D" w:rsidRPr="00A26B8A" w:rsidP="00A226EE" w14:paraId="6673158B" w14:textId="696FAA75">
            <w:pPr>
              <w:jc w:val="right"/>
              <w:rPr>
                <w:rFonts w:eastAsia="Calibri"/>
                <w:b/>
                <w:szCs w:val="26"/>
              </w:rPr>
            </w:pPr>
            <w:r>
              <w:rPr>
                <w:rFonts w:eastAsia="Calibri"/>
                <w:b/>
                <w:szCs w:val="26"/>
              </w:rPr>
              <w:t>1,076</w:t>
            </w:r>
            <w:r w:rsidRPr="00A26B8A" w:rsidR="00B434E4">
              <w:rPr>
                <w:rFonts w:eastAsia="Calibri"/>
                <w:b/>
                <w:szCs w:val="26"/>
              </w:rPr>
              <w:t xml:space="preserve"> hrs.;</w:t>
            </w:r>
          </w:p>
          <w:p w:rsidR="00696A1D" w:rsidRPr="00A26B8A" w:rsidP="00A226EE" w14:paraId="680E6B5B" w14:textId="098A11B1">
            <w:pPr>
              <w:jc w:val="right"/>
              <w:rPr>
                <w:rFonts w:eastAsia="Calibri"/>
                <w:b/>
                <w:szCs w:val="26"/>
              </w:rPr>
            </w:pPr>
            <w:r>
              <w:rPr>
                <w:rFonts w:eastAsia="Calibri"/>
                <w:b/>
                <w:szCs w:val="26"/>
              </w:rPr>
              <w:t>$</w:t>
            </w:r>
            <w:r w:rsidR="005B11C5">
              <w:rPr>
                <w:rFonts w:eastAsia="Calibri"/>
                <w:b/>
                <w:szCs w:val="26"/>
              </w:rPr>
              <w:t>68.347.52</w:t>
            </w:r>
          </w:p>
        </w:tc>
        <w:tc>
          <w:tcPr>
            <w:tcW w:w="1252" w:type="dxa"/>
            <w:tcBorders>
              <w:bottom w:val="single" w:sz="4" w:space="0" w:color="auto"/>
            </w:tcBorders>
            <w:shd w:val="clear" w:color="auto" w:fill="D9D9D9"/>
          </w:tcPr>
          <w:p w:rsidR="00696A1D" w:rsidRPr="00A26B8A" w:rsidP="00A226EE" w14:paraId="0C39778D" w14:textId="77777777">
            <w:pPr>
              <w:jc w:val="right"/>
              <w:rPr>
                <w:rFonts w:eastAsia="Calibri"/>
                <w:b/>
                <w:szCs w:val="26"/>
              </w:rPr>
            </w:pPr>
          </w:p>
        </w:tc>
      </w:tr>
    </w:tbl>
    <w:p w:rsidR="00F86890" w:rsidRPr="00A26B8A" w:rsidP="00CE64F2" w14:paraId="49CF241D" w14:textId="77777777">
      <w:pPr>
        <w:spacing w:line="480" w:lineRule="auto"/>
        <w:rPr>
          <w:szCs w:val="26"/>
        </w:rPr>
      </w:pPr>
    </w:p>
    <w:p w:rsidR="00F86890" w:rsidRPr="00A26B8A" w:rsidP="00C53513" w14:paraId="2AA951EA" w14:textId="77777777">
      <w:pPr>
        <w:spacing w:line="480" w:lineRule="auto"/>
        <w:rPr>
          <w:szCs w:val="26"/>
        </w:rPr>
      </w:pPr>
      <w:r w:rsidRPr="00A26B8A">
        <w:rPr>
          <w:i/>
          <w:szCs w:val="26"/>
        </w:rPr>
        <w:t xml:space="preserve">Comments:  </w:t>
      </w:r>
      <w:r w:rsidRPr="00A26B8A">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w:t>
      </w:r>
      <w:r w:rsidRPr="00A26B8A" w:rsidR="009447D3">
        <w:rPr>
          <w:szCs w:val="26"/>
        </w:rPr>
        <w:t xml:space="preserve">and cost </w:t>
      </w:r>
      <w:r w:rsidRPr="00A26B8A">
        <w:rPr>
          <w:szCs w:val="26"/>
        </w:rPr>
        <w:t xml:space="preserve">of the collection of information, including the validity of the methodology and assumptions used; (3) ways to enhance the quality, utility and clarity of the information </w:t>
      </w:r>
      <w:r w:rsidRPr="00A26B8A" w:rsidR="00647B24">
        <w:rPr>
          <w:szCs w:val="26"/>
        </w:rPr>
        <w:t>collection</w:t>
      </w:r>
      <w:r w:rsidRPr="00A26B8A">
        <w:rPr>
          <w:szCs w:val="26"/>
        </w:rPr>
        <w:t>; and (4) ways to minimize the burden of the collection of information on those who are to respond, i</w:t>
      </w:r>
      <w:r w:rsidRPr="00A26B8A" w:rsidR="00647B24">
        <w:rPr>
          <w:szCs w:val="26"/>
        </w:rPr>
        <w:t xml:space="preserve">ncluding the use of </w:t>
      </w:r>
      <w:r w:rsidRPr="00A26B8A">
        <w:rPr>
          <w:szCs w:val="26"/>
        </w:rPr>
        <w:t xml:space="preserve">automated collection techniques or other forms of information technology.  </w:t>
      </w:r>
    </w:p>
    <w:p w:rsidR="00D33A79" w:rsidP="00D33A79" w14:paraId="49BB825F" w14:textId="77777777">
      <w:pPr>
        <w:tabs>
          <w:tab w:val="left" w:pos="5040"/>
        </w:tabs>
        <w:rPr>
          <w:szCs w:val="26"/>
        </w:rPr>
      </w:pPr>
    </w:p>
    <w:p w:rsidR="00D33A79" w:rsidP="00D33A79" w14:paraId="28A06391" w14:textId="77777777">
      <w:pPr>
        <w:tabs>
          <w:tab w:val="left" w:pos="5040"/>
        </w:tabs>
        <w:rPr>
          <w:szCs w:val="26"/>
        </w:rPr>
      </w:pPr>
    </w:p>
    <w:p w:rsidR="00D33A79" w:rsidP="00D33A79" w14:paraId="736A6C80" w14:textId="77777777">
      <w:pPr>
        <w:tabs>
          <w:tab w:val="left" w:pos="5040"/>
        </w:tabs>
        <w:rPr>
          <w:szCs w:val="26"/>
        </w:rPr>
      </w:pPr>
    </w:p>
    <w:p w:rsidR="00D33A79" w:rsidRPr="00D33A79" w:rsidP="00D33A79" w14:paraId="1EFC8EAA" w14:textId="7C2CA280">
      <w:pPr>
        <w:ind w:firstLine="2606"/>
        <w:jc w:val="center"/>
      </w:pPr>
      <w:r w:rsidRPr="00D33A79">
        <w:t>Debbie-Anne A. Reese,</w:t>
      </w:r>
    </w:p>
    <w:p w:rsidR="00D33A79" w:rsidRPr="00D33A79" w:rsidP="00D33A79" w14:paraId="7274E694" w14:textId="576303AE">
      <w:pPr>
        <w:ind w:firstLine="2606"/>
        <w:jc w:val="center"/>
      </w:pPr>
      <w:r w:rsidRPr="00D33A79">
        <w:t>Secretary.</w:t>
      </w:r>
    </w:p>
    <w:p w:rsidR="00D33A79" w:rsidRPr="00A26B8A" w:rsidP="00D33A79" w14:paraId="2BF50841" w14:textId="77777777">
      <w:pPr>
        <w:tabs>
          <w:tab w:val="left" w:pos="5040"/>
        </w:tabs>
        <w:rPr>
          <w:szCs w:val="26"/>
        </w:rPr>
      </w:pPr>
    </w:p>
    <w:sectPr w:rsidSect="00EF5878">
      <w:headerReference w:type="even" r:id="rId15"/>
      <w:headerReference w:type="default" r:id="rId1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C10D7" w14:paraId="29159CAD" w14:textId="77777777">
      <w:r>
        <w:separator/>
      </w:r>
    </w:p>
  </w:footnote>
  <w:footnote w:type="continuationSeparator" w:id="1">
    <w:p w:rsidR="00DC10D7" w14:paraId="4FE2085B" w14:textId="77777777">
      <w:r>
        <w:continuationSeparator/>
      </w:r>
    </w:p>
  </w:footnote>
  <w:footnote w:id="2">
    <w:p w:rsidR="00696A1D" w:rsidRPr="00F7576E" w:rsidP="000D5F4D" w14:paraId="0A09DDCF" w14:textId="77777777">
      <w:pPr>
        <w:pStyle w:val="FootnoteText"/>
        <w:spacing w:after="260"/>
        <w:ind w:firstLine="720"/>
        <w:rPr>
          <w:sz w:val="26"/>
          <w:szCs w:val="26"/>
        </w:rPr>
      </w:pPr>
      <w:r w:rsidRPr="001F3FD7">
        <w:rPr>
          <w:rStyle w:val="FootnoteReference"/>
        </w:rPr>
        <w:footnoteRef/>
      </w:r>
      <w:r w:rsidRPr="001F3FD7">
        <w:rPr>
          <w:sz w:val="26"/>
          <w:szCs w:val="26"/>
        </w:rPr>
        <w:t xml:space="preserve"> </w:t>
      </w:r>
      <w:r w:rsidR="00B434E4">
        <w:rPr>
          <w:sz w:val="26"/>
          <w:szCs w:val="26"/>
        </w:rPr>
        <w:t>B</w:t>
      </w:r>
      <w:r w:rsidRPr="001F3FD7">
        <w:rPr>
          <w:sz w:val="26"/>
          <w:szCs w:val="26"/>
        </w:rPr>
        <w:t xml:space="preserve">urden </w:t>
      </w:r>
      <w:r w:rsidR="00B434E4">
        <w:rPr>
          <w:sz w:val="26"/>
          <w:szCs w:val="26"/>
        </w:rPr>
        <w:t xml:space="preserve">is defined </w:t>
      </w:r>
      <w:r w:rsidRPr="001F3FD7">
        <w:rPr>
          <w:sz w:val="26"/>
          <w:szCs w:val="26"/>
        </w:rPr>
        <w:t xml:space="preserve">as the total time, effort, or financial resources expended by persons to generate, maintain, retain, or disclose or provide information to or for a Federal agency. </w:t>
      </w:r>
      <w:r w:rsidRPr="00F7576E">
        <w:rPr>
          <w:sz w:val="26"/>
          <w:szCs w:val="26"/>
        </w:rPr>
        <w:t>For further explanation of what is included in the information collection burden, reference 5 Code of Federal Regulations 1320.3.</w:t>
      </w:r>
    </w:p>
  </w:footnote>
  <w:footnote w:id="3">
    <w:p w:rsidR="00E639E7" w:rsidP="000D5F4D" w14:paraId="07D122F4" w14:textId="3B7886CC">
      <w:pPr>
        <w:pStyle w:val="FootnoteText"/>
        <w:spacing w:after="260"/>
        <w:ind w:firstLine="720"/>
      </w:pPr>
      <w:r>
        <w:rPr>
          <w:rStyle w:val="FootnoteReference"/>
        </w:rPr>
        <w:footnoteRef/>
      </w:r>
      <w:r>
        <w:t xml:space="preserve"> </w:t>
      </w:r>
      <w:r w:rsidRPr="001B7A8D">
        <w:rPr>
          <w:sz w:val="26"/>
          <w:szCs w:val="26"/>
        </w:rPr>
        <w:t>BA (balancing authority)</w:t>
      </w:r>
      <w:r>
        <w:rPr>
          <w:sz w:val="26"/>
          <w:szCs w:val="26"/>
        </w:rPr>
        <w:t xml:space="preserve">, </w:t>
      </w:r>
      <w:r w:rsidRPr="001B7A8D">
        <w:rPr>
          <w:sz w:val="26"/>
          <w:szCs w:val="26"/>
        </w:rPr>
        <w:t>GO (generator owner)</w:t>
      </w:r>
      <w:r>
        <w:rPr>
          <w:sz w:val="26"/>
          <w:szCs w:val="26"/>
        </w:rPr>
        <w:t xml:space="preserve">, </w:t>
      </w:r>
      <w:r w:rsidRPr="001B7A8D">
        <w:rPr>
          <w:sz w:val="26"/>
          <w:szCs w:val="26"/>
        </w:rPr>
        <w:t>GOP (generator operator)</w:t>
      </w:r>
      <w:r w:rsidR="005B11C5">
        <w:rPr>
          <w:sz w:val="26"/>
          <w:szCs w:val="26"/>
        </w:rPr>
        <w:t xml:space="preserve">.  The entity counts were taken from the NERC Compliance Registration document as of February </w:t>
      </w:r>
      <w:r w:rsidR="00206F78">
        <w:rPr>
          <w:sz w:val="26"/>
          <w:szCs w:val="26"/>
        </w:rPr>
        <w:t>9, 2026.</w:t>
      </w:r>
    </w:p>
  </w:footnote>
  <w:footnote w:id="4">
    <w:p w:rsidR="00906D4D" w:rsidRPr="001B7A8D" w:rsidP="000D5F4D" w14:paraId="53E21FC7" w14:textId="13DF7F2F">
      <w:pPr>
        <w:pStyle w:val="FootnoteText"/>
        <w:spacing w:after="260"/>
        <w:ind w:firstLine="720"/>
        <w:rPr>
          <w:sz w:val="26"/>
          <w:szCs w:val="26"/>
        </w:rPr>
      </w:pPr>
      <w:r w:rsidRPr="00F7576E">
        <w:rPr>
          <w:rStyle w:val="FootnoteReference"/>
        </w:rPr>
        <w:footnoteRef/>
      </w:r>
      <w:r w:rsidRPr="00F7576E" w:rsidR="0001732C">
        <w:rPr>
          <w:sz w:val="26"/>
          <w:szCs w:val="26"/>
        </w:rPr>
        <w:t xml:space="preserve"> </w:t>
      </w:r>
      <w:r w:rsidRPr="00E639E7" w:rsidR="00E639E7">
        <w:rPr>
          <w:sz w:val="26"/>
          <w:szCs w:val="26"/>
        </w:rPr>
        <w:t>The estimated hourly cost (salary plus benefits) is a combination of the following categories from the BLS website, http://www.bls.gov/oes/current/naics2_22.htm:  75% of the average of an Electrical Engineer (17-2071) $71.19/hr., x .75 = 53.3925 ($53.39-rounded) ($53.39/hour); and 25% of an Information and Record Clerk (43-4199</w:t>
      </w:r>
      <w:r w:rsidRPr="002F7908" w:rsidR="00920402">
        <w:rPr>
          <w:sz w:val="26"/>
          <w:szCs w:val="26"/>
        </w:rPr>
        <w:t>]</w:t>
      </w:r>
      <w:r w:rsidRPr="001B7A8D" w:rsidR="00920402">
        <w:rPr>
          <w:sz w:val="26"/>
          <w:szCs w:val="26"/>
        </w:rPr>
        <w:t xml:space="preserve"> </w:t>
      </w:r>
      <w:r w:rsidRPr="00E639E7" w:rsidR="00E639E7">
        <w:rPr>
          <w:sz w:val="26"/>
          <w:szCs w:val="26"/>
        </w:rPr>
        <w:t>$40.51/hr., $40.51 x .25 = 10.1275 ($10.13 rounded) ($10.13/hour), for a total ($53.39+$10.13 = $63.52/hour)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9AA" w:rsidP="00920A1C" w14:paraId="2FCA2A88" w14:textId="2291BE2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39E7">
      <w:rPr>
        <w:rStyle w:val="PageNumber"/>
        <w:noProof/>
      </w:rPr>
      <w:t>5</w:t>
    </w:r>
    <w:r>
      <w:rPr>
        <w:rStyle w:val="PageNumber"/>
      </w:rPr>
      <w:fldChar w:fldCharType="end"/>
    </w:r>
  </w:p>
  <w:p w:rsidR="004D79AA" w:rsidP="005E318F" w14:paraId="79CE64BE"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9AA" w:rsidP="00920A1C" w14:paraId="3C7C242B"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158B">
      <w:rPr>
        <w:rStyle w:val="PageNumber"/>
        <w:noProof/>
      </w:rPr>
      <w:t>6</w:t>
    </w:r>
    <w:r>
      <w:rPr>
        <w:rStyle w:val="PageNumber"/>
      </w:rPr>
      <w:fldChar w:fldCharType="end"/>
    </w:r>
  </w:p>
  <w:p w:rsidR="004D79AA" w:rsidP="005E318F" w14:paraId="0184537A" w14:textId="22514844">
    <w:pPr>
      <w:pStyle w:val="Header"/>
      <w:ind w:right="360"/>
    </w:pPr>
    <w:r w:rsidRPr="00362F6A">
      <w:t xml:space="preserve">Docket No. </w:t>
    </w:r>
    <w:r w:rsidRPr="00362F6A" w:rsidR="00362F6A">
      <w:t>IC</w:t>
    </w:r>
    <w:r w:rsidR="00C5238F">
      <w:t>2</w:t>
    </w:r>
    <w:r>
      <w:t>6</w:t>
    </w:r>
    <w:r w:rsidRPr="00362F6A" w:rsidR="00362F6A">
      <w:t>-</w:t>
    </w:r>
    <w:r w:rsidR="005C5C86">
      <w:t>22</w:t>
    </w:r>
    <w:r w:rsidRPr="004C03CA">
      <w:t>-</w:t>
    </w:r>
    <w:r w:rsidRPr="00362F6A">
      <w:t>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CA5E7B"/>
    <w:multiLevelType w:val="multilevel"/>
    <w:tmpl w:val="A776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10F02A8"/>
    <w:multiLevelType w:val="hybridMultilevel"/>
    <w:tmpl w:val="7AA6D236"/>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nsid w:val="376D0D25"/>
    <w:multiLevelType w:val="hybridMultilevel"/>
    <w:tmpl w:val="73062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9C61D17"/>
    <w:multiLevelType w:val="multilevel"/>
    <w:tmpl w:val="490A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53C6417"/>
    <w:multiLevelType w:val="hybridMultilevel"/>
    <w:tmpl w:val="0226C6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6">
    <w:nsid w:val="5B260868"/>
    <w:multiLevelType w:val="hybridMultilevel"/>
    <w:tmpl w:val="FF0638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3210914">
    <w:abstractNumId w:val="7"/>
  </w:num>
  <w:num w:numId="2" w16cid:durableId="529294622">
    <w:abstractNumId w:val="1"/>
  </w:num>
  <w:num w:numId="3" w16cid:durableId="1699886462">
    <w:abstractNumId w:val="2"/>
  </w:num>
  <w:num w:numId="4" w16cid:durableId="1320889124">
    <w:abstractNumId w:val="3"/>
  </w:num>
  <w:num w:numId="5" w16cid:durableId="1531451377">
    <w:abstractNumId w:val="6"/>
  </w:num>
  <w:num w:numId="6" w16cid:durableId="700402447">
    <w:abstractNumId w:val="5"/>
  </w:num>
  <w:num w:numId="7" w16cid:durableId="62997746">
    <w:abstractNumId w:val="1"/>
  </w:num>
  <w:num w:numId="8" w16cid:durableId="38208452">
    <w:abstractNumId w:val="4"/>
  </w:num>
  <w:num w:numId="9" w16cid:durableId="1239710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890"/>
    <w:rsid w:val="0000007C"/>
    <w:rsid w:val="00002127"/>
    <w:rsid w:val="0000305D"/>
    <w:rsid w:val="00003A58"/>
    <w:rsid w:val="00004A34"/>
    <w:rsid w:val="00004D97"/>
    <w:rsid w:val="00004E01"/>
    <w:rsid w:val="00014E36"/>
    <w:rsid w:val="0001732C"/>
    <w:rsid w:val="00024ECA"/>
    <w:rsid w:val="00036FEC"/>
    <w:rsid w:val="0004005E"/>
    <w:rsid w:val="00041471"/>
    <w:rsid w:val="00043468"/>
    <w:rsid w:val="000436E9"/>
    <w:rsid w:val="0005366B"/>
    <w:rsid w:val="00054C5A"/>
    <w:rsid w:val="00055A58"/>
    <w:rsid w:val="00055C05"/>
    <w:rsid w:val="000613C5"/>
    <w:rsid w:val="0006335A"/>
    <w:rsid w:val="00072256"/>
    <w:rsid w:val="00072448"/>
    <w:rsid w:val="00080D5F"/>
    <w:rsid w:val="000838BE"/>
    <w:rsid w:val="000844F4"/>
    <w:rsid w:val="000854B7"/>
    <w:rsid w:val="000857C5"/>
    <w:rsid w:val="00093E92"/>
    <w:rsid w:val="000A27CA"/>
    <w:rsid w:val="000A5308"/>
    <w:rsid w:val="000A7D1F"/>
    <w:rsid w:val="000B723A"/>
    <w:rsid w:val="000C0396"/>
    <w:rsid w:val="000C1A9E"/>
    <w:rsid w:val="000C22B5"/>
    <w:rsid w:val="000C39E7"/>
    <w:rsid w:val="000C47F2"/>
    <w:rsid w:val="000C56A4"/>
    <w:rsid w:val="000D2EF9"/>
    <w:rsid w:val="000D3639"/>
    <w:rsid w:val="000D5216"/>
    <w:rsid w:val="000D5F4D"/>
    <w:rsid w:val="000F3E00"/>
    <w:rsid w:val="000F784E"/>
    <w:rsid w:val="00103D50"/>
    <w:rsid w:val="00114B14"/>
    <w:rsid w:val="0012158B"/>
    <w:rsid w:val="001240FD"/>
    <w:rsid w:val="00125F00"/>
    <w:rsid w:val="00132DCD"/>
    <w:rsid w:val="00143CB8"/>
    <w:rsid w:val="00146600"/>
    <w:rsid w:val="00146B5E"/>
    <w:rsid w:val="001470C0"/>
    <w:rsid w:val="001475FE"/>
    <w:rsid w:val="00150CA6"/>
    <w:rsid w:val="00163BBE"/>
    <w:rsid w:val="001764B8"/>
    <w:rsid w:val="00176D66"/>
    <w:rsid w:val="00177BCC"/>
    <w:rsid w:val="00181F00"/>
    <w:rsid w:val="0019407A"/>
    <w:rsid w:val="0019691F"/>
    <w:rsid w:val="001A29CA"/>
    <w:rsid w:val="001A4577"/>
    <w:rsid w:val="001A5E0A"/>
    <w:rsid w:val="001A6B7C"/>
    <w:rsid w:val="001A7291"/>
    <w:rsid w:val="001B40FA"/>
    <w:rsid w:val="001B49BD"/>
    <w:rsid w:val="001B6B4A"/>
    <w:rsid w:val="001B7A8D"/>
    <w:rsid w:val="001C3324"/>
    <w:rsid w:val="001C3703"/>
    <w:rsid w:val="001C428F"/>
    <w:rsid w:val="001C4B3B"/>
    <w:rsid w:val="001C4D3A"/>
    <w:rsid w:val="001C5D46"/>
    <w:rsid w:val="001D29FD"/>
    <w:rsid w:val="001E63BE"/>
    <w:rsid w:val="001E69DB"/>
    <w:rsid w:val="001F0B06"/>
    <w:rsid w:val="001F2664"/>
    <w:rsid w:val="001F3FD7"/>
    <w:rsid w:val="001F47CB"/>
    <w:rsid w:val="0020293B"/>
    <w:rsid w:val="00204D0F"/>
    <w:rsid w:val="00206F78"/>
    <w:rsid w:val="00215A17"/>
    <w:rsid w:val="002265E9"/>
    <w:rsid w:val="00241BFD"/>
    <w:rsid w:val="00251C88"/>
    <w:rsid w:val="00252CD0"/>
    <w:rsid w:val="00266668"/>
    <w:rsid w:val="002677D6"/>
    <w:rsid w:val="0026797B"/>
    <w:rsid w:val="00271514"/>
    <w:rsid w:val="0027273D"/>
    <w:rsid w:val="00275286"/>
    <w:rsid w:val="00285E62"/>
    <w:rsid w:val="0028677A"/>
    <w:rsid w:val="0029476E"/>
    <w:rsid w:val="00296592"/>
    <w:rsid w:val="002A3685"/>
    <w:rsid w:val="002A457E"/>
    <w:rsid w:val="002A6174"/>
    <w:rsid w:val="002B43A6"/>
    <w:rsid w:val="002B62A0"/>
    <w:rsid w:val="002C0ECB"/>
    <w:rsid w:val="002C2252"/>
    <w:rsid w:val="002C23E9"/>
    <w:rsid w:val="002E4829"/>
    <w:rsid w:val="002E4FB8"/>
    <w:rsid w:val="002F2F04"/>
    <w:rsid w:val="002F49D3"/>
    <w:rsid w:val="002F7908"/>
    <w:rsid w:val="00317A96"/>
    <w:rsid w:val="00321EB8"/>
    <w:rsid w:val="00323139"/>
    <w:rsid w:val="00335092"/>
    <w:rsid w:val="00341866"/>
    <w:rsid w:val="00356E26"/>
    <w:rsid w:val="00362F6A"/>
    <w:rsid w:val="00366669"/>
    <w:rsid w:val="00370763"/>
    <w:rsid w:val="00374409"/>
    <w:rsid w:val="00381700"/>
    <w:rsid w:val="00386BED"/>
    <w:rsid w:val="003A1D7A"/>
    <w:rsid w:val="003B2915"/>
    <w:rsid w:val="003B4D70"/>
    <w:rsid w:val="003B4FE5"/>
    <w:rsid w:val="003C1644"/>
    <w:rsid w:val="003C1F91"/>
    <w:rsid w:val="003D5A4B"/>
    <w:rsid w:val="003D6813"/>
    <w:rsid w:val="003E2C66"/>
    <w:rsid w:val="003E478D"/>
    <w:rsid w:val="003E4EF2"/>
    <w:rsid w:val="003F32A9"/>
    <w:rsid w:val="004108F8"/>
    <w:rsid w:val="00412C32"/>
    <w:rsid w:val="00414715"/>
    <w:rsid w:val="004230B0"/>
    <w:rsid w:val="00423C49"/>
    <w:rsid w:val="0042785C"/>
    <w:rsid w:val="00430164"/>
    <w:rsid w:val="004326C4"/>
    <w:rsid w:val="00432C41"/>
    <w:rsid w:val="0043489E"/>
    <w:rsid w:val="00445DDF"/>
    <w:rsid w:val="004530E0"/>
    <w:rsid w:val="00453F74"/>
    <w:rsid w:val="00455A33"/>
    <w:rsid w:val="00455C4D"/>
    <w:rsid w:val="00462DBE"/>
    <w:rsid w:val="00470106"/>
    <w:rsid w:val="0047321C"/>
    <w:rsid w:val="004765F7"/>
    <w:rsid w:val="004855F2"/>
    <w:rsid w:val="00487256"/>
    <w:rsid w:val="00487576"/>
    <w:rsid w:val="00490E50"/>
    <w:rsid w:val="00494CEA"/>
    <w:rsid w:val="004A1EAE"/>
    <w:rsid w:val="004A51DF"/>
    <w:rsid w:val="004A6E59"/>
    <w:rsid w:val="004B665B"/>
    <w:rsid w:val="004C03CA"/>
    <w:rsid w:val="004C36C3"/>
    <w:rsid w:val="004C3BB0"/>
    <w:rsid w:val="004C3C65"/>
    <w:rsid w:val="004C77BD"/>
    <w:rsid w:val="004C7CBB"/>
    <w:rsid w:val="004D1EE5"/>
    <w:rsid w:val="004D4011"/>
    <w:rsid w:val="004D4CD3"/>
    <w:rsid w:val="004D53C3"/>
    <w:rsid w:val="004D778A"/>
    <w:rsid w:val="004D79AA"/>
    <w:rsid w:val="004F33FA"/>
    <w:rsid w:val="004F3E67"/>
    <w:rsid w:val="00501DE7"/>
    <w:rsid w:val="0050437A"/>
    <w:rsid w:val="0051234F"/>
    <w:rsid w:val="00515CA5"/>
    <w:rsid w:val="00517B18"/>
    <w:rsid w:val="00521ABE"/>
    <w:rsid w:val="00524B22"/>
    <w:rsid w:val="00530BB4"/>
    <w:rsid w:val="005320C7"/>
    <w:rsid w:val="005346F4"/>
    <w:rsid w:val="00534B97"/>
    <w:rsid w:val="00537276"/>
    <w:rsid w:val="0054477B"/>
    <w:rsid w:val="00551B13"/>
    <w:rsid w:val="005521E7"/>
    <w:rsid w:val="00556AC8"/>
    <w:rsid w:val="00565C9C"/>
    <w:rsid w:val="005665D1"/>
    <w:rsid w:val="005701E9"/>
    <w:rsid w:val="00584568"/>
    <w:rsid w:val="0058734A"/>
    <w:rsid w:val="0058744A"/>
    <w:rsid w:val="00587EF2"/>
    <w:rsid w:val="005916D2"/>
    <w:rsid w:val="00592AD7"/>
    <w:rsid w:val="00594550"/>
    <w:rsid w:val="005953A4"/>
    <w:rsid w:val="005A02C5"/>
    <w:rsid w:val="005A6D8E"/>
    <w:rsid w:val="005B0E46"/>
    <w:rsid w:val="005B11C5"/>
    <w:rsid w:val="005C5C86"/>
    <w:rsid w:val="005C5F96"/>
    <w:rsid w:val="005D0272"/>
    <w:rsid w:val="005E318F"/>
    <w:rsid w:val="005E6B6B"/>
    <w:rsid w:val="005F421B"/>
    <w:rsid w:val="005F5709"/>
    <w:rsid w:val="006053EE"/>
    <w:rsid w:val="006070B9"/>
    <w:rsid w:val="00610694"/>
    <w:rsid w:val="00617E46"/>
    <w:rsid w:val="0062025E"/>
    <w:rsid w:val="00625882"/>
    <w:rsid w:val="006276C9"/>
    <w:rsid w:val="00632C5E"/>
    <w:rsid w:val="006400D4"/>
    <w:rsid w:val="00647B24"/>
    <w:rsid w:val="00656DF0"/>
    <w:rsid w:val="0065768D"/>
    <w:rsid w:val="00672BEA"/>
    <w:rsid w:val="0068483B"/>
    <w:rsid w:val="006902C3"/>
    <w:rsid w:val="0069142C"/>
    <w:rsid w:val="00694675"/>
    <w:rsid w:val="00695504"/>
    <w:rsid w:val="00696A1D"/>
    <w:rsid w:val="00696A87"/>
    <w:rsid w:val="006A2074"/>
    <w:rsid w:val="006A4D89"/>
    <w:rsid w:val="006A64E7"/>
    <w:rsid w:val="006B4821"/>
    <w:rsid w:val="006C57B1"/>
    <w:rsid w:val="006D549E"/>
    <w:rsid w:val="006E6000"/>
    <w:rsid w:val="006E7FB0"/>
    <w:rsid w:val="006F4A80"/>
    <w:rsid w:val="006F77BE"/>
    <w:rsid w:val="0070048D"/>
    <w:rsid w:val="00703DFC"/>
    <w:rsid w:val="0070558B"/>
    <w:rsid w:val="0071251E"/>
    <w:rsid w:val="00715910"/>
    <w:rsid w:val="00720B54"/>
    <w:rsid w:val="00720E07"/>
    <w:rsid w:val="00725908"/>
    <w:rsid w:val="0072643A"/>
    <w:rsid w:val="0074610E"/>
    <w:rsid w:val="00761E6F"/>
    <w:rsid w:val="00764A91"/>
    <w:rsid w:val="00766823"/>
    <w:rsid w:val="0077007C"/>
    <w:rsid w:val="00771BE8"/>
    <w:rsid w:val="007726D7"/>
    <w:rsid w:val="00773856"/>
    <w:rsid w:val="00775EA7"/>
    <w:rsid w:val="0078241C"/>
    <w:rsid w:val="00785CF9"/>
    <w:rsid w:val="007957B9"/>
    <w:rsid w:val="007A46B4"/>
    <w:rsid w:val="007A5C4A"/>
    <w:rsid w:val="007B74F2"/>
    <w:rsid w:val="007C49EA"/>
    <w:rsid w:val="007D2400"/>
    <w:rsid w:val="007D387A"/>
    <w:rsid w:val="007D4A4A"/>
    <w:rsid w:val="007E16A0"/>
    <w:rsid w:val="007E52AC"/>
    <w:rsid w:val="007E6973"/>
    <w:rsid w:val="007E699A"/>
    <w:rsid w:val="007E7573"/>
    <w:rsid w:val="007F4F94"/>
    <w:rsid w:val="007F7E3C"/>
    <w:rsid w:val="00800D3D"/>
    <w:rsid w:val="008041CD"/>
    <w:rsid w:val="00810BCA"/>
    <w:rsid w:val="00827DA2"/>
    <w:rsid w:val="0083270A"/>
    <w:rsid w:val="00834B9E"/>
    <w:rsid w:val="0083507A"/>
    <w:rsid w:val="008410EA"/>
    <w:rsid w:val="00841CCE"/>
    <w:rsid w:val="00843F7F"/>
    <w:rsid w:val="00852671"/>
    <w:rsid w:val="00855434"/>
    <w:rsid w:val="008632DD"/>
    <w:rsid w:val="0086417D"/>
    <w:rsid w:val="00865949"/>
    <w:rsid w:val="00865E72"/>
    <w:rsid w:val="0087254C"/>
    <w:rsid w:val="00880EEA"/>
    <w:rsid w:val="008814F7"/>
    <w:rsid w:val="00891E91"/>
    <w:rsid w:val="00893FB3"/>
    <w:rsid w:val="008956A4"/>
    <w:rsid w:val="008A7C48"/>
    <w:rsid w:val="008B5814"/>
    <w:rsid w:val="008D2E6C"/>
    <w:rsid w:val="008D7DF2"/>
    <w:rsid w:val="008E4CB7"/>
    <w:rsid w:val="008F31AD"/>
    <w:rsid w:val="008F66AB"/>
    <w:rsid w:val="00906BFB"/>
    <w:rsid w:val="00906D4D"/>
    <w:rsid w:val="009077F3"/>
    <w:rsid w:val="00907E15"/>
    <w:rsid w:val="009124A0"/>
    <w:rsid w:val="009131BC"/>
    <w:rsid w:val="00916399"/>
    <w:rsid w:val="0091686D"/>
    <w:rsid w:val="00917FA0"/>
    <w:rsid w:val="00920402"/>
    <w:rsid w:val="00920A1C"/>
    <w:rsid w:val="00924B80"/>
    <w:rsid w:val="0093554F"/>
    <w:rsid w:val="00937BCD"/>
    <w:rsid w:val="009447D3"/>
    <w:rsid w:val="009537F4"/>
    <w:rsid w:val="00956474"/>
    <w:rsid w:val="00956FF9"/>
    <w:rsid w:val="00961DAE"/>
    <w:rsid w:val="00966148"/>
    <w:rsid w:val="009679E3"/>
    <w:rsid w:val="009713C5"/>
    <w:rsid w:val="0097434D"/>
    <w:rsid w:val="00977DFB"/>
    <w:rsid w:val="00977E05"/>
    <w:rsid w:val="0098334E"/>
    <w:rsid w:val="00991D87"/>
    <w:rsid w:val="009947B6"/>
    <w:rsid w:val="00994B38"/>
    <w:rsid w:val="00997AE4"/>
    <w:rsid w:val="009A61E8"/>
    <w:rsid w:val="009B1136"/>
    <w:rsid w:val="009B7DFA"/>
    <w:rsid w:val="009C2E1C"/>
    <w:rsid w:val="009D505F"/>
    <w:rsid w:val="009E1DA1"/>
    <w:rsid w:val="009F03BE"/>
    <w:rsid w:val="009F483E"/>
    <w:rsid w:val="009F4AB4"/>
    <w:rsid w:val="009F71DC"/>
    <w:rsid w:val="00A0763E"/>
    <w:rsid w:val="00A13BEB"/>
    <w:rsid w:val="00A15BF1"/>
    <w:rsid w:val="00A17794"/>
    <w:rsid w:val="00A226EE"/>
    <w:rsid w:val="00A24483"/>
    <w:rsid w:val="00A26B8A"/>
    <w:rsid w:val="00A34319"/>
    <w:rsid w:val="00A34518"/>
    <w:rsid w:val="00A35158"/>
    <w:rsid w:val="00A3726A"/>
    <w:rsid w:val="00A40B65"/>
    <w:rsid w:val="00A4295D"/>
    <w:rsid w:val="00A4355D"/>
    <w:rsid w:val="00A51FCA"/>
    <w:rsid w:val="00A536DA"/>
    <w:rsid w:val="00A56980"/>
    <w:rsid w:val="00A60681"/>
    <w:rsid w:val="00A7297E"/>
    <w:rsid w:val="00A72F11"/>
    <w:rsid w:val="00A85DE0"/>
    <w:rsid w:val="00A96311"/>
    <w:rsid w:val="00A9631E"/>
    <w:rsid w:val="00AA7819"/>
    <w:rsid w:val="00AB0A99"/>
    <w:rsid w:val="00AB20D8"/>
    <w:rsid w:val="00AB436E"/>
    <w:rsid w:val="00AC4CC5"/>
    <w:rsid w:val="00AC7480"/>
    <w:rsid w:val="00AD1F36"/>
    <w:rsid w:val="00AE0995"/>
    <w:rsid w:val="00AE4572"/>
    <w:rsid w:val="00AE61E0"/>
    <w:rsid w:val="00AF4F93"/>
    <w:rsid w:val="00AF6DB1"/>
    <w:rsid w:val="00B018B9"/>
    <w:rsid w:val="00B02FA4"/>
    <w:rsid w:val="00B1101F"/>
    <w:rsid w:val="00B148E2"/>
    <w:rsid w:val="00B150E1"/>
    <w:rsid w:val="00B2439B"/>
    <w:rsid w:val="00B3254F"/>
    <w:rsid w:val="00B33628"/>
    <w:rsid w:val="00B337D1"/>
    <w:rsid w:val="00B43366"/>
    <w:rsid w:val="00B434E4"/>
    <w:rsid w:val="00B4431A"/>
    <w:rsid w:val="00B460AF"/>
    <w:rsid w:val="00B52047"/>
    <w:rsid w:val="00B62B35"/>
    <w:rsid w:val="00B710EA"/>
    <w:rsid w:val="00B74ED7"/>
    <w:rsid w:val="00B75595"/>
    <w:rsid w:val="00B806DB"/>
    <w:rsid w:val="00B81BC5"/>
    <w:rsid w:val="00B835C5"/>
    <w:rsid w:val="00B84EA6"/>
    <w:rsid w:val="00B97BC8"/>
    <w:rsid w:val="00BA7702"/>
    <w:rsid w:val="00BB1C54"/>
    <w:rsid w:val="00BB2D56"/>
    <w:rsid w:val="00BC1B93"/>
    <w:rsid w:val="00BC5A9D"/>
    <w:rsid w:val="00BD0A6B"/>
    <w:rsid w:val="00BD15D4"/>
    <w:rsid w:val="00BD648F"/>
    <w:rsid w:val="00BF0461"/>
    <w:rsid w:val="00BF05A6"/>
    <w:rsid w:val="00BF144D"/>
    <w:rsid w:val="00C01B8E"/>
    <w:rsid w:val="00C0487E"/>
    <w:rsid w:val="00C056FE"/>
    <w:rsid w:val="00C05CA5"/>
    <w:rsid w:val="00C05D6D"/>
    <w:rsid w:val="00C05E2D"/>
    <w:rsid w:val="00C1080B"/>
    <w:rsid w:val="00C13D4D"/>
    <w:rsid w:val="00C14CA1"/>
    <w:rsid w:val="00C14FBB"/>
    <w:rsid w:val="00C15799"/>
    <w:rsid w:val="00C209EA"/>
    <w:rsid w:val="00C20BA6"/>
    <w:rsid w:val="00C211B3"/>
    <w:rsid w:val="00C23A49"/>
    <w:rsid w:val="00C3310F"/>
    <w:rsid w:val="00C33BBC"/>
    <w:rsid w:val="00C36B6B"/>
    <w:rsid w:val="00C41350"/>
    <w:rsid w:val="00C42627"/>
    <w:rsid w:val="00C446C7"/>
    <w:rsid w:val="00C4788A"/>
    <w:rsid w:val="00C5238F"/>
    <w:rsid w:val="00C53513"/>
    <w:rsid w:val="00C56512"/>
    <w:rsid w:val="00C63FEE"/>
    <w:rsid w:val="00C70D6C"/>
    <w:rsid w:val="00C71F08"/>
    <w:rsid w:val="00C856C1"/>
    <w:rsid w:val="00C936A0"/>
    <w:rsid w:val="00C950B8"/>
    <w:rsid w:val="00C9728E"/>
    <w:rsid w:val="00C97402"/>
    <w:rsid w:val="00CA5395"/>
    <w:rsid w:val="00CA582B"/>
    <w:rsid w:val="00CA5D25"/>
    <w:rsid w:val="00CB10EF"/>
    <w:rsid w:val="00CC084C"/>
    <w:rsid w:val="00CC312A"/>
    <w:rsid w:val="00CC36E1"/>
    <w:rsid w:val="00CC5971"/>
    <w:rsid w:val="00CC74B4"/>
    <w:rsid w:val="00CD2300"/>
    <w:rsid w:val="00CD31E5"/>
    <w:rsid w:val="00CD787F"/>
    <w:rsid w:val="00CD7A7E"/>
    <w:rsid w:val="00CE0248"/>
    <w:rsid w:val="00CE0EF2"/>
    <w:rsid w:val="00CE64F2"/>
    <w:rsid w:val="00CF5B9A"/>
    <w:rsid w:val="00CF6906"/>
    <w:rsid w:val="00D02D61"/>
    <w:rsid w:val="00D20E2B"/>
    <w:rsid w:val="00D23599"/>
    <w:rsid w:val="00D33436"/>
    <w:rsid w:val="00D33A79"/>
    <w:rsid w:val="00D43998"/>
    <w:rsid w:val="00D47828"/>
    <w:rsid w:val="00D5320A"/>
    <w:rsid w:val="00D607AE"/>
    <w:rsid w:val="00D63246"/>
    <w:rsid w:val="00D63C82"/>
    <w:rsid w:val="00D660DB"/>
    <w:rsid w:val="00D67693"/>
    <w:rsid w:val="00D70310"/>
    <w:rsid w:val="00D76D45"/>
    <w:rsid w:val="00D77890"/>
    <w:rsid w:val="00D87C24"/>
    <w:rsid w:val="00D90CBF"/>
    <w:rsid w:val="00D90F48"/>
    <w:rsid w:val="00D9166B"/>
    <w:rsid w:val="00D92CB4"/>
    <w:rsid w:val="00D93AE8"/>
    <w:rsid w:val="00D93E95"/>
    <w:rsid w:val="00D94313"/>
    <w:rsid w:val="00DA6F3C"/>
    <w:rsid w:val="00DA7F57"/>
    <w:rsid w:val="00DB44CE"/>
    <w:rsid w:val="00DC05D3"/>
    <w:rsid w:val="00DC09DD"/>
    <w:rsid w:val="00DC0CCD"/>
    <w:rsid w:val="00DC10D7"/>
    <w:rsid w:val="00DC4367"/>
    <w:rsid w:val="00DD02E8"/>
    <w:rsid w:val="00DD1BE3"/>
    <w:rsid w:val="00DD3E84"/>
    <w:rsid w:val="00DF281F"/>
    <w:rsid w:val="00DF3DC8"/>
    <w:rsid w:val="00DF57D1"/>
    <w:rsid w:val="00E027CE"/>
    <w:rsid w:val="00E0745C"/>
    <w:rsid w:val="00E102DA"/>
    <w:rsid w:val="00E146ED"/>
    <w:rsid w:val="00E2091C"/>
    <w:rsid w:val="00E310B1"/>
    <w:rsid w:val="00E416B3"/>
    <w:rsid w:val="00E4230F"/>
    <w:rsid w:val="00E436DC"/>
    <w:rsid w:val="00E43FF3"/>
    <w:rsid w:val="00E5116F"/>
    <w:rsid w:val="00E52021"/>
    <w:rsid w:val="00E521EB"/>
    <w:rsid w:val="00E57F5B"/>
    <w:rsid w:val="00E60318"/>
    <w:rsid w:val="00E623D5"/>
    <w:rsid w:val="00E639E7"/>
    <w:rsid w:val="00E6445A"/>
    <w:rsid w:val="00E6573E"/>
    <w:rsid w:val="00E70F60"/>
    <w:rsid w:val="00E73898"/>
    <w:rsid w:val="00E74DFB"/>
    <w:rsid w:val="00E92ACF"/>
    <w:rsid w:val="00E9701C"/>
    <w:rsid w:val="00EA07A3"/>
    <w:rsid w:val="00EA26F9"/>
    <w:rsid w:val="00EA5739"/>
    <w:rsid w:val="00EB6EE6"/>
    <w:rsid w:val="00EC0705"/>
    <w:rsid w:val="00EC4610"/>
    <w:rsid w:val="00EC4C08"/>
    <w:rsid w:val="00EC657E"/>
    <w:rsid w:val="00EC7372"/>
    <w:rsid w:val="00EE4F64"/>
    <w:rsid w:val="00EE5F32"/>
    <w:rsid w:val="00EE64A4"/>
    <w:rsid w:val="00EF5878"/>
    <w:rsid w:val="00F02B46"/>
    <w:rsid w:val="00F04F98"/>
    <w:rsid w:val="00F05061"/>
    <w:rsid w:val="00F15EB8"/>
    <w:rsid w:val="00F1741F"/>
    <w:rsid w:val="00F17D46"/>
    <w:rsid w:val="00F2283B"/>
    <w:rsid w:val="00F239CB"/>
    <w:rsid w:val="00F252DC"/>
    <w:rsid w:val="00F30FE9"/>
    <w:rsid w:val="00F31331"/>
    <w:rsid w:val="00F33CC9"/>
    <w:rsid w:val="00F34211"/>
    <w:rsid w:val="00F357BF"/>
    <w:rsid w:val="00F4212C"/>
    <w:rsid w:val="00F42509"/>
    <w:rsid w:val="00F500B7"/>
    <w:rsid w:val="00F50EDA"/>
    <w:rsid w:val="00F51826"/>
    <w:rsid w:val="00F567F0"/>
    <w:rsid w:val="00F619B0"/>
    <w:rsid w:val="00F62C6E"/>
    <w:rsid w:val="00F63C6E"/>
    <w:rsid w:val="00F67CA1"/>
    <w:rsid w:val="00F70FE0"/>
    <w:rsid w:val="00F72A15"/>
    <w:rsid w:val="00F730F8"/>
    <w:rsid w:val="00F75289"/>
    <w:rsid w:val="00F7576E"/>
    <w:rsid w:val="00F75AAC"/>
    <w:rsid w:val="00F76482"/>
    <w:rsid w:val="00F80272"/>
    <w:rsid w:val="00F81786"/>
    <w:rsid w:val="00F86890"/>
    <w:rsid w:val="00F92C4D"/>
    <w:rsid w:val="00F94545"/>
    <w:rsid w:val="00FA1560"/>
    <w:rsid w:val="00FA24E8"/>
    <w:rsid w:val="00FA2A52"/>
    <w:rsid w:val="00FA4464"/>
    <w:rsid w:val="00FB5088"/>
    <w:rsid w:val="00FC34C8"/>
    <w:rsid w:val="00FC4CD8"/>
    <w:rsid w:val="00FC5E3E"/>
    <w:rsid w:val="00FE439E"/>
    <w:rsid w:val="5791CE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5060A8"/>
  <w15:chartTrackingRefBased/>
  <w15:docId w15:val="{05010665-4118-4A87-B7EA-F29E570D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487256"/>
    <w:rPr>
      <w:rFonts w:ascii="Times New Roman" w:hAnsi="Times New Roman"/>
      <w:b/>
      <w:sz w:val="26"/>
      <w:szCs w:val="26"/>
      <w:vertAlign w:val="superscript"/>
    </w:rPr>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 MRP,fn,ft"/>
    <w:basedOn w:val="Normal"/>
    <w:link w:val="FootnoteTextChar1"/>
    <w:qFormat/>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paragraph" w:styleId="ListParagraph">
    <w:name w:val="List Paragraph"/>
    <w:basedOn w:val="Normal"/>
    <w:uiPriority w:val="34"/>
    <w:qFormat/>
    <w:rsid w:val="003E4EF2"/>
    <w:pPr>
      <w:spacing w:after="200" w:line="276" w:lineRule="auto"/>
      <w:ind w:left="720"/>
      <w:contextualSpacing/>
    </w:pPr>
    <w:rPr>
      <w:rFonts w:ascii="Calibri" w:eastAsia="Calibri" w:hAnsi="Calibri"/>
      <w:sz w:val="22"/>
      <w:szCs w:val="22"/>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1 Char1 Char Char,fn Char,ft Char"/>
    <w:link w:val="FootnoteText"/>
    <w:rsid w:val="003E4EF2"/>
    <w:rPr>
      <w:sz w:val="22"/>
    </w:rPr>
  </w:style>
  <w:style w:type="character" w:styleId="CommentReference">
    <w:name w:val="annotation reference"/>
    <w:rsid w:val="00BF05A6"/>
    <w:rPr>
      <w:sz w:val="16"/>
      <w:szCs w:val="16"/>
    </w:rPr>
  </w:style>
  <w:style w:type="paragraph" w:styleId="CommentText">
    <w:name w:val="annotation text"/>
    <w:basedOn w:val="Normal"/>
    <w:link w:val="CommentTextChar"/>
    <w:rsid w:val="00BF05A6"/>
    <w:rPr>
      <w:sz w:val="20"/>
      <w:szCs w:val="20"/>
    </w:rPr>
  </w:style>
  <w:style w:type="character" w:customStyle="1" w:styleId="CommentTextChar">
    <w:name w:val="Comment Text Char"/>
    <w:basedOn w:val="DefaultParagraphFont"/>
    <w:link w:val="CommentText"/>
    <w:rsid w:val="00BF05A6"/>
  </w:style>
  <w:style w:type="paragraph" w:styleId="CommentSubject">
    <w:name w:val="annotation subject"/>
    <w:basedOn w:val="CommentText"/>
    <w:next w:val="CommentText"/>
    <w:link w:val="CommentSubjectChar"/>
    <w:rsid w:val="00BF05A6"/>
    <w:rPr>
      <w:b/>
      <w:bCs/>
    </w:rPr>
  </w:style>
  <w:style w:type="character" w:customStyle="1" w:styleId="CommentSubjectChar">
    <w:name w:val="Comment Subject Char"/>
    <w:link w:val="CommentSubject"/>
    <w:rsid w:val="00BF05A6"/>
    <w:rPr>
      <w:b/>
      <w:bCs/>
    </w:rPr>
  </w:style>
  <w:style w:type="character" w:styleId="UnresolvedMention">
    <w:name w:val="Unresolved Mention"/>
    <w:uiPriority w:val="99"/>
    <w:semiHidden/>
    <w:unhideWhenUsed/>
    <w:rsid w:val="001C428F"/>
    <w:rPr>
      <w:color w:val="605E5C"/>
      <w:shd w:val="clear" w:color="auto" w:fill="E1DFDD"/>
    </w:rPr>
  </w:style>
  <w:style w:type="character" w:customStyle="1" w:styleId="FootnoteTextChar">
    <w:name w:val="Footnote Text Char"/>
    <w:semiHidden/>
    <w:rsid w:val="00412C32"/>
  </w:style>
  <w:style w:type="paragraph" w:styleId="Revision">
    <w:name w:val="Revision"/>
    <w:hidden/>
    <w:uiPriority w:val="99"/>
    <w:semiHidden/>
    <w:rsid w:val="004C7CBB"/>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reginfo.gov/public/do/PRA/icrPublicCommentRequest?ref_nbr=202604-1902-009" TargetMode="External" /><Relationship Id="rId12" Type="http://schemas.openxmlformats.org/officeDocument/2006/relationships/hyperlink" Target="https://www.reginfo.gov/public/do/PRAMain" TargetMode="External" /><Relationship Id="rId13" Type="http://schemas.openxmlformats.org/officeDocument/2006/relationships/hyperlink" Target="mailto:DataClearance@FERC.gov" TargetMode="External" /><Relationship Id="rId14" Type="http://schemas.openxmlformats.org/officeDocument/2006/relationships/hyperlink" Target="https://elibrary.ferc.gov/eLibrary/search"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6.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CBA2CC52-994F-4FA6-8791-D5DFB8B2F217}">
  <ds:schemaRefs>
    <ds:schemaRef ds:uri="http://schemas.openxmlformats.org/officeDocument/2006/bibliography"/>
  </ds:schemaRefs>
</ds:datastoreItem>
</file>

<file path=customXml/itemProps2.xml><?xml version="1.0" encoding="utf-8"?>
<ds:datastoreItem xmlns:ds="http://schemas.openxmlformats.org/officeDocument/2006/customXml" ds:itemID="{EDE3C2A8-7E4C-4217-90E3-EC794CB4DD26}">
  <ds:schemaRefs>
    <ds:schemaRef ds:uri="http://schemas.microsoft.com/sharepoint/v3/contenttype/forms"/>
  </ds:schemaRefs>
</ds:datastoreItem>
</file>

<file path=customXml/itemProps3.xml><?xml version="1.0" encoding="utf-8"?>
<ds:datastoreItem xmlns:ds="http://schemas.openxmlformats.org/officeDocument/2006/customXml" ds:itemID="{D25A7A8C-C814-4DCA-BA32-F8B629BFC429}">
  <ds:schemaRefs>
    <ds:schemaRef ds:uri="http://schemas.microsoft.com/office/2006/metadata/longProperties"/>
  </ds:schemaRefs>
</ds:datastoreItem>
</file>

<file path=customXml/itemProps4.xml><?xml version="1.0" encoding="utf-8"?>
<ds:datastoreItem xmlns:ds="http://schemas.openxmlformats.org/officeDocument/2006/customXml" ds:itemID="{D40F0014-9580-4C53-A041-51934C482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381EE7-9529-4365-B268-311A0AFE6E55}">
  <ds:schemaRefs>
    <ds:schemaRef ds:uri="http://schemas.microsoft.com/office/2006/metadata/properties"/>
    <ds:schemaRef ds:uri="http://schemas.microsoft.com/office/infopath/2007/PartnerControls"/>
    <ds:schemaRef ds:uri="5e8733a2-e908-454b-85cf-c9d17e1d0943"/>
  </ds:schemaRefs>
</ds:datastoreItem>
</file>

<file path=customXml/itemProps6.xml><?xml version="1.0" encoding="utf-8"?>
<ds:datastoreItem xmlns:ds="http://schemas.openxmlformats.org/officeDocument/2006/customXml" ds:itemID="{7D65E707-A68A-4D54-B54F-9F334A864C1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882</Words>
  <Characters>5445</Characters>
  <Application>Microsoft Office Word</Application>
  <DocSecurity>0</DocSecurity>
  <Lines>187</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dcterms:created xsi:type="dcterms:W3CDTF">2026-06-18T13:55:00Z</dcterms:created>
  <dcterms:modified xsi:type="dcterms:W3CDTF">2026-06-18T13:55:00Z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0621c838-b6f9-4dac-9603-1dd1781b08ed</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2026-06-18T13:53:59Z</vt:lpwstr>
  </property>
  <property fmtid="{D5CDD505-2E9C-101B-9397-08002B2CF9AE}" pid="8" name="MSIP_Label_bd24d06a-0e85-4d57-b1e0-ba34b1abc708_SiteId">
    <vt:lpwstr>19caa9e9-04ff-43fa-885f-d77fac387903</vt:lpwstr>
  </property>
  <property fmtid="{D5CDD505-2E9C-101B-9397-08002B2CF9AE}" pid="9" name="MSIP_Label_bd24d06a-0e85-4d57-b1e0-ba34b1abc708_Tag">
    <vt:lpwstr>10, 0, 1, 1</vt:lpwstr>
  </property>
</Properties>
</file>