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7F55" w:rsidRPr="00E9060E" w:rsidP="00BD0F89" w14:paraId="17D3E202" w14:textId="77777777">
      <w:pPr>
        <w:spacing w:after="0" w:line="240" w:lineRule="auto"/>
        <w:jc w:val="center"/>
        <w:rPr>
          <w:rFonts w:ascii="Times New Roman" w:hAnsi="Times New Roman"/>
          <w:sz w:val="26"/>
          <w:szCs w:val="26"/>
        </w:rPr>
      </w:pPr>
      <w:r w:rsidRPr="00E9060E">
        <w:rPr>
          <w:rFonts w:ascii="Times New Roman" w:hAnsi="Times New Roman"/>
          <w:sz w:val="26"/>
          <w:szCs w:val="26"/>
        </w:rPr>
        <w:t>Supporting Statement</w:t>
      </w:r>
      <w:r w:rsidRPr="00E9060E" w:rsidR="002953E1">
        <w:rPr>
          <w:rFonts w:ascii="Times New Roman" w:hAnsi="Times New Roman"/>
          <w:sz w:val="26"/>
          <w:szCs w:val="26"/>
        </w:rPr>
        <w:t xml:space="preserve"> for</w:t>
      </w:r>
    </w:p>
    <w:p w:rsidR="009D3942" w:rsidRPr="00E9060E" w:rsidP="00BD0F89" w14:paraId="21AA4489" w14:textId="77777777">
      <w:pPr>
        <w:spacing w:after="0" w:line="240" w:lineRule="auto"/>
        <w:jc w:val="center"/>
        <w:rPr>
          <w:rFonts w:ascii="Times New Roman" w:hAnsi="Times New Roman"/>
          <w:b/>
          <w:sz w:val="26"/>
          <w:szCs w:val="26"/>
        </w:rPr>
      </w:pPr>
    </w:p>
    <w:p w:rsidR="009D3942" w:rsidP="00BD0F89" w14:paraId="1C13F22C" w14:textId="4FF3A65C">
      <w:pPr>
        <w:spacing w:after="0" w:line="240" w:lineRule="auto"/>
        <w:jc w:val="center"/>
        <w:rPr>
          <w:rFonts w:ascii="Times New Roman" w:hAnsi="Times New Roman"/>
          <w:b/>
          <w:sz w:val="26"/>
          <w:szCs w:val="26"/>
        </w:rPr>
      </w:pPr>
      <w:r w:rsidRPr="0090268F">
        <w:rPr>
          <w:rFonts w:ascii="Times New Roman" w:hAnsi="Times New Roman"/>
          <w:b/>
          <w:sz w:val="26"/>
          <w:szCs w:val="26"/>
        </w:rPr>
        <w:t>FERC-714, (Annual Electric Balancing Authority Area and Planning Area Report)</w:t>
      </w:r>
    </w:p>
    <w:p w:rsidR="0090268F" w:rsidRPr="00E9060E" w:rsidP="00BD0F89" w14:paraId="514206D7" w14:textId="77777777">
      <w:pPr>
        <w:spacing w:after="0" w:line="240" w:lineRule="auto"/>
        <w:jc w:val="center"/>
        <w:rPr>
          <w:rFonts w:ascii="Times New Roman" w:hAnsi="Times New Roman"/>
          <w:b/>
          <w:sz w:val="26"/>
          <w:szCs w:val="26"/>
        </w:rPr>
      </w:pPr>
    </w:p>
    <w:p w:rsidR="00856707" w:rsidP="00BD0F89" w14:paraId="20D80A14" w14:textId="4F2BC1C7">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Pr="00E9060E" w:rsidR="00D13613">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 xml:space="preserve">Management and Budget (OMB) </w:t>
      </w:r>
      <w:r w:rsidRPr="001E6691">
        <w:rPr>
          <w:rFonts w:ascii="Times New Roman" w:hAnsi="Times New Roman"/>
          <w:sz w:val="26"/>
          <w:szCs w:val="26"/>
        </w:rPr>
        <w:t>approv</w:t>
      </w:r>
      <w:r w:rsidRPr="001E6691" w:rsidR="00EB790F">
        <w:rPr>
          <w:rFonts w:ascii="Times New Roman" w:hAnsi="Times New Roman"/>
          <w:sz w:val="26"/>
          <w:szCs w:val="26"/>
        </w:rPr>
        <w:t>e</w:t>
      </w:r>
      <w:r w:rsidRPr="001E6691">
        <w:rPr>
          <w:rFonts w:ascii="Times New Roman" w:hAnsi="Times New Roman"/>
          <w:sz w:val="26"/>
          <w:szCs w:val="26"/>
        </w:rPr>
        <w:t xml:space="preserve"> </w:t>
      </w:r>
      <w:r w:rsidRPr="001E6691" w:rsidR="00EB790F">
        <w:rPr>
          <w:rFonts w:ascii="Times New Roman" w:hAnsi="Times New Roman"/>
          <w:sz w:val="26"/>
          <w:szCs w:val="26"/>
        </w:rPr>
        <w:t xml:space="preserve">the </w:t>
      </w:r>
      <w:r w:rsidR="00854426">
        <w:rPr>
          <w:rFonts w:ascii="Times New Roman" w:hAnsi="Times New Roman"/>
          <w:sz w:val="26"/>
          <w:szCs w:val="26"/>
        </w:rPr>
        <w:t xml:space="preserve">extension of </w:t>
      </w:r>
      <w:r w:rsidRPr="00E9060E" w:rsidR="00854426">
        <w:rPr>
          <w:rFonts w:ascii="Times New Roman" w:hAnsi="Times New Roman"/>
          <w:sz w:val="26"/>
          <w:szCs w:val="26"/>
        </w:rPr>
        <w:t>FERC Form No. 714 (also called FERC-714) (Annual Electric Balancing Authority Area and Planning Area Report; OMB Control No. 1902-0140)</w:t>
      </w:r>
      <w:r w:rsidR="00854426">
        <w:rPr>
          <w:rFonts w:ascii="Times New Roman" w:hAnsi="Times New Roman"/>
          <w:sz w:val="26"/>
          <w:szCs w:val="26"/>
        </w:rPr>
        <w:t xml:space="preserve"> for an additional </w:t>
      </w:r>
      <w:r w:rsidR="001F43F4">
        <w:rPr>
          <w:rFonts w:ascii="Times New Roman" w:hAnsi="Times New Roman"/>
          <w:sz w:val="26"/>
          <w:szCs w:val="26"/>
        </w:rPr>
        <w:t>three</w:t>
      </w:r>
      <w:r w:rsidR="00854426">
        <w:rPr>
          <w:rFonts w:ascii="Times New Roman" w:hAnsi="Times New Roman"/>
          <w:sz w:val="26"/>
          <w:szCs w:val="26"/>
        </w:rPr>
        <w:t xml:space="preserve"> years.</w:t>
      </w:r>
    </w:p>
    <w:p w:rsidR="00854426" w:rsidP="00BD0F89" w14:paraId="06BD8C5C" w14:textId="30BE6377">
      <w:pPr>
        <w:spacing w:after="0" w:line="240" w:lineRule="auto"/>
        <w:rPr>
          <w:rFonts w:ascii="Times New Roman" w:hAnsi="Times New Roman"/>
          <w:sz w:val="26"/>
          <w:szCs w:val="26"/>
        </w:rPr>
      </w:pPr>
    </w:p>
    <w:p w:rsidR="009C7F55" w:rsidRPr="00E9060E" w:rsidP="00BD0F89" w14:paraId="41D5B9C4"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rsidR="002476F2" w:rsidRPr="00E9060E" w:rsidP="002476F2" w14:paraId="228B82CC" w14:textId="0DBD8340">
      <w:pPr>
        <w:spacing w:after="0" w:line="240" w:lineRule="auto"/>
        <w:rPr>
          <w:rFonts w:ascii="Times New Roman" w:hAnsi="Times New Roman"/>
          <w:sz w:val="26"/>
          <w:szCs w:val="26"/>
        </w:rPr>
      </w:pPr>
      <w:r w:rsidRPr="00E9060E">
        <w:rPr>
          <w:rFonts w:ascii="Times New Roman" w:hAnsi="Times New Roman"/>
          <w:sz w:val="26"/>
          <w:szCs w:val="26"/>
        </w:rPr>
        <w:t>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w:t>
      </w:r>
      <w:r w:rsidRPr="00E9060E">
        <w:rPr>
          <w:rFonts w:ascii="Times New Roman" w:hAnsi="Times New Roman"/>
          <w:sz w:val="26"/>
          <w:szCs w:val="26"/>
        </w:rPr>
        <w:t xml:space="preserve">ating rates and charges, assessing </w:t>
      </w:r>
      <w:r w:rsidR="001F43F4">
        <w:rPr>
          <w:rFonts w:ascii="Times New Roman" w:hAnsi="Times New Roman"/>
          <w:sz w:val="26"/>
          <w:szCs w:val="26"/>
        </w:rPr>
        <w:t>reliabilit</w:t>
      </w:r>
      <w:r w:rsidRPr="00E9060E">
        <w:rPr>
          <w:rFonts w:ascii="Times New Roman" w:hAnsi="Times New Roman"/>
          <w:sz w:val="26"/>
          <w:szCs w:val="26"/>
        </w:rPr>
        <w:t>y</w:t>
      </w:r>
      <w:r w:rsidR="001F43F4">
        <w:rPr>
          <w:rFonts w:ascii="Times New Roman" w:hAnsi="Times New Roman"/>
          <w:sz w:val="26"/>
          <w:szCs w:val="26"/>
        </w:rPr>
        <w:t>,</w:t>
      </w:r>
      <w:r w:rsidRPr="00E9060E">
        <w:rPr>
          <w:rFonts w:ascii="Times New Roman" w:hAnsi="Times New Roman"/>
          <w:sz w:val="26"/>
          <w:szCs w:val="26"/>
        </w:rPr>
        <w:t xml:space="preserve"> and other operating attributes in regulatory proceedings, monitoring market trends and behaviors, and determining the competitive impacts of proposed mergers, acquisitions, and dispositions.  </w:t>
      </w:r>
    </w:p>
    <w:p w:rsidR="00471F97" w:rsidRPr="00E9060E" w:rsidP="00BD0F89" w14:paraId="5D257DEF" w14:textId="77777777">
      <w:pPr>
        <w:spacing w:after="0" w:line="240" w:lineRule="auto"/>
        <w:rPr>
          <w:rFonts w:ascii="Times New Roman" w:hAnsi="Times New Roman"/>
          <w:sz w:val="26"/>
          <w:szCs w:val="26"/>
        </w:rPr>
      </w:pPr>
    </w:p>
    <w:p w:rsidR="00471F97" w:rsidRPr="00E9060E" w:rsidP="00BD0F89" w14:paraId="025D3203"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rsidR="007445A8" w:rsidRPr="00E9060E" w:rsidP="00BD0F89" w14:paraId="4C545E0D" w14:textId="77777777">
      <w:pPr>
        <w:spacing w:after="0" w:line="240" w:lineRule="auto"/>
        <w:rPr>
          <w:rFonts w:ascii="Times New Roman" w:hAnsi="Times New Roman"/>
          <w:sz w:val="26"/>
          <w:szCs w:val="26"/>
        </w:rPr>
      </w:pPr>
    </w:p>
    <w:p w:rsidR="00BA412D" w:rsidRPr="00E9060E" w:rsidP="00BD0F89" w14:paraId="4C3D06A5" w14:textId="6A7AD4D1">
      <w:pPr>
        <w:spacing w:after="0" w:line="240" w:lineRule="auto"/>
        <w:rPr>
          <w:rFonts w:ascii="Times New Roman" w:hAnsi="Times New Roman"/>
          <w:sz w:val="26"/>
          <w:szCs w:val="26"/>
        </w:rPr>
      </w:pPr>
      <w:r w:rsidRPr="00E9060E">
        <w:rPr>
          <w:rFonts w:ascii="Times New Roman" w:hAnsi="Times New Roman"/>
          <w:sz w:val="26"/>
          <w:szCs w:val="26"/>
        </w:rPr>
        <w:t xml:space="preserve">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Pr="00E9060E" w:rsidR="00EA5213">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w:t>
      </w:r>
      <w:r w:rsidRPr="00E9060E">
        <w:rPr>
          <w:rFonts w:ascii="Times New Roman" w:hAnsi="Times New Roman"/>
          <w:sz w:val="26"/>
          <w:szCs w:val="26"/>
        </w:rPr>
        <w:t>estimate</w:t>
      </w:r>
      <w:r w:rsidRPr="00E9060E">
        <w:rPr>
          <w:rFonts w:ascii="Times New Roman" w:hAnsi="Times New Roman"/>
          <w:sz w:val="26"/>
          <w:szCs w:val="26"/>
        </w:rPr>
        <w:t xml:space="preserv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Pr="00E9060E" w:rsidR="00EA5213">
        <w:rPr>
          <w:rFonts w:ascii="Times New Roman" w:hAnsi="Times New Roman"/>
          <w:sz w:val="26"/>
          <w:szCs w:val="26"/>
        </w:rPr>
        <w:t xml:space="preserve">Form No. </w:t>
      </w:r>
      <w:r w:rsidRPr="00E9060E">
        <w:rPr>
          <w:rFonts w:ascii="Times New Roman" w:hAnsi="Times New Roman"/>
          <w:sz w:val="26"/>
          <w:szCs w:val="26"/>
        </w:rPr>
        <w:t>714 data</w:t>
      </w:r>
      <w:r w:rsidRPr="00E9060E">
        <w:rPr>
          <w:rFonts w:ascii="Times New Roman" w:hAnsi="Times New Roman"/>
          <w:sz w:val="26"/>
          <w:szCs w:val="26"/>
        </w:rPr>
        <w:t xml:space="preserve"> assists in providing a broad picture of interconnected balancing authority area operations including comprehensive information of balancing authority area generation, actual an</w:t>
      </w:r>
      <w:r w:rsidRPr="00E9060E">
        <w:rPr>
          <w:rFonts w:ascii="Times New Roman" w:hAnsi="Times New Roman"/>
          <w:sz w:val="26"/>
          <w:szCs w:val="26"/>
        </w:rPr>
        <w:t>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rsidR="00BA412D" w:rsidRPr="00E9060E" w:rsidP="00BD0F89" w14:paraId="5C34D2DD" w14:textId="2528B21F">
      <w:pPr>
        <w:spacing w:after="0" w:line="240" w:lineRule="auto"/>
        <w:rPr>
          <w:rFonts w:ascii="Times New Roman" w:hAnsi="Times New Roman"/>
          <w:sz w:val="26"/>
          <w:szCs w:val="26"/>
        </w:rPr>
      </w:pPr>
    </w:p>
    <w:p w:rsidR="00BA412D" w:rsidRPr="00E9060E" w:rsidP="00BD0F89" w14:paraId="718A49D7" w14:textId="77777777">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rsidR="00BA412D" w:rsidRPr="00E9060E" w:rsidP="00BD0F89" w14:paraId="613FA9F9" w14:textId="77777777">
      <w:pPr>
        <w:spacing w:after="0" w:line="240" w:lineRule="auto"/>
        <w:rPr>
          <w:rFonts w:ascii="Times New Roman" w:hAnsi="Times New Roman"/>
          <w:sz w:val="26"/>
          <w:szCs w:val="26"/>
        </w:rPr>
      </w:pPr>
    </w:p>
    <w:p w:rsidR="00BA412D" w:rsidRPr="00E9060E" w:rsidP="00BD0F89" w14:paraId="6268B2CF" w14:textId="429DB172">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Pr="00E9060E" w:rsidR="00EA5213">
        <w:rPr>
          <w:rFonts w:ascii="Times New Roman" w:hAnsi="Times New Roman"/>
          <w:sz w:val="26"/>
          <w:szCs w:val="26"/>
        </w:rPr>
        <w:t xml:space="preserve">Form No. </w:t>
      </w:r>
      <w:r w:rsidRPr="00E9060E">
        <w:rPr>
          <w:rFonts w:ascii="Times New Roman" w:hAnsi="Times New Roman"/>
          <w:sz w:val="26"/>
          <w:szCs w:val="26"/>
        </w:rPr>
        <w:t xml:space="preserve">714 would </w:t>
      </w:r>
      <w:r w:rsidR="001F43F4">
        <w:rPr>
          <w:rFonts w:ascii="Times New Roman" w:hAnsi="Times New Roman"/>
          <w:sz w:val="26"/>
          <w:szCs w:val="26"/>
        </w:rPr>
        <w:t>cause a lack of</w:t>
      </w:r>
      <w:r w:rsidRPr="00E9060E">
        <w:rPr>
          <w:rFonts w:ascii="Times New Roman" w:hAnsi="Times New Roman"/>
          <w:sz w:val="26"/>
          <w:szCs w:val="26"/>
        </w:rPr>
        <w:t xml:space="preserve"> support for the Commission’s regulatory functions associated with the processing of rate applications and cases, proposed mergers and dispositions of </w:t>
      </w:r>
      <w:r w:rsidRPr="00E9060E">
        <w:rPr>
          <w:rFonts w:ascii="Times New Roman" w:hAnsi="Times New Roman"/>
          <w:sz w:val="26"/>
          <w:szCs w:val="26"/>
        </w:rPr>
        <w:t xml:space="preserve">jurisdictional </w:t>
      </w:r>
      <w:r w:rsidRPr="00E9060E">
        <w:rPr>
          <w:rFonts w:ascii="Times New Roman" w:hAnsi="Times New Roman"/>
          <w:sz w:val="26"/>
          <w:szCs w:val="26"/>
        </w:rPr>
        <w:t>facilities, and</w:t>
      </w:r>
      <w:r w:rsidRPr="00E9060E">
        <w:rPr>
          <w:rFonts w:ascii="Times New Roman" w:hAnsi="Times New Roman"/>
          <w:sz w:val="26"/>
          <w:szCs w:val="26"/>
        </w:rPr>
        <w:t xml:space="preserve"> understanding of the planning and operational needs of the grid.  </w:t>
      </w:r>
      <w:r w:rsidR="001F43F4">
        <w:rPr>
          <w:rFonts w:ascii="Times New Roman" w:hAnsi="Times New Roman"/>
          <w:sz w:val="26"/>
          <w:szCs w:val="26"/>
        </w:rPr>
        <w:t>The consequen</w:t>
      </w:r>
      <w:r w:rsidR="00C22797">
        <w:rPr>
          <w:rFonts w:ascii="Times New Roman" w:hAnsi="Times New Roman"/>
          <w:sz w:val="26"/>
          <w:szCs w:val="26"/>
        </w:rPr>
        <w:t>c</w:t>
      </w:r>
      <w:r w:rsidR="001F43F4">
        <w:rPr>
          <w:rFonts w:ascii="Times New Roman" w:hAnsi="Times New Roman"/>
          <w:sz w:val="26"/>
          <w:szCs w:val="26"/>
        </w:rPr>
        <w:t>e would cause t</w:t>
      </w:r>
      <w:r w:rsidRPr="00E9060E">
        <w:rPr>
          <w:rFonts w:ascii="Times New Roman" w:hAnsi="Times New Roman"/>
          <w:sz w:val="26"/>
          <w:szCs w:val="26"/>
        </w:rPr>
        <w:t xml:space="preserve">he Commission, other federal and state regulatory agencies, transmission users, and the public </w:t>
      </w:r>
      <w:r w:rsidR="001F43F4">
        <w:rPr>
          <w:rFonts w:ascii="Times New Roman" w:hAnsi="Times New Roman"/>
          <w:sz w:val="26"/>
          <w:szCs w:val="26"/>
        </w:rPr>
        <w:t>to</w:t>
      </w:r>
      <w:r w:rsidRPr="00E9060E">
        <w:rPr>
          <w:rFonts w:ascii="Times New Roman" w:hAnsi="Times New Roman"/>
          <w:sz w:val="26"/>
          <w:szCs w:val="26"/>
        </w:rPr>
        <w:t xml:space="preserve">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w:t>
      </w:r>
      <w:r w:rsidR="001F43F4">
        <w:rPr>
          <w:rFonts w:ascii="Times New Roman" w:hAnsi="Times New Roman"/>
          <w:sz w:val="26"/>
          <w:szCs w:val="26"/>
        </w:rPr>
        <w:t xml:space="preserve">prevent the </w:t>
      </w:r>
      <w:r w:rsidRPr="00E9060E">
        <w:rPr>
          <w:rFonts w:ascii="Times New Roman" w:hAnsi="Times New Roman"/>
          <w:sz w:val="26"/>
          <w:szCs w:val="26"/>
        </w:rPr>
        <w:t xml:space="preserve">efforts </w:t>
      </w:r>
      <w:r w:rsidR="001F43F4">
        <w:rPr>
          <w:rFonts w:ascii="Times New Roman" w:hAnsi="Times New Roman"/>
          <w:sz w:val="26"/>
          <w:szCs w:val="26"/>
        </w:rPr>
        <w:t xml:space="preserve">of </w:t>
      </w:r>
      <w:r w:rsidRPr="00E9060E">
        <w:rPr>
          <w:rFonts w:ascii="Times New Roman" w:hAnsi="Times New Roman"/>
          <w:sz w:val="26"/>
          <w:szCs w:val="26"/>
        </w:rPr>
        <w:t xml:space="preserve">electric utility entities in ensuring that resource capabilities could sufficiently and reliably meet system peak and forecast loads.  </w:t>
      </w:r>
    </w:p>
    <w:p w:rsidR="0088425D" w:rsidRPr="00E9060E" w:rsidP="00BD0F89" w14:paraId="65A0AAFB" w14:textId="77777777">
      <w:pPr>
        <w:spacing w:after="0" w:line="240" w:lineRule="auto"/>
        <w:rPr>
          <w:rFonts w:ascii="Times New Roman" w:hAnsi="Times New Roman"/>
          <w:sz w:val="26"/>
          <w:szCs w:val="26"/>
        </w:rPr>
      </w:pPr>
    </w:p>
    <w:p w:rsidR="00471F97" w:rsidRPr="00E9060E" w:rsidP="00BD0F89" w14:paraId="5FCC3BB8"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rsidR="00471F97" w:rsidRPr="00E9060E" w:rsidP="00BD0F89" w14:paraId="391BE832" w14:textId="77777777">
      <w:pPr>
        <w:spacing w:after="0" w:line="240" w:lineRule="auto"/>
        <w:ind w:left="360" w:hanging="360"/>
        <w:rPr>
          <w:rFonts w:ascii="Times New Roman" w:hAnsi="Times New Roman"/>
          <w:sz w:val="26"/>
          <w:szCs w:val="26"/>
        </w:rPr>
      </w:pPr>
    </w:p>
    <w:p w:rsidR="0088425D" w:rsidRPr="00E9060E" w:rsidP="00BD0F89" w14:paraId="7EA7A4A5" w14:textId="3272A63A">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is to transition from a software platform which is no longer supported by the vendor to a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w:t>
      </w:r>
      <w:r w:rsidRPr="00E9060E">
        <w:rPr>
          <w:rFonts w:ascii="Times New Roman" w:hAnsi="Times New Roman"/>
          <w:sz w:val="26"/>
          <w:szCs w:val="26"/>
        </w:rPr>
        <w:t>analyze</w:t>
      </w:r>
      <w:r w:rsidR="00A257FF">
        <w:rPr>
          <w:rFonts w:ascii="Times New Roman" w:hAnsi="Times New Roman"/>
          <w:sz w:val="26"/>
          <w:szCs w:val="26"/>
        </w:rPr>
        <w:t>,</w:t>
      </w:r>
      <w:r w:rsidRPr="00E9060E">
        <w:rPr>
          <w:rFonts w:ascii="Times New Roman" w:hAnsi="Times New Roman"/>
          <w:sz w:val="26"/>
          <w:szCs w:val="26"/>
        </w:rPr>
        <w:t xml:space="preserve"> and</w:t>
      </w:r>
      <w:r w:rsidRPr="00E9060E">
        <w:rPr>
          <w:rFonts w:ascii="Times New Roman" w:hAnsi="Times New Roman"/>
          <w:sz w:val="26"/>
          <w:szCs w:val="26"/>
        </w:rPr>
        <w:t xml:space="preserve"> assist in automating regulatory filings.  </w:t>
      </w:r>
    </w:p>
    <w:p w:rsidR="0088425D" w:rsidRPr="00E9060E" w:rsidP="00BD0F89" w14:paraId="00645005" w14:textId="77777777">
      <w:pPr>
        <w:spacing w:after="0" w:line="240" w:lineRule="auto"/>
        <w:ind w:left="360" w:hanging="360"/>
        <w:rPr>
          <w:rFonts w:ascii="Times New Roman" w:hAnsi="Times New Roman"/>
          <w:sz w:val="26"/>
          <w:szCs w:val="26"/>
        </w:rPr>
      </w:pPr>
    </w:p>
    <w:p w:rsidR="00F0627E" w:rsidRPr="00E9060E" w:rsidP="00BD0F89" w14:paraId="235E8FE2"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00F0627E" w:rsidRPr="00E9060E" w:rsidP="00BD0F89" w14:paraId="7DC29030" w14:textId="77777777">
      <w:pPr>
        <w:spacing w:after="0" w:line="240" w:lineRule="auto"/>
        <w:ind w:left="360" w:hanging="360"/>
        <w:rPr>
          <w:rFonts w:ascii="Times New Roman" w:hAnsi="Times New Roman"/>
          <w:sz w:val="26"/>
          <w:szCs w:val="26"/>
        </w:rPr>
      </w:pPr>
    </w:p>
    <w:p w:rsidR="007D436E" w:rsidRPr="00E9060E" w:rsidP="00BD0F89" w14:paraId="2951980C" w14:textId="77777777">
      <w:pPr>
        <w:spacing w:after="0" w:line="240" w:lineRule="auto"/>
        <w:rPr>
          <w:rFonts w:ascii="Times New Roman" w:hAnsi="Times New Roman"/>
          <w:sz w:val="26"/>
          <w:szCs w:val="26"/>
        </w:rPr>
      </w:pPr>
    </w:p>
    <w:p w:rsidR="00BA412D" w:rsidRPr="00E9060E" w:rsidP="00BD0F89" w14:paraId="3A42CD31" w14:textId="6209CC76">
      <w:pPr>
        <w:spacing w:after="0" w:line="240" w:lineRule="auto"/>
        <w:rPr>
          <w:rFonts w:ascii="Times New Roman" w:hAnsi="Times New Roman"/>
          <w:sz w:val="26"/>
          <w:szCs w:val="26"/>
        </w:rPr>
      </w:pPr>
      <w:r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Pr="00E9060E" w:rsidR="00EA5213">
        <w:rPr>
          <w:rFonts w:ascii="Times New Roman" w:hAnsi="Times New Roman"/>
          <w:sz w:val="26"/>
          <w:szCs w:val="26"/>
        </w:rPr>
        <w:t>Form No.</w:t>
      </w:r>
      <w:r w:rsidR="00F65138">
        <w:rPr>
          <w:rFonts w:ascii="Times New Roman" w:hAnsi="Times New Roman"/>
          <w:sz w:val="26"/>
          <w:szCs w:val="26"/>
        </w:rPr>
        <w:t xml:space="preserve"> </w:t>
      </w:r>
      <w:r w:rsidRPr="00E9060E">
        <w:rPr>
          <w:rFonts w:ascii="Times New Roman" w:hAnsi="Times New Roman"/>
          <w:sz w:val="26"/>
          <w:szCs w:val="26"/>
        </w:rPr>
        <w:t xml:space="preserve">714, the U.S. Energy Information Administration (EIA) implemented a </w:t>
      </w:r>
      <w:r w:rsidRPr="00E9060E" w:rsidR="001A62D9">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Pr="00E9060E" w:rsidR="00FF71B5">
        <w:rPr>
          <w:rFonts w:ascii="Times New Roman" w:hAnsi="Times New Roman"/>
          <w:sz w:val="26"/>
          <w:szCs w:val="26"/>
        </w:rPr>
        <w:t>entities</w:t>
      </w:r>
      <w:r w:rsidRPr="00E9060E">
        <w:rPr>
          <w:rFonts w:ascii="Times New Roman" w:hAnsi="Times New Roman"/>
          <w:sz w:val="26"/>
          <w:szCs w:val="26"/>
        </w:rPr>
        <w:t xml:space="preserve"> in the contiguous United States</w:t>
      </w:r>
      <w:r w:rsidRPr="00E9060E" w:rsidR="00FF71B5">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xml:space="preserve">.  </w:t>
      </w:r>
      <w:bookmarkStart w:id="0" w:name="_Hlk99895543"/>
      <w:r w:rsidRPr="00E9060E">
        <w:rPr>
          <w:rFonts w:ascii="Times New Roman" w:hAnsi="Times New Roman"/>
          <w:sz w:val="26"/>
          <w:szCs w:val="26"/>
        </w:rPr>
        <w:t>Th</w:t>
      </w:r>
      <w:r w:rsidRPr="00E9060E" w:rsidR="00EA0F6E">
        <w:rPr>
          <w:rFonts w:ascii="Times New Roman" w:hAnsi="Times New Roman"/>
          <w:sz w:val="26"/>
          <w:szCs w:val="26"/>
        </w:rPr>
        <w:t xml:space="preserve">e </w:t>
      </w:r>
      <w:r w:rsidRPr="00E9060E">
        <w:rPr>
          <w:rFonts w:ascii="Times New Roman" w:hAnsi="Times New Roman"/>
          <w:sz w:val="26"/>
          <w:szCs w:val="26"/>
        </w:rPr>
        <w:t xml:space="preserve">EIA-930: </w:t>
      </w:r>
      <w:r w:rsidRPr="00E9060E">
        <w:rPr>
          <w:rFonts w:ascii="Times New Roman" w:hAnsi="Times New Roman"/>
          <w:sz w:val="26"/>
          <w:szCs w:val="26"/>
        </w:rPr>
        <w:t>Hourly and Daily Balancing Authority Operations Report</w:t>
      </w:r>
      <w:bookmarkEnd w:id="0"/>
      <w:r w:rsidRPr="00E9060E">
        <w:rPr>
          <w:rFonts w:ascii="Times New Roman" w:hAnsi="Times New Roman"/>
          <w:sz w:val="26"/>
          <w:szCs w:val="26"/>
        </w:rPr>
        <w:t>,</w:t>
      </w:r>
      <w:r w:rsidRPr="00E9060E">
        <w:rPr>
          <w:rFonts w:ascii="Times New Roman" w:hAnsi="Times New Roman"/>
          <w:sz w:val="26"/>
          <w:szCs w:val="26"/>
        </w:rPr>
        <w:t xml:space="preserve"> requires the filing of hourly balancing authority operating data </w:t>
      </w:r>
      <w:r w:rsidRPr="00E9060E" w:rsidR="005B04C3">
        <w:rPr>
          <w:rFonts w:ascii="Times New Roman" w:hAnsi="Times New Roman"/>
          <w:sz w:val="26"/>
          <w:szCs w:val="26"/>
        </w:rPr>
        <w:t xml:space="preserve">including day-ahead demand forecast, actual demand, net generation, and net </w:t>
      </w:r>
      <w:r w:rsidRPr="00E9060E" w:rsidR="005B04C3">
        <w:rPr>
          <w:rFonts w:ascii="Times New Roman" w:hAnsi="Times New Roman"/>
          <w:sz w:val="26"/>
          <w:szCs w:val="26"/>
        </w:rPr>
        <w:t>metered tie</w:t>
      </w:r>
      <w:r w:rsidRPr="00E9060E" w:rsidR="005B04C3">
        <w:rPr>
          <w:rFonts w:ascii="Times New Roman" w:hAnsi="Times New Roman"/>
          <w:sz w:val="26"/>
          <w:szCs w:val="26"/>
        </w:rPr>
        <w:t xml:space="preserve"> line flow </w:t>
      </w:r>
      <w:r w:rsidRPr="00E9060E">
        <w:rPr>
          <w:rFonts w:ascii="Times New Roman" w:hAnsi="Times New Roman"/>
          <w:sz w:val="26"/>
          <w:szCs w:val="26"/>
        </w:rPr>
        <w:t xml:space="preserve">to EIA.  The data </w:t>
      </w:r>
      <w:r w:rsidRPr="00E9060E" w:rsidR="00E5589D">
        <w:rPr>
          <w:rFonts w:ascii="Times New Roman" w:hAnsi="Times New Roman"/>
          <w:sz w:val="26"/>
          <w:szCs w:val="26"/>
        </w:rPr>
        <w:t>is</w:t>
      </w:r>
      <w:r w:rsidRPr="00E9060E">
        <w:rPr>
          <w:rFonts w:ascii="Times New Roman" w:hAnsi="Times New Roman"/>
          <w:sz w:val="26"/>
          <w:szCs w:val="26"/>
        </w:rPr>
        <w:t xml:space="preserve"> posted onto a publicly available website</w:t>
      </w:r>
      <w:r>
        <w:rPr>
          <w:rStyle w:val="FootnoteReference"/>
          <w:rFonts w:ascii="Times New Roman" w:hAnsi="Times New Roman"/>
          <w:sz w:val="26"/>
          <w:szCs w:val="26"/>
          <w:vertAlign w:val="superscript"/>
        </w:rPr>
        <w:footnoteReference w:id="3"/>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Pr="00E9060E" w:rsidR="00186976">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rsidR="00BA412D" w:rsidRPr="00E9060E" w:rsidP="00BD0F89" w14:paraId="2FC6998F" w14:textId="77777777">
      <w:pPr>
        <w:spacing w:after="0" w:line="240" w:lineRule="auto"/>
        <w:rPr>
          <w:rFonts w:ascii="Times New Roman" w:hAnsi="Times New Roman"/>
          <w:sz w:val="26"/>
          <w:szCs w:val="26"/>
        </w:rPr>
      </w:pPr>
    </w:p>
    <w:p w:rsidR="00BA412D" w:rsidRPr="00E9060E" w:rsidP="00BD0F89" w14:paraId="70FDC4BC" w14:textId="77777777">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there are no other Federal agencies responsible for obtaining planning area-level data consisting of forecasted demands and hourly demand characteristics from electric utility entities with fundamental demand responsibilities.</w:t>
      </w:r>
    </w:p>
    <w:p w:rsidR="00F0627E" w:rsidRPr="00E9060E" w:rsidP="00BD0F89" w14:paraId="2F70AA54" w14:textId="77777777">
      <w:pPr>
        <w:spacing w:after="0" w:line="240" w:lineRule="auto"/>
        <w:rPr>
          <w:rFonts w:ascii="Times New Roman" w:hAnsi="Times New Roman"/>
          <w:sz w:val="26"/>
          <w:szCs w:val="26"/>
        </w:rPr>
      </w:pPr>
    </w:p>
    <w:p w:rsidR="00F0627E" w:rsidRPr="00E9060E" w:rsidP="00BD0F89" w14:paraId="1043320F"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rsidR="00F0627E" w:rsidRPr="00E9060E" w:rsidP="00BD0F89" w14:paraId="7CE41F3F" w14:textId="77777777">
      <w:pPr>
        <w:spacing w:after="0" w:line="240" w:lineRule="auto"/>
        <w:rPr>
          <w:rFonts w:ascii="Times New Roman" w:hAnsi="Times New Roman"/>
          <w:sz w:val="26"/>
          <w:szCs w:val="26"/>
        </w:rPr>
      </w:pPr>
    </w:p>
    <w:p w:rsidR="00BA412D" w:rsidRPr="00E9060E" w:rsidP="00BD0F89" w14:paraId="72499C0E" w14:textId="6121A026">
      <w:pPr>
        <w:spacing w:after="0" w:line="240" w:lineRule="auto"/>
        <w:rPr>
          <w:rFonts w:ascii="Times New Roman" w:hAnsi="Times New Roman"/>
          <w:sz w:val="26"/>
          <w:szCs w:val="26"/>
        </w:rPr>
      </w:pPr>
      <w:r w:rsidRPr="00E9060E">
        <w:rPr>
          <w:rFonts w:ascii="Times New Roman" w:hAnsi="Times New Roman"/>
          <w:sz w:val="26"/>
          <w:szCs w:val="26"/>
        </w:rPr>
        <w:t xml:space="preserve">The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w:t>
      </w:r>
      <w:r w:rsidR="003C0867">
        <w:rPr>
          <w:rFonts w:ascii="Times New Roman" w:hAnsi="Times New Roman"/>
          <w:sz w:val="26"/>
          <w:szCs w:val="26"/>
        </w:rPr>
        <w:t>a FERC</w:t>
      </w:r>
      <w:r w:rsidR="003C0867">
        <w:rPr>
          <w:rFonts w:ascii="Times New Roman" w:hAnsi="Times New Roman"/>
          <w:sz w:val="26"/>
          <w:szCs w:val="26"/>
        </w:rPr>
        <w:t xml:space="preserve"> </w:t>
      </w:r>
      <w:r w:rsidRPr="00E9060E">
        <w:rPr>
          <w:rFonts w:ascii="Times New Roman" w:hAnsi="Times New Roman"/>
          <w:sz w:val="26"/>
          <w:szCs w:val="26"/>
        </w:rPr>
        <w:t>F</w:t>
      </w:r>
      <w:r w:rsidRPr="00E9060E" w:rsidR="00F50DEC">
        <w:rPr>
          <w:rFonts w:ascii="Times New Roman" w:hAnsi="Times New Roman"/>
          <w:sz w:val="26"/>
          <w:szCs w:val="26"/>
        </w:rPr>
        <w:t xml:space="preserve">orm No. </w:t>
      </w:r>
      <w:r w:rsidRPr="00E9060E">
        <w:rPr>
          <w:rFonts w:ascii="Times New Roman" w:hAnsi="Times New Roman"/>
          <w:sz w:val="26"/>
          <w:szCs w:val="26"/>
        </w:rPr>
        <w:t xml:space="preserve">714 as a means of reducing burden for small entities.  This 200 MW threshold can result in a slight variation year </w:t>
      </w:r>
      <w:r w:rsidRPr="00E9060E">
        <w:rPr>
          <w:rFonts w:ascii="Times New Roman" w:hAnsi="Times New Roman"/>
          <w:sz w:val="26"/>
          <w:szCs w:val="26"/>
        </w:rPr>
        <w:t>to</w:t>
      </w:r>
      <w:r w:rsidRPr="00E9060E">
        <w:rPr>
          <w:rFonts w:ascii="Times New Roman" w:hAnsi="Times New Roman"/>
          <w:sz w:val="26"/>
          <w:szCs w:val="26"/>
        </w:rPr>
        <w:t xml:space="preserve"> year in the number of balancing authorities and planning areas that are required to file </w:t>
      </w:r>
      <w:r w:rsidRPr="00E9060E">
        <w:rPr>
          <w:rFonts w:ascii="Times New Roman" w:hAnsi="Times New Roman"/>
          <w:sz w:val="26"/>
          <w:szCs w:val="26"/>
        </w:rPr>
        <w:t>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w:t>
      </w:r>
      <w:r w:rsidRPr="00E9060E">
        <w:rPr>
          <w:rFonts w:ascii="Times New Roman" w:hAnsi="Times New Roman"/>
          <w:sz w:val="26"/>
          <w:szCs w:val="26"/>
        </w:rPr>
        <w:t>constraintsand</w:t>
      </w:r>
      <w:r w:rsidRPr="00E9060E">
        <w:rPr>
          <w:rFonts w:ascii="Times New Roman" w:hAnsi="Times New Roman"/>
          <w:sz w:val="26"/>
          <w:szCs w:val="26"/>
        </w:rPr>
        <w:t xml:space="preserve">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Pr="00E9060E" w:rsidR="00F50DEC">
        <w:rPr>
          <w:rFonts w:ascii="Times New Roman" w:hAnsi="Times New Roman"/>
          <w:sz w:val="26"/>
          <w:szCs w:val="26"/>
        </w:rPr>
        <w:t xml:space="preserve">orm No. </w:t>
      </w:r>
      <w:r w:rsidRPr="00E9060E">
        <w:rPr>
          <w:rFonts w:ascii="Times New Roman" w:hAnsi="Times New Roman"/>
          <w:sz w:val="26"/>
          <w:szCs w:val="26"/>
        </w:rPr>
        <w:t>714 filing</w:t>
      </w:r>
      <w:r w:rsidRPr="00E9060E" w:rsidR="00F50DEC">
        <w:rPr>
          <w:rFonts w:ascii="Times New Roman" w:hAnsi="Times New Roman"/>
          <w:sz w:val="26"/>
          <w:szCs w:val="26"/>
        </w:rPr>
        <w:t xml:space="preserve">.  Thus, </w:t>
      </w:r>
      <w:r w:rsidRPr="00E9060E">
        <w:rPr>
          <w:rFonts w:ascii="Times New Roman" w:hAnsi="Times New Roman"/>
          <w:sz w:val="26"/>
          <w:szCs w:val="26"/>
        </w:rPr>
        <w:t>setting a 200 MW threshold exempt</w:t>
      </w:r>
      <w:r w:rsidRPr="00E9060E" w:rsidR="00F50DEC">
        <w:rPr>
          <w:rFonts w:ascii="Times New Roman" w:hAnsi="Times New Roman"/>
          <w:sz w:val="26"/>
          <w:szCs w:val="26"/>
        </w:rPr>
        <w:t>s</w:t>
      </w:r>
      <w:r w:rsidRPr="00E9060E">
        <w:rPr>
          <w:rFonts w:ascii="Times New Roman" w:hAnsi="Times New Roman"/>
          <w:sz w:val="26"/>
          <w:szCs w:val="26"/>
        </w:rPr>
        <w:t xml:space="preserve"> many of these small entitie</w:t>
      </w:r>
      <w:r w:rsidRPr="00E9060E">
        <w:rPr>
          <w:rFonts w:ascii="Times New Roman" w:hAnsi="Times New Roman"/>
          <w:sz w:val="26"/>
          <w:szCs w:val="26"/>
        </w:rPr>
        <w:t>s from having to respond to this collection.</w:t>
      </w:r>
    </w:p>
    <w:p w:rsidR="007D436E" w:rsidRPr="00E9060E" w:rsidP="00BD0F89" w14:paraId="0CF4CC09" w14:textId="77777777">
      <w:pPr>
        <w:spacing w:after="0" w:line="240" w:lineRule="auto"/>
        <w:rPr>
          <w:rFonts w:ascii="Times New Roman" w:eastAsia="Times New Roman" w:hAnsi="Times New Roman"/>
          <w:sz w:val="26"/>
          <w:szCs w:val="26"/>
        </w:rPr>
      </w:pPr>
    </w:p>
    <w:p w:rsidR="00F0627E" w:rsidRPr="00E9060E" w:rsidP="00BD0F89" w14:paraId="26442DFE"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rsidR="00F0627E" w:rsidRPr="00E9060E" w:rsidP="00BD0F89" w14:paraId="20A53002" w14:textId="77777777">
      <w:pPr>
        <w:spacing w:after="0" w:line="240" w:lineRule="auto"/>
        <w:rPr>
          <w:rFonts w:ascii="Times New Roman" w:hAnsi="Times New Roman"/>
          <w:sz w:val="26"/>
          <w:szCs w:val="26"/>
        </w:rPr>
      </w:pPr>
    </w:p>
    <w:p w:rsidR="00C57F88" w:rsidRPr="00E9060E" w:rsidP="00C57F88" w14:paraId="4E1E8FD3" w14:textId="145D8661">
      <w:pPr>
        <w:spacing w:after="0" w:line="240" w:lineRule="auto"/>
        <w:rPr>
          <w:rFonts w:ascii="Times New Roman" w:hAnsi="Times New Roman"/>
          <w:sz w:val="26"/>
          <w:szCs w:val="26"/>
        </w:rPr>
      </w:pPr>
    </w:p>
    <w:p w:rsidR="00C443EF" w:rsidRPr="00E9060E" w:rsidP="00A25906" w14:paraId="7776F4E6" w14:textId="0C20CB3D">
      <w:pPr>
        <w:spacing w:after="0" w:line="240" w:lineRule="auto"/>
        <w:rPr>
          <w:rFonts w:ascii="Times New Roman" w:hAnsi="Times New Roman"/>
          <w:sz w:val="26"/>
          <w:szCs w:val="26"/>
        </w:rPr>
      </w:pPr>
      <w:r w:rsidRPr="00E9060E">
        <w:rPr>
          <w:rFonts w:ascii="Times New Roman" w:hAnsi="Times New Roman"/>
          <w:sz w:val="26"/>
          <w:szCs w:val="26"/>
        </w:rPr>
        <w:t xml:space="preserve">The </w:t>
      </w:r>
      <w:r w:rsidRPr="00E9060E" w:rsidR="00427C6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Pr="00E9060E" w:rsidR="00B75C18">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Pr="00E9060E" w:rsidR="00B75C18">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Pr="00E9060E" w:rsidR="00B75C18">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Pr="00E9060E" w:rsidR="00B75C18">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w:t>
      </w:r>
      <w:r w:rsidRPr="00E9060E">
        <w:rPr>
          <w:rFonts w:ascii="Times New Roman" w:hAnsi="Times New Roman"/>
          <w:sz w:val="26"/>
          <w:szCs w:val="26"/>
        </w:rPr>
        <w:t>ive impacts of proposed mergers and acquisitions.</w:t>
      </w:r>
    </w:p>
    <w:p w:rsidR="00C443EF" w:rsidRPr="00E9060E" w:rsidP="00A25906" w14:paraId="299E1730" w14:textId="77777777">
      <w:pPr>
        <w:spacing w:after="0" w:line="240" w:lineRule="auto"/>
        <w:rPr>
          <w:rFonts w:ascii="Times New Roman" w:hAnsi="Times New Roman"/>
          <w:sz w:val="26"/>
          <w:szCs w:val="26"/>
        </w:rPr>
      </w:pPr>
    </w:p>
    <w:p w:rsidR="007D436E" w:rsidRPr="00E9060E" w:rsidP="00A25906" w14:paraId="38370DCD" w14:textId="689301AC">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t>
      </w:r>
      <w:r w:rsidRPr="00E9060E">
        <w:rPr>
          <w:rFonts w:ascii="Times New Roman" w:hAnsi="Times New Roman"/>
          <w:sz w:val="26"/>
          <w:szCs w:val="26"/>
        </w:rPr>
        <w:t>were</w:t>
      </w:r>
      <w:r w:rsidRPr="00E9060E">
        <w:rPr>
          <w:rFonts w:ascii="Times New Roman" w:hAnsi="Times New Roman"/>
          <w:sz w:val="26"/>
          <w:szCs w:val="26"/>
        </w:rPr>
        <w:t xml:space="preserve"> collected less frequently, the Commission would </w:t>
      </w:r>
      <w:r w:rsidRPr="00E9060E" w:rsidR="0003545C">
        <w:rPr>
          <w:rFonts w:ascii="Times New Roman" w:hAnsi="Times New Roman"/>
          <w:sz w:val="26"/>
          <w:szCs w:val="26"/>
        </w:rPr>
        <w:t xml:space="preserve">have difficulty </w:t>
      </w:r>
      <w:r w:rsidRPr="00E9060E">
        <w:rPr>
          <w:rFonts w:ascii="Times New Roman" w:hAnsi="Times New Roman"/>
          <w:sz w:val="26"/>
          <w:szCs w:val="26"/>
        </w:rPr>
        <w:t>perform</w:t>
      </w:r>
      <w:r w:rsidRPr="00E9060E" w:rsidR="0003545C">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Pr="00E9060E" w:rsidR="00B75C18">
        <w:rPr>
          <w:rFonts w:ascii="Times New Roman" w:hAnsi="Times New Roman"/>
          <w:sz w:val="26"/>
          <w:szCs w:val="26"/>
        </w:rPr>
        <w:t xml:space="preserve">  </w:t>
      </w:r>
    </w:p>
    <w:p w:rsidR="00F0627E" w:rsidRPr="00E9060E" w:rsidP="00BD0F89" w14:paraId="3319550E" w14:textId="77777777">
      <w:pPr>
        <w:spacing w:after="0" w:line="240" w:lineRule="auto"/>
        <w:rPr>
          <w:rFonts w:ascii="Times New Roman" w:hAnsi="Times New Roman"/>
          <w:sz w:val="26"/>
          <w:szCs w:val="26"/>
        </w:rPr>
      </w:pPr>
    </w:p>
    <w:p w:rsidR="00F0627E" w:rsidRPr="00E9060E" w:rsidP="00BD0F89" w14:paraId="6DE0BCEB"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rsidR="00F0627E" w:rsidRPr="00E9060E" w:rsidP="00BD0F89" w14:paraId="61BC8479" w14:textId="77777777">
      <w:pPr>
        <w:spacing w:after="0" w:line="240" w:lineRule="auto"/>
        <w:rPr>
          <w:rFonts w:ascii="Times New Roman" w:hAnsi="Times New Roman"/>
          <w:sz w:val="26"/>
          <w:szCs w:val="26"/>
        </w:rPr>
      </w:pPr>
    </w:p>
    <w:p w:rsidR="00517EC0" w:rsidRPr="00E9060E" w:rsidP="00854426" w14:paraId="71A9D1CB" w14:textId="1E5DB9EC">
      <w:pPr>
        <w:spacing w:after="0" w:line="240" w:lineRule="auto"/>
        <w:rPr>
          <w:rFonts w:ascii="Times New Roman" w:eastAsia="Times New Roman" w:hAnsi="Times New Roman"/>
          <w:sz w:val="26"/>
          <w:szCs w:val="26"/>
        </w:rPr>
      </w:pPr>
      <w:r w:rsidRPr="00E9060E">
        <w:rPr>
          <w:rFonts w:ascii="Times New Roman" w:hAnsi="Times New Roman"/>
          <w:sz w:val="26"/>
          <w:szCs w:val="26"/>
        </w:rPr>
        <w:t>There are no special circumstances related to th</w:t>
      </w:r>
      <w:r w:rsidR="00854426">
        <w:rPr>
          <w:rFonts w:ascii="Times New Roman" w:hAnsi="Times New Roman"/>
          <w:sz w:val="26"/>
          <w:szCs w:val="26"/>
        </w:rPr>
        <w:t>is</w:t>
      </w:r>
      <w:r w:rsidRPr="00E9060E">
        <w:rPr>
          <w:rFonts w:ascii="Times New Roman" w:hAnsi="Times New Roman"/>
          <w:sz w:val="26"/>
          <w:szCs w:val="26"/>
        </w:rPr>
        <w:t xml:space="preserve"> information</w:t>
      </w:r>
      <w:r w:rsidR="00854426">
        <w:rPr>
          <w:rFonts w:ascii="Times New Roman" w:hAnsi="Times New Roman"/>
          <w:sz w:val="26"/>
          <w:szCs w:val="26"/>
        </w:rPr>
        <w:t xml:space="preserve">. </w:t>
      </w:r>
    </w:p>
    <w:p w:rsidR="00517EC0" w:rsidRPr="00E9060E" w:rsidP="00BD0F89" w14:paraId="1AE2476B" w14:textId="77777777">
      <w:pPr>
        <w:spacing w:after="0" w:line="240" w:lineRule="auto"/>
        <w:ind w:left="360" w:hanging="360"/>
        <w:rPr>
          <w:rFonts w:ascii="Times New Roman" w:hAnsi="Times New Roman"/>
          <w:sz w:val="26"/>
          <w:szCs w:val="26"/>
        </w:rPr>
      </w:pPr>
    </w:p>
    <w:p w:rsidR="00F0627E" w:rsidP="00BD0F89" w14:paraId="75DA9249" w14:textId="5A42D045">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rsidR="00383B4B" w:rsidP="00383B4B" w14:paraId="503CDA3B" w14:textId="786C131B">
      <w:pPr>
        <w:spacing w:after="0" w:line="240" w:lineRule="auto"/>
        <w:rPr>
          <w:rFonts w:ascii="Times New Roman" w:hAnsi="Times New Roman"/>
          <w:b/>
          <w:sz w:val="26"/>
          <w:szCs w:val="26"/>
        </w:rPr>
      </w:pPr>
    </w:p>
    <w:p w:rsidR="00383B4B" w:rsidRPr="00383B4B" w:rsidP="00383B4B" w14:paraId="6525E872" w14:textId="02D1B9B3">
      <w:pPr>
        <w:spacing w:after="0" w:line="240" w:lineRule="auto"/>
        <w:rPr>
          <w:rFonts w:ascii="Times New Roman" w:hAnsi="Times New Roman"/>
          <w:bCs/>
          <w:sz w:val="26"/>
          <w:szCs w:val="26"/>
        </w:rPr>
      </w:pPr>
      <w:r>
        <w:rPr>
          <w:rFonts w:ascii="Times New Roman" w:hAnsi="Times New Roman"/>
          <w:bCs/>
          <w:sz w:val="26"/>
          <w:szCs w:val="26"/>
        </w:rPr>
        <w:t xml:space="preserve">The commission issued the 60-day notice </w:t>
      </w:r>
      <w:r>
        <w:rPr>
          <w:rFonts w:ascii="Times New Roman" w:hAnsi="Times New Roman"/>
          <w:bCs/>
          <w:sz w:val="26"/>
          <w:szCs w:val="26"/>
        </w:rPr>
        <w:t xml:space="preserve">on  </w:t>
      </w:r>
      <w:r w:rsidR="00212CCC">
        <w:rPr>
          <w:rFonts w:ascii="Times New Roman" w:hAnsi="Times New Roman"/>
          <w:bCs/>
          <w:sz w:val="26"/>
          <w:szCs w:val="26"/>
        </w:rPr>
        <w:t>February</w:t>
      </w:r>
      <w:r w:rsidR="00212CCC">
        <w:rPr>
          <w:rFonts w:ascii="Times New Roman" w:hAnsi="Times New Roman"/>
          <w:bCs/>
          <w:sz w:val="26"/>
          <w:szCs w:val="26"/>
        </w:rPr>
        <w:t xml:space="preserve"> 26, </w:t>
      </w:r>
      <w:r w:rsidR="00212CCC">
        <w:rPr>
          <w:rFonts w:ascii="Times New Roman" w:hAnsi="Times New Roman"/>
          <w:bCs/>
          <w:sz w:val="26"/>
          <w:szCs w:val="26"/>
        </w:rPr>
        <w:t>2026</w:t>
      </w:r>
      <w:r>
        <w:rPr>
          <w:rFonts w:ascii="Times New Roman" w:hAnsi="Times New Roman"/>
          <w:bCs/>
          <w:sz w:val="26"/>
          <w:szCs w:val="26"/>
        </w:rPr>
        <w:t xml:space="preserve"> to </w:t>
      </w:r>
      <w:r>
        <w:rPr>
          <w:rFonts w:ascii="Times New Roman" w:hAnsi="Times New Roman"/>
          <w:bCs/>
          <w:sz w:val="26"/>
          <w:szCs w:val="26"/>
        </w:rPr>
        <w:t>eLibrary</w:t>
      </w:r>
      <w:r>
        <w:rPr>
          <w:rFonts w:ascii="Times New Roman" w:hAnsi="Times New Roman"/>
          <w:bCs/>
          <w:sz w:val="26"/>
          <w:szCs w:val="26"/>
        </w:rPr>
        <w:t xml:space="preserve"> and published the notice to the Federal Register on </w:t>
      </w:r>
      <w:r w:rsidR="00212CCC">
        <w:rPr>
          <w:rFonts w:ascii="Times New Roman" w:hAnsi="Times New Roman"/>
          <w:bCs/>
          <w:sz w:val="26"/>
          <w:szCs w:val="26"/>
        </w:rPr>
        <w:t>March 3, 2026</w:t>
      </w:r>
      <w:r>
        <w:rPr>
          <w:rFonts w:ascii="Times New Roman" w:hAnsi="Times New Roman"/>
          <w:bCs/>
          <w:sz w:val="26"/>
          <w:szCs w:val="26"/>
        </w:rPr>
        <w:t xml:space="preserve"> (</w:t>
      </w:r>
      <w:r w:rsidR="00212CCC">
        <w:rPr>
          <w:rFonts w:ascii="Times New Roman" w:hAnsi="Times New Roman"/>
          <w:bCs/>
          <w:sz w:val="26"/>
          <w:szCs w:val="26"/>
        </w:rPr>
        <w:t>91</w:t>
      </w:r>
      <w:r>
        <w:rPr>
          <w:rFonts w:ascii="Times New Roman" w:hAnsi="Times New Roman"/>
          <w:bCs/>
          <w:sz w:val="26"/>
          <w:szCs w:val="26"/>
        </w:rPr>
        <w:t xml:space="preserve"> FR </w:t>
      </w:r>
      <w:r w:rsidR="00212CCC">
        <w:rPr>
          <w:rFonts w:ascii="Times New Roman" w:hAnsi="Times New Roman"/>
          <w:bCs/>
          <w:sz w:val="26"/>
          <w:szCs w:val="26"/>
        </w:rPr>
        <w:t>10381</w:t>
      </w:r>
      <w:r>
        <w:rPr>
          <w:rFonts w:ascii="Times New Roman" w:hAnsi="Times New Roman"/>
          <w:bCs/>
          <w:sz w:val="26"/>
          <w:szCs w:val="26"/>
        </w:rPr>
        <w:t>)</w:t>
      </w:r>
      <w:r w:rsidR="004E1313">
        <w:rPr>
          <w:rFonts w:ascii="Times New Roman" w:hAnsi="Times New Roman"/>
          <w:bCs/>
          <w:sz w:val="26"/>
          <w:szCs w:val="26"/>
        </w:rPr>
        <w:t>.</w:t>
      </w:r>
      <w:r w:rsidR="00D31F5D">
        <w:rPr>
          <w:rFonts w:ascii="Times New Roman" w:hAnsi="Times New Roman"/>
          <w:bCs/>
          <w:sz w:val="26"/>
          <w:szCs w:val="26"/>
        </w:rPr>
        <w:t xml:space="preserve">  No comments were received during the 60-day comment period.  The 30-day notice was issued on </w:t>
      </w:r>
      <w:r w:rsidR="005220EE">
        <w:rPr>
          <w:rFonts w:ascii="Times New Roman" w:hAnsi="Times New Roman"/>
          <w:bCs/>
          <w:sz w:val="26"/>
          <w:szCs w:val="26"/>
        </w:rPr>
        <w:t>May</w:t>
      </w:r>
      <w:r w:rsidR="00D31F5D">
        <w:rPr>
          <w:rFonts w:ascii="Times New Roman" w:hAnsi="Times New Roman"/>
          <w:bCs/>
          <w:sz w:val="26"/>
          <w:szCs w:val="26"/>
        </w:rPr>
        <w:t xml:space="preserve"> </w:t>
      </w:r>
      <w:r w:rsidR="006B2417">
        <w:rPr>
          <w:rFonts w:ascii="Times New Roman" w:hAnsi="Times New Roman"/>
          <w:bCs/>
          <w:sz w:val="26"/>
          <w:szCs w:val="26"/>
        </w:rPr>
        <w:t>22</w:t>
      </w:r>
      <w:r w:rsidR="00D31F5D">
        <w:rPr>
          <w:rFonts w:ascii="Times New Roman" w:hAnsi="Times New Roman"/>
          <w:bCs/>
          <w:sz w:val="26"/>
          <w:szCs w:val="26"/>
        </w:rPr>
        <w:t xml:space="preserve">, </w:t>
      </w:r>
      <w:r w:rsidR="00D31F5D">
        <w:rPr>
          <w:rFonts w:ascii="Times New Roman" w:hAnsi="Times New Roman"/>
          <w:bCs/>
          <w:sz w:val="26"/>
          <w:szCs w:val="26"/>
        </w:rPr>
        <w:t>20</w:t>
      </w:r>
      <w:r w:rsidR="005220EE">
        <w:rPr>
          <w:rFonts w:ascii="Times New Roman" w:hAnsi="Times New Roman"/>
          <w:bCs/>
          <w:sz w:val="26"/>
          <w:szCs w:val="26"/>
        </w:rPr>
        <w:t>26</w:t>
      </w:r>
      <w:r w:rsidR="00D31F5D">
        <w:rPr>
          <w:rFonts w:ascii="Times New Roman" w:hAnsi="Times New Roman"/>
          <w:bCs/>
          <w:sz w:val="26"/>
          <w:szCs w:val="26"/>
        </w:rPr>
        <w:t xml:space="preserve"> and published </w:t>
      </w:r>
      <w:r w:rsidR="00D31F5D">
        <w:rPr>
          <w:rFonts w:ascii="Times New Roman" w:hAnsi="Times New Roman"/>
          <w:bCs/>
          <w:sz w:val="26"/>
          <w:szCs w:val="26"/>
        </w:rPr>
        <w:t xml:space="preserve">on  </w:t>
      </w:r>
      <w:r w:rsidR="00F75D92">
        <w:rPr>
          <w:rFonts w:ascii="Times New Roman" w:hAnsi="Times New Roman"/>
          <w:bCs/>
          <w:sz w:val="26"/>
          <w:szCs w:val="26"/>
        </w:rPr>
        <w:t>May</w:t>
      </w:r>
      <w:r w:rsidR="00F75D92">
        <w:rPr>
          <w:rFonts w:ascii="Times New Roman" w:hAnsi="Times New Roman"/>
          <w:bCs/>
          <w:sz w:val="26"/>
          <w:szCs w:val="26"/>
        </w:rPr>
        <w:t xml:space="preserve"> 29</w:t>
      </w:r>
      <w:r w:rsidR="00741DA1">
        <w:rPr>
          <w:rFonts w:ascii="Times New Roman" w:hAnsi="Times New Roman"/>
          <w:bCs/>
          <w:sz w:val="26"/>
          <w:szCs w:val="26"/>
        </w:rPr>
        <w:t xml:space="preserve">, </w:t>
      </w:r>
      <w:r w:rsidR="00F75D92">
        <w:rPr>
          <w:rFonts w:ascii="Times New Roman" w:hAnsi="Times New Roman"/>
          <w:bCs/>
          <w:sz w:val="26"/>
          <w:szCs w:val="26"/>
        </w:rPr>
        <w:t>2026</w:t>
      </w:r>
      <w:r w:rsidR="00D31F5D">
        <w:rPr>
          <w:rFonts w:ascii="Times New Roman" w:hAnsi="Times New Roman"/>
          <w:bCs/>
          <w:sz w:val="26"/>
          <w:szCs w:val="26"/>
        </w:rPr>
        <w:t xml:space="preserve"> </w:t>
      </w:r>
      <w:r w:rsidR="00D31F5D">
        <w:rPr>
          <w:rFonts w:ascii="Times New Roman" w:hAnsi="Times New Roman"/>
          <w:bCs/>
          <w:sz w:val="26"/>
          <w:szCs w:val="26"/>
        </w:rPr>
        <w:t xml:space="preserve">( </w:t>
      </w:r>
      <w:r w:rsidR="00741DA1">
        <w:rPr>
          <w:rFonts w:ascii="Times New Roman" w:hAnsi="Times New Roman"/>
          <w:bCs/>
          <w:sz w:val="26"/>
          <w:szCs w:val="26"/>
        </w:rPr>
        <w:t>91</w:t>
      </w:r>
      <w:r w:rsidR="00D31F5D">
        <w:rPr>
          <w:rFonts w:ascii="Times New Roman" w:hAnsi="Times New Roman"/>
          <w:bCs/>
          <w:sz w:val="26"/>
          <w:szCs w:val="26"/>
        </w:rPr>
        <w:t xml:space="preserve"> FR </w:t>
      </w:r>
      <w:r w:rsidR="00F75D92">
        <w:rPr>
          <w:rFonts w:ascii="Times New Roman" w:hAnsi="Times New Roman"/>
          <w:bCs/>
          <w:sz w:val="26"/>
          <w:szCs w:val="26"/>
        </w:rPr>
        <w:t>32039</w:t>
      </w:r>
      <w:r w:rsidR="00D31F5D">
        <w:rPr>
          <w:rFonts w:ascii="Times New Roman" w:hAnsi="Times New Roman"/>
          <w:bCs/>
          <w:sz w:val="26"/>
          <w:szCs w:val="26"/>
        </w:rPr>
        <w:t>) respectively.</w:t>
      </w:r>
    </w:p>
    <w:p w:rsidR="00F0627E" w:rsidRPr="00E9060E" w:rsidP="00BD0F89" w14:paraId="5D2AE01F" w14:textId="77777777">
      <w:pPr>
        <w:spacing w:after="0" w:line="240" w:lineRule="auto"/>
        <w:rPr>
          <w:rFonts w:ascii="Times New Roman" w:hAnsi="Times New Roman"/>
          <w:sz w:val="26"/>
          <w:szCs w:val="26"/>
        </w:rPr>
      </w:pPr>
    </w:p>
    <w:p w:rsidR="00F0627E" w:rsidRPr="00E9060E" w:rsidP="00BD0F89" w14:paraId="1A2BC3FA"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rsidR="00F0627E" w:rsidRPr="00E9060E" w:rsidP="00BD0F89" w14:paraId="1C0A081E" w14:textId="77777777">
      <w:pPr>
        <w:spacing w:after="0" w:line="240" w:lineRule="auto"/>
        <w:rPr>
          <w:rFonts w:ascii="Times New Roman" w:hAnsi="Times New Roman"/>
          <w:sz w:val="26"/>
          <w:szCs w:val="26"/>
        </w:rPr>
      </w:pPr>
    </w:p>
    <w:p w:rsidR="00F0627E" w:rsidRPr="00E9060E" w:rsidP="00BD0F89" w14:paraId="47E62683" w14:textId="77777777">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rsidR="00F0627E" w:rsidRPr="00E9060E" w:rsidP="00BD0F89" w14:paraId="63605198" w14:textId="77777777">
      <w:pPr>
        <w:spacing w:after="0" w:line="240" w:lineRule="auto"/>
        <w:rPr>
          <w:rFonts w:ascii="Times New Roman" w:hAnsi="Times New Roman"/>
          <w:sz w:val="26"/>
          <w:szCs w:val="26"/>
        </w:rPr>
      </w:pPr>
    </w:p>
    <w:p w:rsidR="00F0627E" w:rsidRPr="00E9060E" w:rsidP="00BD0F89" w14:paraId="0127248A"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rsidR="00F0627E" w:rsidRPr="00E9060E" w:rsidP="00BD0F89" w14:paraId="55B18053" w14:textId="77777777">
      <w:pPr>
        <w:spacing w:after="0" w:line="240" w:lineRule="auto"/>
        <w:rPr>
          <w:rFonts w:ascii="Times New Roman" w:hAnsi="Times New Roman"/>
          <w:sz w:val="26"/>
          <w:szCs w:val="26"/>
        </w:rPr>
      </w:pPr>
    </w:p>
    <w:p w:rsidR="00F0627E" w:rsidRPr="00E9060E" w:rsidP="00BD0F89" w14:paraId="1594C0DB"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Pr="00E9060E" w:rsidR="00084A7F">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Pr>
          <w:rFonts w:ascii="Times New Roman" w:hAnsi="Times New Roman"/>
          <w:b/>
          <w:sz w:val="26"/>
          <w:szCs w:val="26"/>
          <w:vertAlign w:val="superscript"/>
        </w:rPr>
        <w:footnoteReference w:id="4"/>
      </w:r>
      <w:r w:rsidRPr="00E9060E">
        <w:rPr>
          <w:rFonts w:ascii="Times New Roman" w:hAnsi="Times New Roman"/>
          <w:sz w:val="26"/>
          <w:szCs w:val="26"/>
        </w:rPr>
        <w:t xml:space="preserve">  The Commission will review each request for confidential treatment on a case-by-case basis.</w:t>
      </w:r>
      <w:r w:rsidRPr="00E9060E" w:rsidR="00084A7F">
        <w:rPr>
          <w:rFonts w:ascii="Times New Roman" w:hAnsi="Times New Roman"/>
          <w:sz w:val="26"/>
          <w:szCs w:val="26"/>
        </w:rPr>
        <w:t xml:space="preserve"> </w:t>
      </w:r>
    </w:p>
    <w:p w:rsidR="00F0627E" w:rsidRPr="00E9060E" w:rsidP="00BD0F89" w14:paraId="06B74231" w14:textId="77777777">
      <w:pPr>
        <w:spacing w:after="0" w:line="240" w:lineRule="auto"/>
        <w:rPr>
          <w:rFonts w:ascii="Times New Roman" w:hAnsi="Times New Roman"/>
          <w:sz w:val="26"/>
          <w:szCs w:val="26"/>
        </w:rPr>
      </w:pPr>
    </w:p>
    <w:p w:rsidR="00F0627E" w:rsidRPr="00E9060E" w:rsidP="00BD0F89" w14:paraId="3F7300DB"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00F0627E" w:rsidRPr="00E9060E" w:rsidP="00BD0F89" w14:paraId="39F4AE19" w14:textId="77777777">
      <w:pPr>
        <w:spacing w:after="0" w:line="240" w:lineRule="auto"/>
        <w:rPr>
          <w:rFonts w:ascii="Times New Roman" w:hAnsi="Times New Roman"/>
          <w:sz w:val="26"/>
          <w:szCs w:val="26"/>
        </w:rPr>
      </w:pPr>
    </w:p>
    <w:p w:rsidR="00F0627E" w:rsidRPr="00E9060E" w:rsidP="00BD0F89" w14:paraId="7AC7B511"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rsidR="00F0627E" w:rsidRPr="00E9060E" w:rsidP="00BD0F89" w14:paraId="5A7A5206" w14:textId="77777777">
      <w:pPr>
        <w:spacing w:after="0" w:line="240" w:lineRule="auto"/>
        <w:rPr>
          <w:rFonts w:ascii="Times New Roman" w:hAnsi="Times New Roman"/>
          <w:sz w:val="26"/>
          <w:szCs w:val="26"/>
        </w:rPr>
      </w:pPr>
    </w:p>
    <w:p w:rsidR="00F0627E" w:rsidRPr="00683114" w:rsidP="00BD0F89" w14:paraId="21A98BF8" w14:textId="0E825BC0">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rsidR="00683114" w:rsidP="00683114" w14:paraId="5DF3FDC1" w14:textId="745AABBA">
      <w:pPr>
        <w:spacing w:after="0" w:line="240" w:lineRule="auto"/>
        <w:rPr>
          <w:rFonts w:ascii="Times New Roman" w:hAnsi="Times New Roman"/>
          <w:sz w:val="26"/>
          <w:szCs w:val="26"/>
        </w:rPr>
      </w:pPr>
    </w:p>
    <w:p w:rsidR="00683114" w:rsidRPr="00683114" w:rsidP="00683114" w14:paraId="6A9479AE" w14:textId="77777777">
      <w:pPr>
        <w:spacing w:after="0" w:line="240" w:lineRule="auto"/>
        <w:rPr>
          <w:rFonts w:ascii="Times New Roman" w:hAnsi="Times New Roman"/>
          <w:sz w:val="26"/>
          <w:szCs w:val="26"/>
        </w:rPr>
      </w:pPr>
      <w:r w:rsidRPr="00683114">
        <w:rPr>
          <w:rFonts w:ascii="Times New Roman" w:hAnsi="Times New Roman"/>
          <w:sz w:val="26"/>
          <w:szCs w:val="26"/>
        </w:rPr>
        <w:t>The Commission estimates the annual public reporting burden and cost</w:t>
      </w:r>
      <w:r>
        <w:rPr>
          <w:rFonts w:ascii="Times New Roman" w:hAnsi="Times New Roman"/>
          <w:b/>
          <w:sz w:val="26"/>
          <w:szCs w:val="26"/>
          <w:vertAlign w:val="superscript"/>
        </w:rPr>
        <w:footnoteReference w:id="5"/>
      </w:r>
      <w:r w:rsidRPr="00683114">
        <w:rPr>
          <w:rFonts w:ascii="Times New Roman" w:hAnsi="Times New Roman"/>
          <w:sz w:val="26"/>
          <w:szCs w:val="26"/>
        </w:rPr>
        <w:t xml:space="preserve"> (rounded) for the information collection as follows: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9"/>
        <w:gridCol w:w="1230"/>
        <w:gridCol w:w="1762"/>
        <w:gridCol w:w="1408"/>
        <w:gridCol w:w="2636"/>
        <w:gridCol w:w="1352"/>
      </w:tblGrid>
      <w:tr w14:paraId="22E0F081" w14:textId="77777777" w:rsidTr="00E668B4">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cPr>
          <w:p w:rsidR="00707B8F" w:rsidRPr="00707B8F" w:rsidP="00707B8F" w14:paraId="78E5CC70" w14:textId="77777777">
            <w:pPr>
              <w:spacing w:after="0" w:line="240" w:lineRule="auto"/>
              <w:rPr>
                <w:rFonts w:ascii="Times New Roman" w:hAnsi="Times New Roman"/>
                <w:b/>
                <w:sz w:val="26"/>
                <w:szCs w:val="26"/>
              </w:rPr>
            </w:pPr>
            <w:r w:rsidRPr="00707B8F">
              <w:rPr>
                <w:rFonts w:ascii="Times New Roman" w:hAnsi="Times New Roman"/>
                <w:b/>
                <w:sz w:val="26"/>
                <w:szCs w:val="26"/>
              </w:rPr>
              <w:t>FERC-714 (Annual Electric Balancing Authority Area and Planning Area Report)</w:t>
            </w:r>
          </w:p>
        </w:tc>
      </w:tr>
      <w:tr w14:paraId="7BB0E220" w14:textId="77777777" w:rsidTr="00E668B4">
        <w:tblPrEx>
          <w:tblW w:w="5426" w:type="pct"/>
          <w:tblInd w:w="-72" w:type="dxa"/>
          <w:tblLayout w:type="fixed"/>
          <w:tblLook w:val="01E0"/>
        </w:tblPrEx>
        <w:trPr>
          <w:cantSplit/>
        </w:trPr>
        <w:tc>
          <w:tcPr>
            <w:tcW w:w="867" w:type="pct"/>
            <w:shd w:val="clear" w:color="auto" w:fill="D9D9D9"/>
            <w:vAlign w:val="bottom"/>
          </w:tcPr>
          <w:p w:rsidR="00707B8F" w:rsidRPr="00707B8F" w:rsidP="00707B8F" w14:paraId="2A775C9B" w14:textId="77777777">
            <w:pPr>
              <w:spacing w:after="0" w:line="240" w:lineRule="auto"/>
              <w:rPr>
                <w:rFonts w:ascii="Times New Roman" w:hAnsi="Times New Roman"/>
                <w:b/>
                <w:sz w:val="26"/>
                <w:szCs w:val="26"/>
              </w:rPr>
            </w:pPr>
            <w:r w:rsidRPr="00707B8F">
              <w:rPr>
                <w:rFonts w:ascii="Times New Roman" w:hAnsi="Times New Roman"/>
                <w:b/>
                <w:sz w:val="26"/>
                <w:szCs w:val="26"/>
              </w:rPr>
              <w:t>Number of Respondents</w:t>
            </w:r>
            <w:r w:rsidRPr="00707B8F">
              <w:rPr>
                <w:rFonts w:ascii="Times New Roman" w:hAnsi="Times New Roman"/>
                <w:b/>
                <w:sz w:val="26"/>
                <w:szCs w:val="26"/>
              </w:rPr>
              <w:br/>
              <w:t>(1)</w:t>
            </w:r>
          </w:p>
        </w:tc>
        <w:tc>
          <w:tcPr>
            <w:tcW w:w="606" w:type="pct"/>
            <w:shd w:val="clear" w:color="auto" w:fill="D9D9D9"/>
            <w:vAlign w:val="bottom"/>
          </w:tcPr>
          <w:p w:rsidR="00707B8F" w:rsidRPr="00707B8F" w:rsidP="00707B8F" w14:paraId="402874AF" w14:textId="77777777">
            <w:pPr>
              <w:spacing w:after="0" w:line="240" w:lineRule="auto"/>
              <w:rPr>
                <w:rFonts w:ascii="Times New Roman" w:hAnsi="Times New Roman"/>
                <w:b/>
                <w:sz w:val="26"/>
                <w:szCs w:val="26"/>
              </w:rPr>
            </w:pPr>
            <w:r w:rsidRPr="00707B8F">
              <w:rPr>
                <w:rFonts w:ascii="Times New Roman" w:hAnsi="Times New Roman"/>
                <w:b/>
                <w:sz w:val="26"/>
                <w:szCs w:val="26"/>
              </w:rPr>
              <w:t>Annual Number of Responses per Respondent</w:t>
            </w:r>
          </w:p>
          <w:p w:rsidR="00707B8F" w:rsidRPr="00707B8F" w:rsidP="00707B8F" w14:paraId="6B113743" w14:textId="77777777">
            <w:pPr>
              <w:spacing w:after="0" w:line="240" w:lineRule="auto"/>
              <w:rPr>
                <w:rFonts w:ascii="Times New Roman" w:hAnsi="Times New Roman"/>
                <w:b/>
                <w:sz w:val="26"/>
                <w:szCs w:val="26"/>
              </w:rPr>
            </w:pPr>
            <w:r w:rsidRPr="00707B8F">
              <w:rPr>
                <w:rFonts w:ascii="Times New Roman" w:hAnsi="Times New Roman"/>
                <w:b/>
                <w:sz w:val="26"/>
                <w:szCs w:val="26"/>
              </w:rPr>
              <w:t>(2)</w:t>
            </w:r>
          </w:p>
        </w:tc>
        <w:tc>
          <w:tcPr>
            <w:tcW w:w="868" w:type="pct"/>
            <w:shd w:val="clear" w:color="auto" w:fill="D9D9D9"/>
            <w:vAlign w:val="bottom"/>
          </w:tcPr>
          <w:p w:rsidR="00707B8F" w:rsidRPr="00707B8F" w:rsidP="00707B8F" w14:paraId="0E81EF71" w14:textId="77777777">
            <w:pPr>
              <w:spacing w:after="0" w:line="240" w:lineRule="auto"/>
              <w:rPr>
                <w:rFonts w:ascii="Times New Roman" w:hAnsi="Times New Roman"/>
                <w:b/>
                <w:sz w:val="26"/>
                <w:szCs w:val="26"/>
              </w:rPr>
            </w:pPr>
            <w:r w:rsidRPr="00707B8F">
              <w:rPr>
                <w:rFonts w:ascii="Times New Roman" w:hAnsi="Times New Roman"/>
                <w:b/>
                <w:sz w:val="26"/>
                <w:szCs w:val="26"/>
              </w:rPr>
              <w:t>Total Number of Responses (</w:t>
            </w:r>
            <w:r w:rsidRPr="00707B8F">
              <w:rPr>
                <w:rFonts w:ascii="Times New Roman" w:hAnsi="Times New Roman"/>
                <w:b/>
                <w:sz w:val="26"/>
                <w:szCs w:val="26"/>
              </w:rPr>
              <w:t>1)*</w:t>
            </w:r>
            <w:r w:rsidRPr="00707B8F">
              <w:rPr>
                <w:rFonts w:ascii="Times New Roman" w:hAnsi="Times New Roman"/>
                <w:b/>
                <w:sz w:val="26"/>
                <w:szCs w:val="26"/>
              </w:rPr>
              <w:t>(</w:t>
            </w:r>
            <w:r w:rsidRPr="00707B8F">
              <w:rPr>
                <w:rFonts w:ascii="Times New Roman" w:hAnsi="Times New Roman"/>
                <w:b/>
                <w:sz w:val="26"/>
                <w:szCs w:val="26"/>
              </w:rPr>
              <w:t>2)=</w:t>
            </w:r>
            <w:r w:rsidRPr="00707B8F">
              <w:rPr>
                <w:rFonts w:ascii="Times New Roman" w:hAnsi="Times New Roman"/>
                <w:b/>
                <w:sz w:val="26"/>
                <w:szCs w:val="26"/>
              </w:rPr>
              <w:t>(3)</w:t>
            </w:r>
          </w:p>
        </w:tc>
        <w:tc>
          <w:tcPr>
            <w:tcW w:w="694" w:type="pct"/>
            <w:shd w:val="clear" w:color="auto" w:fill="D9D9D9"/>
            <w:vAlign w:val="bottom"/>
          </w:tcPr>
          <w:p w:rsidR="00707B8F" w:rsidRPr="00707B8F" w:rsidP="00707B8F" w14:paraId="29CB7D52" w14:textId="77777777">
            <w:pPr>
              <w:spacing w:after="0" w:line="240" w:lineRule="auto"/>
              <w:rPr>
                <w:rFonts w:ascii="Times New Roman" w:hAnsi="Times New Roman"/>
                <w:b/>
                <w:sz w:val="26"/>
                <w:szCs w:val="26"/>
              </w:rPr>
            </w:pPr>
            <w:r w:rsidRPr="00707B8F">
              <w:rPr>
                <w:rFonts w:ascii="Times New Roman" w:hAnsi="Times New Roman"/>
                <w:b/>
                <w:sz w:val="26"/>
                <w:szCs w:val="26"/>
              </w:rPr>
              <w:t>Average Burden &amp; Cost Per Response</w:t>
            </w:r>
          </w:p>
          <w:p w:rsidR="00707B8F" w:rsidRPr="00707B8F" w:rsidP="00707B8F" w14:paraId="7E938043" w14:textId="77777777">
            <w:pPr>
              <w:spacing w:after="0" w:line="240" w:lineRule="auto"/>
              <w:rPr>
                <w:rFonts w:ascii="Times New Roman" w:hAnsi="Times New Roman"/>
                <w:b/>
                <w:sz w:val="26"/>
                <w:szCs w:val="26"/>
              </w:rPr>
            </w:pPr>
            <w:r w:rsidRPr="00707B8F">
              <w:rPr>
                <w:rFonts w:ascii="Times New Roman" w:hAnsi="Times New Roman"/>
                <w:b/>
                <w:sz w:val="26"/>
                <w:szCs w:val="26"/>
              </w:rPr>
              <w:t>(4)</w:t>
            </w:r>
          </w:p>
        </w:tc>
        <w:tc>
          <w:tcPr>
            <w:tcW w:w="1299" w:type="pct"/>
            <w:shd w:val="clear" w:color="auto" w:fill="D9D9D9"/>
            <w:vAlign w:val="bottom"/>
          </w:tcPr>
          <w:p w:rsidR="00707B8F" w:rsidRPr="00707B8F" w:rsidP="00707B8F" w14:paraId="7BAC837F" w14:textId="77777777">
            <w:pPr>
              <w:spacing w:after="0" w:line="240" w:lineRule="auto"/>
              <w:rPr>
                <w:rFonts w:ascii="Times New Roman" w:hAnsi="Times New Roman"/>
                <w:b/>
                <w:sz w:val="26"/>
                <w:szCs w:val="26"/>
              </w:rPr>
            </w:pPr>
            <w:r w:rsidRPr="00707B8F">
              <w:rPr>
                <w:rFonts w:ascii="Times New Roman" w:hAnsi="Times New Roman"/>
                <w:b/>
                <w:sz w:val="26"/>
                <w:szCs w:val="26"/>
              </w:rPr>
              <w:t>Total Annual Burden Hours &amp; Total Annual Cost</w:t>
            </w:r>
          </w:p>
          <w:p w:rsidR="00707B8F" w:rsidRPr="00707B8F" w:rsidP="00707B8F" w14:paraId="243D9467" w14:textId="77777777">
            <w:pPr>
              <w:spacing w:after="0" w:line="240" w:lineRule="auto"/>
              <w:rPr>
                <w:rFonts w:ascii="Times New Roman" w:hAnsi="Times New Roman"/>
                <w:b/>
                <w:sz w:val="26"/>
                <w:szCs w:val="26"/>
              </w:rPr>
            </w:pPr>
            <w:r w:rsidRPr="00707B8F">
              <w:rPr>
                <w:rFonts w:ascii="Times New Roman" w:hAnsi="Times New Roman"/>
                <w:b/>
                <w:sz w:val="26"/>
                <w:szCs w:val="26"/>
              </w:rPr>
              <w:t>(</w:t>
            </w:r>
            <w:r w:rsidRPr="00707B8F">
              <w:rPr>
                <w:rFonts w:ascii="Times New Roman" w:hAnsi="Times New Roman"/>
                <w:b/>
                <w:sz w:val="26"/>
                <w:szCs w:val="26"/>
              </w:rPr>
              <w:t>3)*</w:t>
            </w:r>
            <w:r w:rsidRPr="00707B8F">
              <w:rPr>
                <w:rFonts w:ascii="Times New Roman" w:hAnsi="Times New Roman"/>
                <w:b/>
                <w:sz w:val="26"/>
                <w:szCs w:val="26"/>
              </w:rPr>
              <w:t>(</w:t>
            </w:r>
            <w:r w:rsidRPr="00707B8F">
              <w:rPr>
                <w:rFonts w:ascii="Times New Roman" w:hAnsi="Times New Roman"/>
                <w:b/>
                <w:sz w:val="26"/>
                <w:szCs w:val="26"/>
              </w:rPr>
              <w:t>4)=</w:t>
            </w:r>
            <w:r w:rsidRPr="00707B8F">
              <w:rPr>
                <w:rFonts w:ascii="Times New Roman" w:hAnsi="Times New Roman"/>
                <w:b/>
                <w:sz w:val="26"/>
                <w:szCs w:val="26"/>
              </w:rPr>
              <w:t>(5)</w:t>
            </w:r>
          </w:p>
        </w:tc>
        <w:tc>
          <w:tcPr>
            <w:tcW w:w="666" w:type="pct"/>
            <w:shd w:val="clear" w:color="auto" w:fill="D9D9D9"/>
            <w:vAlign w:val="bottom"/>
          </w:tcPr>
          <w:p w:rsidR="00707B8F" w:rsidRPr="00707B8F" w:rsidP="00707B8F" w14:paraId="6972F13B" w14:textId="77777777">
            <w:pPr>
              <w:spacing w:after="0" w:line="240" w:lineRule="auto"/>
              <w:rPr>
                <w:rFonts w:ascii="Times New Roman" w:hAnsi="Times New Roman"/>
                <w:b/>
                <w:sz w:val="26"/>
                <w:szCs w:val="26"/>
              </w:rPr>
            </w:pPr>
            <w:r w:rsidRPr="00707B8F">
              <w:rPr>
                <w:rFonts w:ascii="Times New Roman" w:hAnsi="Times New Roman"/>
                <w:b/>
                <w:sz w:val="26"/>
                <w:szCs w:val="26"/>
              </w:rPr>
              <w:t>Cost per Respondent</w:t>
            </w:r>
          </w:p>
          <w:p w:rsidR="00707B8F" w:rsidRPr="00707B8F" w:rsidP="00707B8F" w14:paraId="799D5F03" w14:textId="77777777">
            <w:pPr>
              <w:spacing w:after="0" w:line="240" w:lineRule="auto"/>
              <w:rPr>
                <w:rFonts w:ascii="Times New Roman" w:hAnsi="Times New Roman"/>
                <w:b/>
                <w:sz w:val="26"/>
                <w:szCs w:val="26"/>
              </w:rPr>
            </w:pPr>
            <w:r w:rsidRPr="00707B8F">
              <w:rPr>
                <w:rFonts w:ascii="Times New Roman" w:hAnsi="Times New Roman"/>
                <w:b/>
                <w:sz w:val="26"/>
                <w:szCs w:val="26"/>
              </w:rPr>
              <w:t xml:space="preserve"> ($)</w:t>
            </w:r>
          </w:p>
          <w:p w:rsidR="00707B8F" w:rsidRPr="00707B8F" w:rsidP="00707B8F" w14:paraId="2552FC97" w14:textId="77777777">
            <w:pPr>
              <w:spacing w:after="0" w:line="240" w:lineRule="auto"/>
              <w:rPr>
                <w:rFonts w:ascii="Times New Roman" w:hAnsi="Times New Roman"/>
                <w:b/>
                <w:sz w:val="26"/>
                <w:szCs w:val="26"/>
              </w:rPr>
            </w:pPr>
            <w:r w:rsidRPr="00707B8F">
              <w:rPr>
                <w:rFonts w:ascii="Times New Roman" w:hAnsi="Times New Roman"/>
                <w:b/>
                <w:sz w:val="26"/>
                <w:szCs w:val="26"/>
              </w:rPr>
              <w:t>(</w:t>
            </w:r>
            <w:r w:rsidRPr="00707B8F">
              <w:rPr>
                <w:rFonts w:ascii="Times New Roman" w:hAnsi="Times New Roman"/>
                <w:b/>
                <w:sz w:val="26"/>
                <w:szCs w:val="26"/>
              </w:rPr>
              <w:t>5)÷</w:t>
            </w:r>
            <w:r w:rsidRPr="00707B8F">
              <w:rPr>
                <w:rFonts w:ascii="Times New Roman" w:hAnsi="Times New Roman"/>
                <w:b/>
                <w:sz w:val="26"/>
                <w:szCs w:val="26"/>
              </w:rPr>
              <w:t>(1)</w:t>
            </w:r>
          </w:p>
        </w:tc>
      </w:tr>
      <w:tr w14:paraId="368CC0F7" w14:textId="77777777" w:rsidTr="00E668B4">
        <w:tblPrEx>
          <w:tblW w:w="5426" w:type="pct"/>
          <w:tblInd w:w="-72" w:type="dxa"/>
          <w:tblLayout w:type="fixed"/>
          <w:tblLook w:val="01E0"/>
        </w:tblPrEx>
        <w:trPr>
          <w:cantSplit/>
        </w:trPr>
        <w:tc>
          <w:tcPr>
            <w:tcW w:w="867" w:type="pct"/>
          </w:tcPr>
          <w:p w:rsidR="00707B8F" w:rsidRPr="00707B8F" w:rsidP="00707B8F" w14:paraId="4BDFEB72" w14:textId="77777777">
            <w:pPr>
              <w:spacing w:after="0" w:line="240" w:lineRule="auto"/>
              <w:rPr>
                <w:rFonts w:ascii="Times New Roman" w:hAnsi="Times New Roman"/>
                <w:sz w:val="26"/>
                <w:szCs w:val="26"/>
              </w:rPr>
            </w:pPr>
            <w:r w:rsidRPr="00707B8F">
              <w:rPr>
                <w:rFonts w:ascii="Times New Roman" w:hAnsi="Times New Roman"/>
                <w:sz w:val="26"/>
                <w:szCs w:val="26"/>
              </w:rPr>
              <w:t>103</w:t>
            </w:r>
          </w:p>
        </w:tc>
        <w:tc>
          <w:tcPr>
            <w:tcW w:w="606" w:type="pct"/>
          </w:tcPr>
          <w:p w:rsidR="00707B8F" w:rsidRPr="00707B8F" w:rsidP="00707B8F" w14:paraId="68585E23" w14:textId="77777777">
            <w:pPr>
              <w:spacing w:after="0" w:line="240" w:lineRule="auto"/>
              <w:rPr>
                <w:rFonts w:ascii="Times New Roman" w:hAnsi="Times New Roman"/>
                <w:sz w:val="26"/>
                <w:szCs w:val="26"/>
              </w:rPr>
            </w:pPr>
            <w:r w:rsidRPr="00707B8F">
              <w:rPr>
                <w:rFonts w:ascii="Times New Roman" w:hAnsi="Times New Roman"/>
                <w:sz w:val="26"/>
                <w:szCs w:val="26"/>
              </w:rPr>
              <w:t>1</w:t>
            </w:r>
          </w:p>
        </w:tc>
        <w:tc>
          <w:tcPr>
            <w:tcW w:w="868" w:type="pct"/>
          </w:tcPr>
          <w:p w:rsidR="00707B8F" w:rsidRPr="00707B8F" w:rsidP="00707B8F" w14:paraId="212049DF" w14:textId="77777777">
            <w:pPr>
              <w:spacing w:after="0" w:line="240" w:lineRule="auto"/>
              <w:rPr>
                <w:rFonts w:ascii="Times New Roman" w:hAnsi="Times New Roman"/>
                <w:sz w:val="26"/>
                <w:szCs w:val="26"/>
              </w:rPr>
            </w:pPr>
            <w:r w:rsidRPr="00707B8F">
              <w:rPr>
                <w:rFonts w:ascii="Times New Roman" w:hAnsi="Times New Roman"/>
                <w:sz w:val="26"/>
                <w:szCs w:val="26"/>
              </w:rPr>
              <w:t>103</w:t>
            </w:r>
          </w:p>
        </w:tc>
        <w:tc>
          <w:tcPr>
            <w:tcW w:w="694" w:type="pct"/>
          </w:tcPr>
          <w:p w:rsidR="00707B8F" w:rsidRPr="00707B8F" w:rsidP="00707B8F" w14:paraId="6EBEABBA" w14:textId="77777777">
            <w:pPr>
              <w:spacing w:after="0" w:line="240" w:lineRule="auto"/>
              <w:rPr>
                <w:rFonts w:ascii="Times New Roman" w:hAnsi="Times New Roman"/>
                <w:sz w:val="26"/>
                <w:szCs w:val="26"/>
              </w:rPr>
            </w:pPr>
            <w:r w:rsidRPr="00707B8F">
              <w:rPr>
                <w:rFonts w:ascii="Times New Roman" w:hAnsi="Times New Roman"/>
                <w:sz w:val="26"/>
                <w:szCs w:val="26"/>
              </w:rPr>
              <w:t>93.33 hrs.; $7,186.41</w:t>
            </w:r>
          </w:p>
        </w:tc>
        <w:tc>
          <w:tcPr>
            <w:tcW w:w="1299" w:type="pct"/>
          </w:tcPr>
          <w:p w:rsidR="00707B8F" w:rsidP="00707B8F" w14:paraId="0C73EF13" w14:textId="77777777">
            <w:pPr>
              <w:spacing w:after="0" w:line="240" w:lineRule="auto"/>
              <w:rPr>
                <w:rFonts w:ascii="Times New Roman" w:hAnsi="Times New Roman"/>
                <w:sz w:val="26"/>
                <w:szCs w:val="26"/>
              </w:rPr>
            </w:pPr>
            <w:r w:rsidRPr="00707B8F">
              <w:rPr>
                <w:rFonts w:ascii="Times New Roman" w:hAnsi="Times New Roman"/>
                <w:sz w:val="26"/>
                <w:szCs w:val="26"/>
              </w:rPr>
              <w:t xml:space="preserve">9,612.99 hrs.; </w:t>
            </w:r>
          </w:p>
          <w:p w:rsidR="00707B8F" w:rsidRPr="00707B8F" w:rsidP="00707B8F" w14:paraId="76718B58" w14:textId="56A75F61">
            <w:pPr>
              <w:spacing w:after="0" w:line="240" w:lineRule="auto"/>
              <w:rPr>
                <w:rFonts w:ascii="Times New Roman" w:hAnsi="Times New Roman"/>
                <w:sz w:val="26"/>
                <w:szCs w:val="26"/>
              </w:rPr>
            </w:pPr>
            <w:r w:rsidRPr="00707B8F">
              <w:rPr>
                <w:rFonts w:ascii="Times New Roman" w:hAnsi="Times New Roman"/>
                <w:sz w:val="26"/>
                <w:szCs w:val="26"/>
              </w:rPr>
              <w:t>$740,200.23</w:t>
            </w:r>
          </w:p>
          <w:p w:rsidR="00707B8F" w:rsidRPr="00707B8F" w:rsidP="00707B8F" w14:paraId="7CFB9D56" w14:textId="77777777">
            <w:pPr>
              <w:spacing w:after="0" w:line="240" w:lineRule="auto"/>
              <w:rPr>
                <w:rFonts w:ascii="Times New Roman" w:hAnsi="Times New Roman"/>
                <w:sz w:val="26"/>
                <w:szCs w:val="26"/>
              </w:rPr>
            </w:pPr>
          </w:p>
        </w:tc>
        <w:tc>
          <w:tcPr>
            <w:tcW w:w="666" w:type="pct"/>
          </w:tcPr>
          <w:p w:rsidR="00707B8F" w:rsidRPr="00707B8F" w:rsidP="00707B8F" w14:paraId="5BCFDB82" w14:textId="77777777">
            <w:pPr>
              <w:spacing w:after="0" w:line="240" w:lineRule="auto"/>
              <w:rPr>
                <w:rFonts w:ascii="Times New Roman" w:hAnsi="Times New Roman"/>
                <w:sz w:val="26"/>
                <w:szCs w:val="26"/>
              </w:rPr>
            </w:pPr>
            <w:r w:rsidRPr="00707B8F">
              <w:rPr>
                <w:rFonts w:ascii="Times New Roman" w:hAnsi="Times New Roman"/>
                <w:sz w:val="26"/>
                <w:szCs w:val="26"/>
              </w:rPr>
              <w:t xml:space="preserve">$7,186.41 </w:t>
            </w:r>
          </w:p>
          <w:p w:rsidR="00707B8F" w:rsidRPr="00707B8F" w:rsidP="00707B8F" w14:paraId="50250063" w14:textId="77777777">
            <w:pPr>
              <w:spacing w:after="0" w:line="240" w:lineRule="auto"/>
              <w:rPr>
                <w:rFonts w:ascii="Times New Roman" w:hAnsi="Times New Roman"/>
                <w:sz w:val="26"/>
                <w:szCs w:val="26"/>
              </w:rPr>
            </w:pPr>
          </w:p>
        </w:tc>
      </w:tr>
    </w:tbl>
    <w:p w:rsidR="00683114" w:rsidRPr="00683114" w:rsidP="00683114" w14:paraId="557AFDDF" w14:textId="77777777">
      <w:pPr>
        <w:spacing w:after="0" w:line="240" w:lineRule="auto"/>
        <w:rPr>
          <w:rFonts w:ascii="Times New Roman" w:hAnsi="Times New Roman"/>
          <w:sz w:val="26"/>
          <w:szCs w:val="26"/>
        </w:rPr>
      </w:pPr>
    </w:p>
    <w:p w:rsidR="00683114" w:rsidRPr="00E9060E" w:rsidP="00BD0F89" w14:paraId="08DBA26D"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 </w:t>
      </w:r>
    </w:p>
    <w:p w:rsidR="009E3BA7" w:rsidRPr="00E9060E" w:rsidP="00BD0F89" w14:paraId="568EAB31" w14:textId="2B3E1C97">
      <w:pPr>
        <w:spacing w:after="0" w:line="240" w:lineRule="auto"/>
        <w:rPr>
          <w:rFonts w:ascii="Times New Roman" w:hAnsi="Times New Roman"/>
          <w:sz w:val="26"/>
          <w:szCs w:val="26"/>
        </w:rPr>
      </w:pPr>
    </w:p>
    <w:p w:rsidR="00F0627E" w:rsidRPr="00E9060E" w:rsidP="00BD0F89" w14:paraId="4D672573" w14:textId="77777777">
      <w:pPr>
        <w:spacing w:after="0" w:line="240" w:lineRule="auto"/>
        <w:rPr>
          <w:rFonts w:ascii="Times New Roman" w:hAnsi="Times New Roman"/>
          <w:sz w:val="26"/>
          <w:szCs w:val="26"/>
        </w:rPr>
      </w:pPr>
    </w:p>
    <w:p w:rsidR="00974AFC" w:rsidRPr="002B6594" w:rsidP="002B6594" w14:paraId="09148C17" w14:textId="10A9BEF0">
      <w:pPr>
        <w:pStyle w:val="ListParagraph"/>
        <w:numPr>
          <w:ilvl w:val="0"/>
          <w:numId w:val="14"/>
        </w:numPr>
        <w:spacing w:after="0" w:line="240" w:lineRule="auto"/>
        <w:rPr>
          <w:rFonts w:ascii="Times New Roman" w:hAnsi="Times New Roman"/>
          <w:b/>
          <w:sz w:val="26"/>
          <w:szCs w:val="26"/>
        </w:rPr>
      </w:pPr>
      <w:r w:rsidRPr="002B6594">
        <w:rPr>
          <w:rFonts w:ascii="Times New Roman" w:hAnsi="Times New Roman"/>
          <w:b/>
          <w:sz w:val="26"/>
          <w:szCs w:val="26"/>
        </w:rPr>
        <w:t xml:space="preserve">ESTIMATE OF THE TOTAL ANNUAL COST BURDEN TO </w:t>
      </w:r>
      <w:r w:rsidRPr="002B6594" w:rsidR="00F1537F">
        <w:rPr>
          <w:rFonts w:ascii="Times New Roman" w:hAnsi="Times New Roman"/>
          <w:b/>
          <w:sz w:val="26"/>
          <w:szCs w:val="26"/>
        </w:rPr>
        <w:t>RESPONDENTS</w:t>
      </w:r>
      <w:r w:rsidRPr="002B6594">
        <w:rPr>
          <w:rFonts w:ascii="Times New Roman" w:hAnsi="Times New Roman"/>
          <w:b/>
          <w:sz w:val="26"/>
          <w:szCs w:val="26"/>
        </w:rPr>
        <w:t xml:space="preserve"> </w:t>
      </w:r>
    </w:p>
    <w:p w:rsidR="002B6594" w:rsidRPr="002B6594" w:rsidP="002B6594" w14:paraId="2419E66E" w14:textId="77777777">
      <w:pPr>
        <w:pStyle w:val="ListParagraph"/>
        <w:spacing w:after="0" w:line="240" w:lineRule="auto"/>
        <w:ind w:left="360"/>
        <w:rPr>
          <w:rFonts w:ascii="Times New Roman" w:hAnsi="Times New Roman"/>
          <w:b/>
          <w:sz w:val="26"/>
          <w:szCs w:val="26"/>
        </w:rPr>
      </w:pPr>
    </w:p>
    <w:p w:rsidR="00861D50" w:rsidRPr="00861D50" w:rsidP="00D94A22" w14:paraId="11BCDDDF" w14:textId="4197E190">
      <w:pPr>
        <w:spacing w:after="0" w:line="240" w:lineRule="auto"/>
        <w:rPr>
          <w:rFonts w:ascii="Times New Roman" w:hAnsi="Times New Roman"/>
          <w:sz w:val="26"/>
          <w:szCs w:val="26"/>
        </w:rPr>
      </w:pPr>
      <w:r w:rsidRPr="00861D50">
        <w:rPr>
          <w:rFonts w:ascii="Times New Roman" w:hAnsi="Times New Roman"/>
          <w:sz w:val="26"/>
          <w:szCs w:val="26"/>
        </w:rPr>
        <w:t>Form</w:t>
      </w:r>
      <w:r w:rsidRPr="00861D50">
        <w:rPr>
          <w:rFonts w:ascii="Times New Roman" w:hAnsi="Times New Roman"/>
          <w:sz w:val="26"/>
          <w:szCs w:val="26"/>
        </w:rPr>
        <w:t xml:space="preserve"> No. 714</w:t>
      </w:r>
      <w:r>
        <w:rPr>
          <w:rFonts w:ascii="Times New Roman" w:hAnsi="Times New Roman"/>
          <w:sz w:val="26"/>
          <w:szCs w:val="26"/>
        </w:rPr>
        <w:t>-</w:t>
      </w:r>
    </w:p>
    <w:p w:rsidR="00861D50" w:rsidRPr="00861D50" w:rsidP="00861D50" w14:paraId="15987AE6" w14:textId="77777777">
      <w:pPr>
        <w:numPr>
          <w:ilvl w:val="1"/>
          <w:numId w:val="36"/>
        </w:numPr>
        <w:spacing w:after="0" w:line="240" w:lineRule="auto"/>
        <w:rPr>
          <w:rFonts w:ascii="Times New Roman" w:hAnsi="Times New Roman"/>
          <w:sz w:val="26"/>
          <w:szCs w:val="26"/>
        </w:rPr>
      </w:pPr>
      <w:r w:rsidRPr="00861D50">
        <w:rPr>
          <w:rFonts w:ascii="Times New Roman" w:hAnsi="Times New Roman"/>
          <w:sz w:val="26"/>
          <w:szCs w:val="26"/>
        </w:rPr>
        <w:t>Out-of-pocket cost for software and filing agent services: $737 for each filing.</w:t>
      </w:r>
      <w:r>
        <w:rPr>
          <w:rFonts w:ascii="Times New Roman" w:hAnsi="Times New Roman"/>
          <w:sz w:val="26"/>
          <w:szCs w:val="26"/>
          <w:vertAlign w:val="superscript"/>
        </w:rPr>
        <w:footnoteReference w:id="6"/>
      </w:r>
    </w:p>
    <w:p w:rsidR="00861D50" w:rsidRPr="00861D50" w:rsidP="00861D50" w14:paraId="15AF7697" w14:textId="5738FFC0">
      <w:pPr>
        <w:numPr>
          <w:ilvl w:val="1"/>
          <w:numId w:val="36"/>
        </w:numPr>
        <w:spacing w:after="0" w:line="240" w:lineRule="auto"/>
        <w:rPr>
          <w:rFonts w:ascii="Times New Roman" w:hAnsi="Times New Roman"/>
          <w:sz w:val="26"/>
          <w:szCs w:val="26"/>
        </w:rPr>
      </w:pPr>
      <w:r w:rsidRPr="00861D50">
        <w:rPr>
          <w:rFonts w:ascii="Times New Roman" w:hAnsi="Times New Roman"/>
          <w:sz w:val="26"/>
          <w:szCs w:val="26"/>
        </w:rPr>
        <w:t>Total out-of-pocket cost for software and filing agent services per year</w:t>
      </w:r>
      <w:r w:rsidRPr="00861D50">
        <w:rPr>
          <w:rFonts w:ascii="Times New Roman" w:hAnsi="Times New Roman"/>
          <w:sz w:val="26"/>
          <w:szCs w:val="26"/>
        </w:rPr>
        <w:t>:  (</w:t>
      </w:r>
      <w:r w:rsidRPr="00861D50">
        <w:rPr>
          <w:rFonts w:ascii="Times New Roman" w:hAnsi="Times New Roman"/>
          <w:sz w:val="26"/>
          <w:szCs w:val="26"/>
        </w:rPr>
        <w:t>1</w:t>
      </w:r>
      <w:r w:rsidR="00836B73">
        <w:rPr>
          <w:rFonts w:ascii="Times New Roman" w:hAnsi="Times New Roman"/>
          <w:sz w:val="26"/>
          <w:szCs w:val="26"/>
        </w:rPr>
        <w:t>03</w:t>
      </w:r>
      <w:r w:rsidRPr="00861D50">
        <w:rPr>
          <w:rFonts w:ascii="Times New Roman" w:hAnsi="Times New Roman"/>
          <w:sz w:val="26"/>
          <w:szCs w:val="26"/>
        </w:rPr>
        <w:t xml:space="preserve"> respondents) * ($737 for each filing) = $</w:t>
      </w:r>
      <w:r w:rsidR="00836B73">
        <w:rPr>
          <w:rFonts w:ascii="Times New Roman" w:hAnsi="Times New Roman"/>
          <w:sz w:val="26"/>
          <w:szCs w:val="26"/>
        </w:rPr>
        <w:t>75,911</w:t>
      </w:r>
      <w:r w:rsidRPr="00861D50">
        <w:rPr>
          <w:rFonts w:ascii="Times New Roman" w:hAnsi="Times New Roman"/>
          <w:sz w:val="26"/>
          <w:szCs w:val="26"/>
        </w:rPr>
        <w:t>.</w:t>
      </w:r>
    </w:p>
    <w:p w:rsidR="00974AFC" w:rsidRPr="00E9060E" w:rsidP="00BD0F89" w14:paraId="744F03A0" w14:textId="77777777">
      <w:pPr>
        <w:spacing w:after="0" w:line="240" w:lineRule="auto"/>
        <w:rPr>
          <w:rFonts w:ascii="Times New Roman" w:hAnsi="Times New Roman"/>
          <w:sz w:val="26"/>
          <w:szCs w:val="26"/>
        </w:rPr>
      </w:pPr>
    </w:p>
    <w:p w:rsidR="00F0627E" w:rsidRPr="00E9060E" w:rsidP="00BD0F89" w14:paraId="691BA5A9" w14:textId="77777777">
      <w:pPr>
        <w:spacing w:after="0" w:line="240" w:lineRule="auto"/>
        <w:rPr>
          <w:rFonts w:ascii="Times New Roman" w:hAnsi="Times New Roman"/>
          <w:sz w:val="26"/>
          <w:szCs w:val="26"/>
        </w:rPr>
      </w:pPr>
    </w:p>
    <w:p w:rsidR="00F0627E" w:rsidRPr="00E9060E" w:rsidP="00BD0F89" w14:paraId="64AF384F" w14:textId="77777777">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14</w:t>
      </w:r>
      <w:r w:rsidRPr="00E9060E">
        <w:rPr>
          <w:rFonts w:ascii="Times New Roman" w:hAnsi="Times New Roman"/>
          <w:b/>
          <w:sz w:val="26"/>
          <w:szCs w:val="26"/>
        </w:rPr>
        <w:t xml:space="preserve">.  </w:t>
      </w:r>
      <w:r w:rsidRPr="00E9060E" w:rsidR="00BF3095">
        <w:rPr>
          <w:rFonts w:ascii="Times New Roman" w:hAnsi="Times New Roman"/>
          <w:b/>
          <w:sz w:val="26"/>
          <w:szCs w:val="26"/>
        </w:rPr>
        <w:t>ESTIMATED</w:t>
      </w:r>
      <w:r w:rsidRPr="00E9060E" w:rsidR="00BF3095">
        <w:rPr>
          <w:rFonts w:ascii="Times New Roman" w:hAnsi="Times New Roman"/>
          <w:b/>
          <w:sz w:val="26"/>
          <w:szCs w:val="26"/>
        </w:rPr>
        <w:t xml:space="preserve"> ANNUALIZED COST TO FEDERAL GOVERNMENT</w:t>
      </w:r>
    </w:p>
    <w:p w:rsidR="00BF3095" w:rsidRPr="00E9060E" w:rsidP="00BD0F89" w14:paraId="31100877" w14:textId="77777777">
      <w:pPr>
        <w:pStyle w:val="ListParagraph"/>
        <w:spacing w:after="0" w:line="240" w:lineRule="auto"/>
        <w:ind w:left="0"/>
        <w:rPr>
          <w:rFonts w:ascii="Times New Roman" w:hAnsi="Times New Roman"/>
          <w:sz w:val="26"/>
          <w:szCs w:val="26"/>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1854"/>
        <w:gridCol w:w="2823"/>
        <w:gridCol w:w="2970"/>
      </w:tblGrid>
      <w:tr w14:paraId="3FDB3764" w14:textId="77777777" w:rsidTr="002F076F">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28" w:type="dxa"/>
            <w:shd w:val="clear" w:color="auto" w:fill="CCCCCC"/>
          </w:tcPr>
          <w:p w:rsidR="002B6594" w:rsidRPr="002B6594" w:rsidP="002B6594" w14:paraId="15C865D0" w14:textId="77777777">
            <w:pPr>
              <w:spacing w:after="0"/>
              <w:contextualSpacing/>
              <w:rPr>
                <w:rFonts w:ascii="Times New Roman" w:hAnsi="Times New Roman"/>
                <w:b/>
                <w:sz w:val="26"/>
                <w:szCs w:val="26"/>
              </w:rPr>
            </w:pPr>
          </w:p>
        </w:tc>
        <w:tc>
          <w:tcPr>
            <w:tcW w:w="1854" w:type="dxa"/>
            <w:shd w:val="clear" w:color="auto" w:fill="CCCCCC"/>
          </w:tcPr>
          <w:p w:rsidR="002B6594" w:rsidRPr="002B6594" w:rsidP="002B6594" w14:paraId="43F6A026" w14:textId="77777777">
            <w:pPr>
              <w:spacing w:after="0"/>
              <w:contextualSpacing/>
              <w:rPr>
                <w:rFonts w:ascii="Times New Roman" w:hAnsi="Times New Roman"/>
                <w:b/>
                <w:sz w:val="26"/>
                <w:szCs w:val="26"/>
              </w:rPr>
            </w:pPr>
          </w:p>
        </w:tc>
        <w:tc>
          <w:tcPr>
            <w:tcW w:w="2823" w:type="dxa"/>
            <w:shd w:val="clear" w:color="auto" w:fill="CCCCCC"/>
          </w:tcPr>
          <w:p w:rsidR="002B6594" w:rsidRPr="002B6594" w:rsidP="002B6594" w14:paraId="676AA57F" w14:textId="77777777">
            <w:pPr>
              <w:spacing w:after="0"/>
              <w:contextualSpacing/>
              <w:jc w:val="right"/>
              <w:rPr>
                <w:rFonts w:ascii="Times New Roman" w:hAnsi="Times New Roman"/>
                <w:b/>
                <w:sz w:val="26"/>
                <w:szCs w:val="26"/>
              </w:rPr>
            </w:pPr>
            <w:r w:rsidRPr="002B6594">
              <w:rPr>
                <w:rFonts w:ascii="Times New Roman" w:hAnsi="Times New Roman"/>
                <w:b/>
                <w:sz w:val="26"/>
                <w:szCs w:val="26"/>
              </w:rPr>
              <w:t>Number of Employees (FTEs)</w:t>
            </w:r>
          </w:p>
        </w:tc>
        <w:tc>
          <w:tcPr>
            <w:tcW w:w="2970" w:type="dxa"/>
            <w:shd w:val="clear" w:color="auto" w:fill="CCCCCC"/>
          </w:tcPr>
          <w:p w:rsidR="002B6594" w:rsidRPr="002B6594" w:rsidP="002B6594" w14:paraId="015BF539" w14:textId="77777777">
            <w:pPr>
              <w:spacing w:after="0"/>
              <w:contextualSpacing/>
              <w:jc w:val="right"/>
              <w:rPr>
                <w:rFonts w:ascii="Times New Roman" w:hAnsi="Times New Roman"/>
                <w:b/>
                <w:sz w:val="26"/>
                <w:szCs w:val="26"/>
              </w:rPr>
            </w:pPr>
            <w:r w:rsidRPr="002B6594">
              <w:rPr>
                <w:rFonts w:ascii="Times New Roman" w:hAnsi="Times New Roman"/>
                <w:b/>
                <w:sz w:val="26"/>
                <w:szCs w:val="26"/>
              </w:rPr>
              <w:t>Estimated Annual Federal Cost</w:t>
            </w:r>
          </w:p>
        </w:tc>
      </w:tr>
      <w:tr w14:paraId="48B00B3A" w14:textId="77777777" w:rsidTr="002F076F">
        <w:tblPrEx>
          <w:tblW w:w="10075" w:type="dxa"/>
          <w:tblLook w:val="01E0"/>
        </w:tblPrEx>
        <w:tc>
          <w:tcPr>
            <w:tcW w:w="2428" w:type="dxa"/>
            <w:shd w:val="clear" w:color="auto" w:fill="CCCCCC"/>
          </w:tcPr>
          <w:p w:rsidR="002B6594" w:rsidRPr="002B6594" w:rsidP="002B6594" w14:paraId="57E8CD32" w14:textId="77777777">
            <w:pPr>
              <w:spacing w:after="0" w:line="240" w:lineRule="auto"/>
              <w:rPr>
                <w:rFonts w:ascii="Times New Roman" w:hAnsi="Times New Roman" w:eastAsiaTheme="minorHAnsi"/>
                <w:sz w:val="26"/>
                <w:szCs w:val="26"/>
              </w:rPr>
            </w:pPr>
            <w:r w:rsidRPr="002B6594">
              <w:rPr>
                <w:rFonts w:ascii="Times New Roman" w:hAnsi="Times New Roman" w:eastAsiaTheme="minorHAnsi"/>
                <w:sz w:val="26"/>
                <w:szCs w:val="26"/>
              </w:rPr>
              <w:t>Analysis and Processing of filings</w:t>
            </w:r>
            <w:r>
              <w:rPr>
                <w:rFonts w:ascii="Times New Roman" w:hAnsi="Times New Roman" w:eastAsiaTheme="minorHAnsi"/>
                <w:sz w:val="26"/>
                <w:szCs w:val="26"/>
                <w:vertAlign w:val="superscript"/>
              </w:rPr>
              <w:footnoteReference w:id="7"/>
            </w:r>
          </w:p>
          <w:p w:rsidR="002B6594" w:rsidRPr="002B6594" w:rsidP="002B6594" w14:paraId="1914E29D" w14:textId="77777777">
            <w:pPr>
              <w:spacing w:after="0"/>
              <w:contextualSpacing/>
              <w:rPr>
                <w:rFonts w:ascii="Times New Roman" w:hAnsi="Times New Roman"/>
                <w:b/>
                <w:sz w:val="26"/>
                <w:szCs w:val="26"/>
              </w:rPr>
            </w:pPr>
          </w:p>
        </w:tc>
        <w:tc>
          <w:tcPr>
            <w:tcW w:w="1854" w:type="dxa"/>
            <w:shd w:val="clear" w:color="auto" w:fill="CCCCCC"/>
          </w:tcPr>
          <w:p w:rsidR="002B6594" w:rsidRPr="002B6594" w:rsidP="002B6594" w14:paraId="514666A5" w14:textId="77777777">
            <w:pPr>
              <w:spacing w:after="0"/>
              <w:contextualSpacing/>
              <w:rPr>
                <w:rFonts w:ascii="Times New Roman" w:hAnsi="Times New Roman"/>
                <w:b/>
                <w:sz w:val="26"/>
                <w:szCs w:val="26"/>
              </w:rPr>
            </w:pPr>
          </w:p>
        </w:tc>
        <w:tc>
          <w:tcPr>
            <w:tcW w:w="2823" w:type="dxa"/>
            <w:shd w:val="clear" w:color="auto" w:fill="CCCCCC"/>
          </w:tcPr>
          <w:p w:rsidR="002B6594" w:rsidRPr="002B6594" w:rsidP="002B6594" w14:paraId="14DC97F8" w14:textId="77777777">
            <w:pPr>
              <w:spacing w:after="0"/>
              <w:contextualSpacing/>
              <w:jc w:val="right"/>
              <w:rPr>
                <w:rFonts w:ascii="Times New Roman" w:hAnsi="Times New Roman"/>
                <w:sz w:val="26"/>
                <w:szCs w:val="26"/>
              </w:rPr>
            </w:pPr>
            <w:r w:rsidRPr="002B6594">
              <w:rPr>
                <w:rFonts w:ascii="Times New Roman" w:hAnsi="Times New Roman"/>
                <w:sz w:val="26"/>
                <w:szCs w:val="26"/>
              </w:rPr>
              <w:t>0.2</w:t>
            </w:r>
            <w:r>
              <w:rPr>
                <w:rFonts w:ascii="Times New Roman" w:hAnsi="Times New Roman"/>
                <w:sz w:val="26"/>
                <w:szCs w:val="26"/>
                <w:vertAlign w:val="superscript"/>
              </w:rPr>
              <w:footnoteReference w:id="8"/>
            </w:r>
          </w:p>
        </w:tc>
        <w:tc>
          <w:tcPr>
            <w:tcW w:w="2970" w:type="dxa"/>
            <w:shd w:val="clear" w:color="auto" w:fill="CCCCCC"/>
          </w:tcPr>
          <w:p w:rsidR="002B6594" w:rsidRPr="002B6594" w:rsidP="002B6594" w14:paraId="6DBEB844" w14:textId="6C8A04DA">
            <w:pPr>
              <w:spacing w:after="0"/>
              <w:contextualSpacing/>
              <w:jc w:val="right"/>
              <w:rPr>
                <w:rFonts w:ascii="Times New Roman" w:hAnsi="Times New Roman"/>
                <w:sz w:val="26"/>
                <w:szCs w:val="26"/>
                <w:highlight w:val="yellow"/>
              </w:rPr>
            </w:pPr>
            <w:r w:rsidRPr="002B6594">
              <w:rPr>
                <w:rFonts w:ascii="Times New Roman" w:hAnsi="Times New Roman"/>
                <w:sz w:val="26"/>
                <w:szCs w:val="26"/>
              </w:rPr>
              <w:t>$</w:t>
            </w:r>
            <w:r w:rsidR="007E6656">
              <w:rPr>
                <w:rFonts w:ascii="Times New Roman" w:hAnsi="Times New Roman"/>
                <w:sz w:val="26"/>
                <w:szCs w:val="26"/>
              </w:rPr>
              <w:t>42</w:t>
            </w:r>
            <w:r w:rsidRPr="003E29B3" w:rsidR="003E29B3">
              <w:rPr>
                <w:rFonts w:ascii="Times New Roman" w:hAnsi="Times New Roman"/>
                <w:sz w:val="26"/>
                <w:szCs w:val="26"/>
              </w:rPr>
              <w:t>,</w:t>
            </w:r>
            <w:r w:rsidR="006A291D">
              <w:rPr>
                <w:rFonts w:ascii="Times New Roman" w:hAnsi="Times New Roman"/>
                <w:sz w:val="26"/>
                <w:szCs w:val="26"/>
              </w:rPr>
              <w:t>600</w:t>
            </w:r>
            <w:r w:rsidRPr="003E29B3" w:rsidR="003E29B3">
              <w:rPr>
                <w:rFonts w:ascii="Times New Roman" w:hAnsi="Times New Roman"/>
                <w:sz w:val="26"/>
                <w:szCs w:val="26"/>
              </w:rPr>
              <w:t>.60</w:t>
            </w:r>
          </w:p>
        </w:tc>
      </w:tr>
      <w:tr w14:paraId="36325CA0" w14:textId="77777777" w:rsidTr="002F076F">
        <w:tblPrEx>
          <w:tblW w:w="10075" w:type="dxa"/>
          <w:tblLook w:val="01E0"/>
        </w:tblPrEx>
        <w:tc>
          <w:tcPr>
            <w:tcW w:w="2428" w:type="dxa"/>
          </w:tcPr>
          <w:p w:rsidR="002B6594" w:rsidRPr="002B6594" w:rsidP="002B6594" w14:paraId="24AB9A19" w14:textId="77777777">
            <w:pPr>
              <w:spacing w:after="160" w:line="259" w:lineRule="auto"/>
              <w:rPr>
                <w:rFonts w:ascii="Times New Roman" w:hAnsi="Times New Roman" w:eastAsiaTheme="minorHAnsi"/>
                <w:sz w:val="26"/>
                <w:szCs w:val="26"/>
              </w:rPr>
            </w:pPr>
            <w:r w:rsidRPr="002B6594">
              <w:rPr>
                <w:rFonts w:ascii="Times New Roman" w:hAnsi="Times New Roman" w:eastAsiaTheme="minorHAnsi"/>
                <w:sz w:val="26"/>
                <w:szCs w:val="26"/>
              </w:rPr>
              <w:t>PRA</w:t>
            </w:r>
            <w:r>
              <w:rPr>
                <w:rFonts w:ascii="Times New Roman" w:hAnsi="Times New Roman" w:eastAsiaTheme="minorHAnsi"/>
                <w:b/>
                <w:sz w:val="26"/>
                <w:szCs w:val="26"/>
                <w:vertAlign w:val="superscript"/>
              </w:rPr>
              <w:footnoteReference w:id="9"/>
            </w:r>
            <w:r w:rsidRPr="002B6594">
              <w:rPr>
                <w:rFonts w:ascii="Times New Roman" w:hAnsi="Times New Roman" w:eastAsiaTheme="minorHAnsi"/>
                <w:b/>
                <w:sz w:val="26"/>
                <w:szCs w:val="26"/>
              </w:rPr>
              <w:t xml:space="preserve"> </w:t>
            </w:r>
            <w:r w:rsidRPr="002B6594">
              <w:rPr>
                <w:rFonts w:ascii="Times New Roman" w:hAnsi="Times New Roman" w:eastAsiaTheme="minorHAnsi"/>
                <w:sz w:val="26"/>
                <w:szCs w:val="26"/>
              </w:rPr>
              <w:t>Administration Cost</w:t>
            </w:r>
            <w:r>
              <w:rPr>
                <w:rFonts w:ascii="Times New Roman" w:hAnsi="Times New Roman" w:eastAsiaTheme="minorHAnsi"/>
                <w:b/>
                <w:sz w:val="26"/>
                <w:szCs w:val="26"/>
                <w:vertAlign w:val="superscript"/>
              </w:rPr>
              <w:footnoteReference w:id="10"/>
            </w:r>
            <w:r w:rsidRPr="002B6594">
              <w:rPr>
                <w:rFonts w:ascii="Times New Roman" w:hAnsi="Times New Roman" w:eastAsiaTheme="minorHAnsi"/>
                <w:sz w:val="26"/>
                <w:szCs w:val="26"/>
              </w:rPr>
              <w:t xml:space="preserve"> </w:t>
            </w:r>
          </w:p>
        </w:tc>
        <w:tc>
          <w:tcPr>
            <w:tcW w:w="1854" w:type="dxa"/>
          </w:tcPr>
          <w:p w:rsidR="002B6594" w:rsidRPr="002B6594" w:rsidP="002B6594" w14:paraId="66436561" w14:textId="77777777">
            <w:pPr>
              <w:spacing w:after="0"/>
              <w:contextualSpacing/>
              <w:jc w:val="right"/>
              <w:rPr>
                <w:rFonts w:ascii="Times New Roman" w:hAnsi="Times New Roman"/>
                <w:b/>
                <w:sz w:val="26"/>
                <w:szCs w:val="26"/>
              </w:rPr>
            </w:pPr>
          </w:p>
        </w:tc>
        <w:tc>
          <w:tcPr>
            <w:tcW w:w="2823" w:type="dxa"/>
          </w:tcPr>
          <w:p w:rsidR="002B6594" w:rsidRPr="002B6594" w:rsidP="002B6594" w14:paraId="42953233" w14:textId="77777777">
            <w:pPr>
              <w:spacing w:after="0"/>
              <w:contextualSpacing/>
              <w:jc w:val="right"/>
              <w:rPr>
                <w:rFonts w:ascii="Times New Roman" w:hAnsi="Times New Roman"/>
                <w:sz w:val="26"/>
                <w:szCs w:val="26"/>
              </w:rPr>
            </w:pPr>
            <w:r w:rsidRPr="002B6594">
              <w:rPr>
                <w:rFonts w:ascii="Times New Roman" w:hAnsi="Times New Roman"/>
                <w:sz w:val="26"/>
                <w:szCs w:val="26"/>
              </w:rPr>
              <w:t>-</w:t>
            </w:r>
          </w:p>
        </w:tc>
        <w:tc>
          <w:tcPr>
            <w:tcW w:w="2970" w:type="dxa"/>
          </w:tcPr>
          <w:p w:rsidR="002B6594" w:rsidRPr="002B6594" w:rsidP="002B6594" w14:paraId="70B3A0F2" w14:textId="0847E1E5">
            <w:pPr>
              <w:spacing w:after="0"/>
              <w:contextualSpacing/>
              <w:jc w:val="right"/>
              <w:rPr>
                <w:rFonts w:ascii="Times New Roman" w:hAnsi="Times New Roman"/>
                <w:sz w:val="26"/>
                <w:szCs w:val="26"/>
              </w:rPr>
            </w:pPr>
            <w:r w:rsidRPr="002B6594">
              <w:rPr>
                <w:rFonts w:ascii="Times New Roman" w:hAnsi="Times New Roman"/>
                <w:sz w:val="26"/>
                <w:szCs w:val="26"/>
              </w:rPr>
              <w:t>$</w:t>
            </w:r>
            <w:r w:rsidRPr="003E29B3" w:rsidR="003E29B3">
              <w:rPr>
                <w:rFonts w:ascii="Times New Roman" w:hAnsi="Times New Roman"/>
                <w:sz w:val="26"/>
                <w:szCs w:val="26"/>
              </w:rPr>
              <w:t>8</w:t>
            </w:r>
            <w:r w:rsidR="003E29B3">
              <w:rPr>
                <w:rFonts w:ascii="Times New Roman" w:hAnsi="Times New Roman"/>
                <w:sz w:val="26"/>
                <w:szCs w:val="26"/>
              </w:rPr>
              <w:t>,</w:t>
            </w:r>
            <w:r w:rsidR="005F4B72">
              <w:rPr>
                <w:rFonts w:ascii="Times New Roman" w:hAnsi="Times New Roman"/>
                <w:sz w:val="26"/>
                <w:szCs w:val="26"/>
              </w:rPr>
              <w:t>404</w:t>
            </w:r>
          </w:p>
        </w:tc>
      </w:tr>
      <w:tr w14:paraId="749B6180" w14:textId="77777777" w:rsidTr="002F076F">
        <w:tblPrEx>
          <w:tblW w:w="10075" w:type="dxa"/>
          <w:tblLook w:val="01E0"/>
        </w:tblPrEx>
        <w:tc>
          <w:tcPr>
            <w:tcW w:w="2428" w:type="dxa"/>
          </w:tcPr>
          <w:p w:rsidR="002B6594" w:rsidRPr="002B6594" w:rsidP="002B6594" w14:paraId="45183194" w14:textId="77777777">
            <w:pPr>
              <w:spacing w:after="160" w:line="259" w:lineRule="auto"/>
              <w:rPr>
                <w:rFonts w:ascii="Times New Roman" w:hAnsi="Times New Roman" w:eastAsiaTheme="minorHAnsi"/>
                <w:sz w:val="26"/>
                <w:szCs w:val="26"/>
              </w:rPr>
            </w:pPr>
            <w:r w:rsidRPr="002B6594">
              <w:rPr>
                <w:rFonts w:ascii="Times New Roman" w:hAnsi="Times New Roman" w:eastAsiaTheme="minorHAnsi"/>
                <w:sz w:val="26"/>
                <w:szCs w:val="26"/>
              </w:rPr>
              <w:t>Capital Cost</w:t>
            </w:r>
            <w:r>
              <w:rPr>
                <w:rFonts w:ascii="Times New Roman" w:hAnsi="Times New Roman" w:eastAsiaTheme="minorHAnsi"/>
                <w:sz w:val="26"/>
                <w:szCs w:val="26"/>
                <w:vertAlign w:val="superscript"/>
              </w:rPr>
              <w:footnoteReference w:id="11"/>
            </w:r>
          </w:p>
        </w:tc>
        <w:tc>
          <w:tcPr>
            <w:tcW w:w="1854" w:type="dxa"/>
          </w:tcPr>
          <w:p w:rsidR="002B6594" w:rsidRPr="002B6594" w:rsidP="002B6594" w14:paraId="4C32D13C" w14:textId="77777777">
            <w:pPr>
              <w:spacing w:after="0"/>
              <w:contextualSpacing/>
              <w:jc w:val="right"/>
              <w:rPr>
                <w:rFonts w:ascii="Times New Roman" w:hAnsi="Times New Roman"/>
                <w:b/>
                <w:sz w:val="26"/>
                <w:szCs w:val="26"/>
              </w:rPr>
            </w:pPr>
          </w:p>
        </w:tc>
        <w:tc>
          <w:tcPr>
            <w:tcW w:w="2823" w:type="dxa"/>
          </w:tcPr>
          <w:p w:rsidR="002B6594" w:rsidRPr="002B6594" w:rsidP="002B6594" w14:paraId="5491B5CD" w14:textId="77777777">
            <w:pPr>
              <w:spacing w:after="0"/>
              <w:contextualSpacing/>
              <w:jc w:val="right"/>
              <w:rPr>
                <w:rFonts w:ascii="Times New Roman" w:hAnsi="Times New Roman"/>
                <w:sz w:val="26"/>
                <w:szCs w:val="26"/>
              </w:rPr>
            </w:pPr>
            <w:r w:rsidRPr="002B6594">
              <w:rPr>
                <w:rFonts w:ascii="Times New Roman" w:hAnsi="Times New Roman"/>
                <w:sz w:val="26"/>
                <w:szCs w:val="26"/>
              </w:rPr>
              <w:t>0</w:t>
            </w:r>
          </w:p>
        </w:tc>
        <w:tc>
          <w:tcPr>
            <w:tcW w:w="2970" w:type="dxa"/>
          </w:tcPr>
          <w:p w:rsidR="002B6594" w:rsidRPr="002B6594" w:rsidP="002B6594" w14:paraId="74F84C7E" w14:textId="77777777">
            <w:pPr>
              <w:spacing w:after="0"/>
              <w:contextualSpacing/>
              <w:jc w:val="right"/>
              <w:rPr>
                <w:rFonts w:ascii="Times New Roman" w:hAnsi="Times New Roman"/>
                <w:sz w:val="26"/>
                <w:szCs w:val="26"/>
              </w:rPr>
            </w:pPr>
            <w:r w:rsidRPr="002B6594">
              <w:rPr>
                <w:rFonts w:ascii="Times New Roman" w:hAnsi="Times New Roman"/>
                <w:sz w:val="26"/>
                <w:szCs w:val="26"/>
              </w:rPr>
              <w:t>0</w:t>
            </w:r>
          </w:p>
        </w:tc>
      </w:tr>
      <w:tr w14:paraId="2DE10493" w14:textId="77777777" w:rsidTr="002F076F">
        <w:tblPrEx>
          <w:tblW w:w="10075" w:type="dxa"/>
          <w:tblLook w:val="01E0"/>
        </w:tblPrEx>
        <w:tc>
          <w:tcPr>
            <w:tcW w:w="2428" w:type="dxa"/>
          </w:tcPr>
          <w:p w:rsidR="002B6594" w:rsidRPr="002B6594" w:rsidP="002B6594" w14:paraId="07F862B7" w14:textId="77777777">
            <w:pPr>
              <w:spacing w:after="0"/>
              <w:contextualSpacing/>
              <w:rPr>
                <w:rFonts w:ascii="Times New Roman" w:hAnsi="Times New Roman"/>
                <w:b/>
                <w:sz w:val="26"/>
                <w:szCs w:val="26"/>
              </w:rPr>
            </w:pPr>
            <w:r w:rsidRPr="002B6594">
              <w:rPr>
                <w:rFonts w:ascii="Times New Roman" w:hAnsi="Times New Roman"/>
                <w:b/>
                <w:sz w:val="26"/>
                <w:szCs w:val="26"/>
              </w:rPr>
              <w:t>FERC Total</w:t>
            </w:r>
          </w:p>
        </w:tc>
        <w:tc>
          <w:tcPr>
            <w:tcW w:w="1854" w:type="dxa"/>
          </w:tcPr>
          <w:p w:rsidR="002B6594" w:rsidRPr="002B6594" w:rsidP="002B6594" w14:paraId="5EEFB9A8" w14:textId="77777777">
            <w:pPr>
              <w:spacing w:after="0"/>
              <w:contextualSpacing/>
              <w:jc w:val="right"/>
              <w:rPr>
                <w:rFonts w:ascii="Times New Roman" w:hAnsi="Times New Roman"/>
                <w:b/>
                <w:sz w:val="26"/>
                <w:szCs w:val="26"/>
              </w:rPr>
            </w:pPr>
          </w:p>
        </w:tc>
        <w:tc>
          <w:tcPr>
            <w:tcW w:w="2823" w:type="dxa"/>
            <w:tcBorders>
              <w:bottom w:val="single" w:sz="4" w:space="0" w:color="auto"/>
            </w:tcBorders>
            <w:shd w:val="clear" w:color="auto" w:fill="BFBFBF"/>
          </w:tcPr>
          <w:p w:rsidR="002B6594" w:rsidRPr="002B6594" w:rsidP="002B6594" w14:paraId="2DB23E32" w14:textId="77777777">
            <w:pPr>
              <w:spacing w:after="0"/>
              <w:contextualSpacing/>
              <w:jc w:val="right"/>
              <w:rPr>
                <w:rFonts w:ascii="Times New Roman" w:hAnsi="Times New Roman"/>
                <w:b/>
                <w:sz w:val="26"/>
                <w:szCs w:val="26"/>
              </w:rPr>
            </w:pPr>
          </w:p>
        </w:tc>
        <w:tc>
          <w:tcPr>
            <w:tcW w:w="2970" w:type="dxa"/>
          </w:tcPr>
          <w:p w:rsidR="002B6594" w:rsidRPr="002B6594" w:rsidP="002B6594" w14:paraId="2A08C7AD" w14:textId="4FC9DEFB">
            <w:pPr>
              <w:spacing w:after="0"/>
              <w:contextualSpacing/>
              <w:jc w:val="right"/>
              <w:rPr>
                <w:rFonts w:ascii="Times New Roman" w:hAnsi="Times New Roman"/>
                <w:b/>
                <w:sz w:val="26"/>
                <w:szCs w:val="26"/>
              </w:rPr>
            </w:pPr>
            <w:r w:rsidRPr="002B6594">
              <w:rPr>
                <w:rFonts w:ascii="Times New Roman" w:hAnsi="Times New Roman"/>
                <w:b/>
                <w:sz w:val="26"/>
                <w:szCs w:val="26"/>
              </w:rPr>
              <w:t>$</w:t>
            </w:r>
            <w:r w:rsidR="006A291D">
              <w:rPr>
                <w:rFonts w:ascii="Times New Roman" w:hAnsi="Times New Roman"/>
                <w:b/>
                <w:sz w:val="26"/>
                <w:szCs w:val="26"/>
              </w:rPr>
              <w:t>51</w:t>
            </w:r>
            <w:r w:rsidR="003E29B3">
              <w:rPr>
                <w:rFonts w:ascii="Times New Roman" w:hAnsi="Times New Roman"/>
                <w:b/>
                <w:sz w:val="26"/>
                <w:szCs w:val="26"/>
              </w:rPr>
              <w:t>,</w:t>
            </w:r>
            <w:r w:rsidR="006A291D">
              <w:rPr>
                <w:rFonts w:ascii="Times New Roman" w:hAnsi="Times New Roman"/>
                <w:b/>
                <w:sz w:val="26"/>
                <w:szCs w:val="26"/>
              </w:rPr>
              <w:t>004</w:t>
            </w:r>
            <w:r w:rsidR="003E29B3">
              <w:rPr>
                <w:rFonts w:ascii="Times New Roman" w:hAnsi="Times New Roman"/>
                <w:b/>
                <w:sz w:val="26"/>
                <w:szCs w:val="26"/>
              </w:rPr>
              <w:t>.60</w:t>
            </w:r>
          </w:p>
        </w:tc>
      </w:tr>
    </w:tbl>
    <w:p w:rsidR="003F4A59" w:rsidP="00BD0F89" w14:paraId="55FC1BFA" w14:textId="3523FB36">
      <w:pPr>
        <w:spacing w:after="0" w:line="240" w:lineRule="auto"/>
        <w:rPr>
          <w:rFonts w:ascii="Times New Roman" w:hAnsi="Times New Roman"/>
          <w:sz w:val="26"/>
          <w:szCs w:val="26"/>
        </w:rPr>
      </w:pPr>
    </w:p>
    <w:p w:rsidR="002B6594" w:rsidRPr="002B6594" w:rsidP="002B6594" w14:paraId="4397552D" w14:textId="77777777">
      <w:pPr>
        <w:spacing w:after="0"/>
        <w:rPr>
          <w:rFonts w:ascii="Times New Roman" w:hAnsi="Times New Roman"/>
          <w:sz w:val="26"/>
          <w:szCs w:val="26"/>
        </w:rPr>
      </w:pPr>
      <w:r w:rsidRPr="002B6594">
        <w:rPr>
          <w:rFonts w:ascii="Times New Roman" w:hAnsi="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2B6594" w:rsidRPr="00E9060E" w:rsidP="00BD0F89" w14:paraId="40692913" w14:textId="77777777">
      <w:pPr>
        <w:spacing w:after="0" w:line="240" w:lineRule="auto"/>
        <w:rPr>
          <w:rFonts w:ascii="Times New Roman" w:hAnsi="Times New Roman"/>
          <w:sz w:val="26"/>
          <w:szCs w:val="26"/>
        </w:rPr>
      </w:pPr>
    </w:p>
    <w:p w:rsidR="00F20B97" w:rsidRPr="00E9060E" w:rsidP="00BD0F89" w14:paraId="43CA34DD" w14:textId="77777777">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rsidR="00F20B97" w:rsidP="00BD0F89" w14:paraId="3F5AE378" w14:textId="3C42E83C">
      <w:pPr>
        <w:spacing w:after="0" w:line="240" w:lineRule="auto"/>
        <w:rPr>
          <w:rFonts w:ascii="Times New Roman" w:hAnsi="Times New Roman"/>
          <w:sz w:val="26"/>
          <w:szCs w:val="26"/>
        </w:rPr>
      </w:pPr>
    </w:p>
    <w:p w:rsidR="002B6594" w:rsidP="00BD0F89" w14:paraId="6DD417C4" w14:textId="27A92C9E">
      <w:pPr>
        <w:spacing w:after="0" w:line="240" w:lineRule="auto"/>
        <w:rPr>
          <w:rFonts w:ascii="Times New Roman" w:hAnsi="Times New Roman"/>
          <w:sz w:val="26"/>
          <w:szCs w:val="26"/>
        </w:rPr>
      </w:pPr>
      <w:r>
        <w:rPr>
          <w:rFonts w:ascii="Times New Roman" w:hAnsi="Times New Roman"/>
          <w:sz w:val="26"/>
          <w:szCs w:val="26"/>
        </w:rPr>
        <w:t>This renewal presented no program or burden changes.</w:t>
      </w:r>
    </w:p>
    <w:p w:rsidR="002B6594" w:rsidP="00BD0F89" w14:paraId="202176A7" w14:textId="3ED1A28F">
      <w:pPr>
        <w:spacing w:after="0" w:line="240" w:lineRule="auto"/>
        <w:rPr>
          <w:rFonts w:ascii="Times New Roman" w:hAnsi="Times New Roman"/>
          <w:sz w:val="26"/>
          <w:szCs w:val="26"/>
        </w:rPr>
      </w:pPr>
    </w:p>
    <w:p w:rsidR="002B6594" w:rsidRPr="002B6594" w:rsidP="002B6594" w14:paraId="661D5832" w14:textId="3FE193FC">
      <w:pPr>
        <w:spacing w:after="0"/>
        <w:rPr>
          <w:rFonts w:ascii="Times New Roman" w:hAnsi="Times New Roman"/>
          <w:sz w:val="26"/>
          <w:szCs w:val="26"/>
        </w:rPr>
      </w:pPr>
      <w:r w:rsidRPr="002B6594">
        <w:rPr>
          <w:rFonts w:ascii="Times New Roman" w:hAnsi="Times New Roman"/>
          <w:sz w:val="26"/>
          <w:szCs w:val="26"/>
        </w:rPr>
        <w:t>The requirements in FERC Form</w:t>
      </w:r>
      <w:r w:rsidR="000714B8">
        <w:rPr>
          <w:rFonts w:ascii="Times New Roman" w:hAnsi="Times New Roman"/>
          <w:sz w:val="26"/>
          <w:szCs w:val="26"/>
        </w:rPr>
        <w:t xml:space="preserve"> </w:t>
      </w:r>
      <w:r w:rsidRPr="002B6594">
        <w:rPr>
          <w:rFonts w:ascii="Times New Roman" w:hAnsi="Times New Roman"/>
          <w:sz w:val="26"/>
          <w:szCs w:val="26"/>
        </w:rPr>
        <w:t xml:space="preserve">714 did not change.  The Commission determined the annual number of responses by referencing the NERC Compliance Registry list.  The </w:t>
      </w:r>
      <w:r w:rsidRPr="002B6594">
        <w:rPr>
          <w:rFonts w:ascii="Times New Roman" w:hAnsi="Times New Roman"/>
          <w:sz w:val="26"/>
          <w:szCs w:val="26"/>
        </w:rPr>
        <w:t>registered entities that possessed either a balancing authority or planning area function were aggregated to determine the total number of responses</w:t>
      </w:r>
      <w:r w:rsidRPr="002B6594">
        <w:rPr>
          <w:rFonts w:ascii="Times New Roman" w:hAnsi="Times New Roman"/>
          <w:sz w:val="26"/>
          <w:szCs w:val="26"/>
        </w:rPr>
        <w:t>.</w:t>
      </w:r>
    </w:p>
    <w:p w:rsidR="002B6594" w:rsidRPr="002B6594" w:rsidP="002B6594" w14:paraId="0ECD6643" w14:textId="77777777">
      <w:pPr>
        <w:spacing w:after="0"/>
        <w:rPr>
          <w:rFonts w:ascii="Times New Roman" w:hAnsi="Times New Roman"/>
          <w:sz w:val="26"/>
          <w:szCs w:val="26"/>
        </w:rPr>
      </w:pPr>
    </w:p>
    <w:p w:rsidR="002B6594" w:rsidRPr="002B6594" w:rsidP="002B6594" w14:paraId="78D8C19F" w14:textId="77777777">
      <w:pPr>
        <w:spacing w:after="0"/>
        <w:rPr>
          <w:rFonts w:ascii="Times New Roman" w:hAnsi="Times New Roman"/>
          <w:sz w:val="26"/>
          <w:szCs w:val="26"/>
        </w:rPr>
      </w:pPr>
      <w:r w:rsidRPr="002B6594">
        <w:rPr>
          <w:rFonts w:ascii="Times New Roman" w:hAnsi="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276A8785" w14:textId="77777777" w:rsidTr="002F076F">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2B6594" w:rsidRPr="002B6594" w:rsidP="002B6594" w14:paraId="138632B7"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FERC Form714</w:t>
            </w:r>
          </w:p>
        </w:tc>
        <w:tc>
          <w:tcPr>
            <w:tcW w:w="1461" w:type="dxa"/>
            <w:shd w:val="clear" w:color="auto" w:fill="D9D9D9"/>
            <w:vAlign w:val="bottom"/>
          </w:tcPr>
          <w:p w:rsidR="002B6594" w:rsidRPr="002B6594" w:rsidP="002B6594" w14:paraId="1E5444A4"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Total Request</w:t>
            </w:r>
          </w:p>
        </w:tc>
        <w:tc>
          <w:tcPr>
            <w:tcW w:w="1620" w:type="dxa"/>
            <w:shd w:val="clear" w:color="auto" w:fill="D9D9D9"/>
            <w:vAlign w:val="bottom"/>
          </w:tcPr>
          <w:p w:rsidR="002B6594" w:rsidRPr="002B6594" w:rsidP="002B6594" w14:paraId="21D9F6DC"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Previously Approved</w:t>
            </w:r>
          </w:p>
        </w:tc>
        <w:tc>
          <w:tcPr>
            <w:tcW w:w="1800" w:type="dxa"/>
            <w:shd w:val="clear" w:color="auto" w:fill="D9D9D9"/>
            <w:vAlign w:val="bottom"/>
          </w:tcPr>
          <w:p w:rsidR="002B6594" w:rsidRPr="002B6594" w:rsidP="002B6594" w14:paraId="41E02100"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Change due to Adjustment in Estimate</w:t>
            </w:r>
          </w:p>
        </w:tc>
        <w:tc>
          <w:tcPr>
            <w:tcW w:w="1800" w:type="dxa"/>
            <w:shd w:val="clear" w:color="auto" w:fill="D9D9D9"/>
            <w:vAlign w:val="bottom"/>
          </w:tcPr>
          <w:p w:rsidR="002B6594" w:rsidRPr="002B6594" w:rsidP="002B6594" w14:paraId="4E5ED6FD"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Change Due to Agency Discretion</w:t>
            </w:r>
          </w:p>
        </w:tc>
      </w:tr>
      <w:tr w14:paraId="7CA37FE3" w14:textId="77777777" w:rsidTr="002F076F">
        <w:tblPrEx>
          <w:tblW w:w="9360" w:type="dxa"/>
          <w:tblInd w:w="18" w:type="dxa"/>
          <w:tblLook w:val="01E0"/>
        </w:tblPrEx>
        <w:trPr>
          <w:trHeight w:val="591"/>
        </w:trPr>
        <w:tc>
          <w:tcPr>
            <w:tcW w:w="2679" w:type="dxa"/>
          </w:tcPr>
          <w:p w:rsidR="002B6594" w:rsidRPr="002B6594" w:rsidP="002B6594" w14:paraId="3CDDCA77" w14:textId="77777777">
            <w:pPr>
              <w:spacing w:after="0" w:line="240" w:lineRule="auto"/>
              <w:rPr>
                <w:rFonts w:ascii="Times New Roman" w:hAnsi="Times New Roman"/>
                <w:sz w:val="26"/>
                <w:szCs w:val="26"/>
              </w:rPr>
            </w:pPr>
            <w:r w:rsidRPr="002B6594">
              <w:rPr>
                <w:rFonts w:ascii="Times New Roman" w:hAnsi="Times New Roman"/>
                <w:sz w:val="26"/>
                <w:szCs w:val="26"/>
              </w:rPr>
              <w:t>Annual Number of Responses</w:t>
            </w:r>
          </w:p>
        </w:tc>
        <w:tc>
          <w:tcPr>
            <w:tcW w:w="1461" w:type="dxa"/>
            <w:vAlign w:val="center"/>
          </w:tcPr>
          <w:p w:rsidR="002B6594" w:rsidRPr="002B6594" w:rsidP="002B6594" w14:paraId="23AD0635" w14:textId="6DBA8483">
            <w:pPr>
              <w:spacing w:after="0" w:line="240" w:lineRule="auto"/>
              <w:jc w:val="right"/>
              <w:rPr>
                <w:rFonts w:ascii="Times New Roman" w:hAnsi="Times New Roman"/>
                <w:sz w:val="26"/>
                <w:szCs w:val="26"/>
              </w:rPr>
            </w:pPr>
            <w:r w:rsidRPr="002B6594">
              <w:rPr>
                <w:rFonts w:ascii="Times New Roman" w:hAnsi="Times New Roman"/>
                <w:sz w:val="26"/>
                <w:szCs w:val="26"/>
              </w:rPr>
              <w:t>1</w:t>
            </w:r>
            <w:r w:rsidR="00C342DD">
              <w:rPr>
                <w:rFonts w:ascii="Times New Roman" w:hAnsi="Times New Roman"/>
                <w:sz w:val="26"/>
                <w:szCs w:val="26"/>
              </w:rPr>
              <w:t>03</w:t>
            </w:r>
          </w:p>
        </w:tc>
        <w:tc>
          <w:tcPr>
            <w:tcW w:w="1620" w:type="dxa"/>
            <w:vAlign w:val="center"/>
          </w:tcPr>
          <w:p w:rsidR="002B6594" w:rsidRPr="002B6594" w:rsidP="002B6594" w14:paraId="3FD3E3F7" w14:textId="77777777">
            <w:pPr>
              <w:spacing w:after="0" w:line="240" w:lineRule="auto"/>
              <w:jc w:val="right"/>
              <w:rPr>
                <w:rFonts w:ascii="Times New Roman" w:hAnsi="Times New Roman"/>
                <w:sz w:val="26"/>
                <w:szCs w:val="26"/>
              </w:rPr>
            </w:pPr>
            <w:r w:rsidRPr="002B6594">
              <w:rPr>
                <w:rFonts w:ascii="Times New Roman" w:hAnsi="Times New Roman"/>
                <w:sz w:val="26"/>
                <w:szCs w:val="26"/>
              </w:rPr>
              <w:t>176</w:t>
            </w:r>
          </w:p>
        </w:tc>
        <w:tc>
          <w:tcPr>
            <w:tcW w:w="1800" w:type="dxa"/>
            <w:vAlign w:val="center"/>
          </w:tcPr>
          <w:p w:rsidR="002B6594" w:rsidRPr="002B6594" w:rsidP="002B6594" w14:paraId="3EDD43DC" w14:textId="335D655C">
            <w:pPr>
              <w:spacing w:after="0" w:line="240" w:lineRule="auto"/>
              <w:jc w:val="right"/>
              <w:rPr>
                <w:rFonts w:ascii="Times New Roman" w:hAnsi="Times New Roman"/>
                <w:sz w:val="26"/>
                <w:szCs w:val="26"/>
              </w:rPr>
            </w:pPr>
            <w:r>
              <w:rPr>
                <w:rFonts w:ascii="Times New Roman" w:hAnsi="Times New Roman"/>
                <w:sz w:val="26"/>
                <w:szCs w:val="26"/>
              </w:rPr>
              <w:t>-73</w:t>
            </w:r>
          </w:p>
        </w:tc>
        <w:tc>
          <w:tcPr>
            <w:tcW w:w="1800" w:type="dxa"/>
            <w:vAlign w:val="center"/>
          </w:tcPr>
          <w:p w:rsidR="002B6594" w:rsidRPr="002B6594" w:rsidP="002B6594" w14:paraId="4981338D"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r>
      <w:tr w14:paraId="190ECEB3" w14:textId="77777777" w:rsidTr="002F076F">
        <w:tblPrEx>
          <w:tblW w:w="9360" w:type="dxa"/>
          <w:tblInd w:w="18" w:type="dxa"/>
          <w:tblLook w:val="01E0"/>
        </w:tblPrEx>
        <w:trPr>
          <w:trHeight w:val="575"/>
        </w:trPr>
        <w:tc>
          <w:tcPr>
            <w:tcW w:w="2679" w:type="dxa"/>
          </w:tcPr>
          <w:p w:rsidR="002B6594" w:rsidRPr="002B6594" w:rsidP="002B6594" w14:paraId="276E153D" w14:textId="77777777">
            <w:pPr>
              <w:spacing w:after="0" w:line="240" w:lineRule="auto"/>
              <w:rPr>
                <w:rFonts w:ascii="Times New Roman" w:hAnsi="Times New Roman"/>
                <w:sz w:val="26"/>
                <w:szCs w:val="26"/>
              </w:rPr>
            </w:pPr>
            <w:r w:rsidRPr="002B6594">
              <w:rPr>
                <w:rFonts w:ascii="Times New Roman" w:hAnsi="Times New Roman"/>
                <w:sz w:val="26"/>
                <w:szCs w:val="26"/>
              </w:rPr>
              <w:t>Annual Time Burden (Hr.)</w:t>
            </w:r>
          </w:p>
        </w:tc>
        <w:tc>
          <w:tcPr>
            <w:tcW w:w="1461" w:type="dxa"/>
            <w:vAlign w:val="center"/>
          </w:tcPr>
          <w:p w:rsidR="002B6594" w:rsidRPr="002B6594" w:rsidP="002B6594" w14:paraId="45317CAF" w14:textId="60676CC5">
            <w:pPr>
              <w:spacing w:after="0" w:line="240" w:lineRule="auto"/>
              <w:jc w:val="right"/>
              <w:rPr>
                <w:rFonts w:ascii="Times New Roman" w:hAnsi="Times New Roman"/>
                <w:sz w:val="26"/>
                <w:szCs w:val="26"/>
              </w:rPr>
            </w:pPr>
            <w:r>
              <w:rPr>
                <w:rFonts w:ascii="Times New Roman" w:hAnsi="Times New Roman"/>
                <w:sz w:val="26"/>
                <w:szCs w:val="26"/>
              </w:rPr>
              <w:t>9,613</w:t>
            </w:r>
          </w:p>
        </w:tc>
        <w:tc>
          <w:tcPr>
            <w:tcW w:w="1620" w:type="dxa"/>
            <w:vAlign w:val="center"/>
          </w:tcPr>
          <w:p w:rsidR="002B6594" w:rsidRPr="002B6594" w:rsidP="002B6594" w14:paraId="16890FE8" w14:textId="512EB23C">
            <w:pPr>
              <w:spacing w:after="0" w:line="240" w:lineRule="auto"/>
              <w:jc w:val="right"/>
              <w:rPr>
                <w:rFonts w:ascii="Times New Roman" w:hAnsi="Times New Roman"/>
                <w:sz w:val="26"/>
                <w:szCs w:val="26"/>
              </w:rPr>
            </w:pPr>
            <w:r w:rsidRPr="002B6594">
              <w:rPr>
                <w:rFonts w:ascii="Times New Roman" w:hAnsi="Times New Roman"/>
                <w:sz w:val="26"/>
                <w:szCs w:val="26"/>
              </w:rPr>
              <w:t>1</w:t>
            </w:r>
            <w:r>
              <w:rPr>
                <w:rFonts w:ascii="Times New Roman" w:hAnsi="Times New Roman"/>
                <w:sz w:val="26"/>
                <w:szCs w:val="26"/>
              </w:rPr>
              <w:t>6,427</w:t>
            </w:r>
          </w:p>
        </w:tc>
        <w:tc>
          <w:tcPr>
            <w:tcW w:w="1800" w:type="dxa"/>
            <w:vAlign w:val="center"/>
          </w:tcPr>
          <w:p w:rsidR="002B6594" w:rsidRPr="002B6594" w:rsidP="002B6594" w14:paraId="2333F1F4" w14:textId="0A76C047">
            <w:pPr>
              <w:spacing w:after="0" w:line="240" w:lineRule="auto"/>
              <w:jc w:val="right"/>
              <w:rPr>
                <w:rFonts w:ascii="Times New Roman" w:hAnsi="Times New Roman"/>
                <w:sz w:val="26"/>
                <w:szCs w:val="26"/>
              </w:rPr>
            </w:pPr>
            <w:r>
              <w:rPr>
                <w:rFonts w:ascii="Times New Roman" w:hAnsi="Times New Roman"/>
                <w:sz w:val="26"/>
                <w:szCs w:val="26"/>
              </w:rPr>
              <w:t>-</w:t>
            </w:r>
            <w:r w:rsidR="00D1778B">
              <w:rPr>
                <w:rFonts w:ascii="Times New Roman" w:hAnsi="Times New Roman"/>
                <w:sz w:val="26"/>
                <w:szCs w:val="26"/>
              </w:rPr>
              <w:t>6,814</w:t>
            </w:r>
          </w:p>
        </w:tc>
        <w:tc>
          <w:tcPr>
            <w:tcW w:w="1800" w:type="dxa"/>
            <w:vAlign w:val="center"/>
          </w:tcPr>
          <w:p w:rsidR="002B6594" w:rsidRPr="002B6594" w:rsidP="002B6594" w14:paraId="1AD5D9BC"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r>
      <w:tr w14:paraId="1E0D4507" w14:textId="77777777" w:rsidTr="002F076F">
        <w:tblPrEx>
          <w:tblW w:w="9360" w:type="dxa"/>
          <w:tblInd w:w="18" w:type="dxa"/>
          <w:tblLook w:val="01E0"/>
        </w:tblPrEx>
        <w:trPr>
          <w:trHeight w:val="295"/>
        </w:trPr>
        <w:tc>
          <w:tcPr>
            <w:tcW w:w="2679" w:type="dxa"/>
            <w:tcBorders>
              <w:bottom w:val="single" w:sz="4" w:space="0" w:color="auto"/>
            </w:tcBorders>
          </w:tcPr>
          <w:p w:rsidR="002B6594" w:rsidRPr="002B6594" w:rsidP="002B6594" w14:paraId="681C74DA" w14:textId="77777777">
            <w:pPr>
              <w:spacing w:after="0" w:line="240" w:lineRule="auto"/>
              <w:rPr>
                <w:rFonts w:ascii="Times New Roman" w:hAnsi="Times New Roman"/>
                <w:sz w:val="26"/>
                <w:szCs w:val="26"/>
              </w:rPr>
            </w:pPr>
            <w:r w:rsidRPr="002B6594">
              <w:rPr>
                <w:rFonts w:ascii="Times New Roman" w:hAnsi="Times New Roman"/>
                <w:sz w:val="26"/>
                <w:szCs w:val="26"/>
              </w:rPr>
              <w:t>Annual Cost Burden ($)</w:t>
            </w:r>
          </w:p>
        </w:tc>
        <w:tc>
          <w:tcPr>
            <w:tcW w:w="1461" w:type="dxa"/>
            <w:tcBorders>
              <w:bottom w:val="single" w:sz="4" w:space="0" w:color="auto"/>
            </w:tcBorders>
            <w:vAlign w:val="center"/>
          </w:tcPr>
          <w:p w:rsidR="002B6594" w:rsidRPr="002B6594" w:rsidP="002B6594" w14:paraId="26BBC882" w14:textId="06B5E5FD">
            <w:pPr>
              <w:spacing w:after="0" w:line="240" w:lineRule="auto"/>
              <w:jc w:val="right"/>
              <w:rPr>
                <w:rFonts w:ascii="Times New Roman" w:hAnsi="Times New Roman"/>
                <w:sz w:val="26"/>
                <w:szCs w:val="26"/>
              </w:rPr>
            </w:pPr>
            <w:r w:rsidRPr="007622C1">
              <w:rPr>
                <w:rFonts w:ascii="Times New Roman" w:hAnsi="Times New Roman"/>
                <w:sz w:val="26"/>
                <w:szCs w:val="26"/>
              </w:rPr>
              <w:t>$</w:t>
            </w:r>
            <w:r w:rsidR="00674877">
              <w:rPr>
                <w:rFonts w:ascii="Times New Roman" w:hAnsi="Times New Roman"/>
                <w:sz w:val="26"/>
                <w:szCs w:val="26"/>
              </w:rPr>
              <w:t>75,911</w:t>
            </w:r>
          </w:p>
        </w:tc>
        <w:tc>
          <w:tcPr>
            <w:tcW w:w="1620" w:type="dxa"/>
            <w:tcBorders>
              <w:bottom w:val="single" w:sz="4" w:space="0" w:color="auto"/>
            </w:tcBorders>
            <w:vAlign w:val="center"/>
          </w:tcPr>
          <w:p w:rsidR="002B6594" w:rsidRPr="002B6594" w:rsidP="002B6594" w14:paraId="0D07D9A1" w14:textId="68AD8529">
            <w:pPr>
              <w:spacing w:after="0" w:line="240" w:lineRule="auto"/>
              <w:jc w:val="right"/>
              <w:rPr>
                <w:rFonts w:ascii="Times New Roman" w:hAnsi="Times New Roman"/>
                <w:sz w:val="26"/>
                <w:szCs w:val="26"/>
              </w:rPr>
            </w:pPr>
            <w:r>
              <w:rPr>
                <w:rFonts w:ascii="Times New Roman" w:hAnsi="Times New Roman"/>
                <w:sz w:val="26"/>
                <w:szCs w:val="26"/>
              </w:rPr>
              <w:t>$129,712</w:t>
            </w:r>
          </w:p>
        </w:tc>
        <w:tc>
          <w:tcPr>
            <w:tcW w:w="1800" w:type="dxa"/>
            <w:tcBorders>
              <w:bottom w:val="single" w:sz="4" w:space="0" w:color="auto"/>
            </w:tcBorders>
            <w:vAlign w:val="center"/>
          </w:tcPr>
          <w:p w:rsidR="002B6594" w:rsidRPr="002B6594" w:rsidP="002B6594" w14:paraId="0134A406" w14:textId="73AED5A0">
            <w:pPr>
              <w:spacing w:after="0" w:line="240" w:lineRule="auto"/>
              <w:jc w:val="right"/>
              <w:rPr>
                <w:rFonts w:ascii="Times New Roman" w:hAnsi="Times New Roman"/>
                <w:sz w:val="26"/>
                <w:szCs w:val="26"/>
              </w:rPr>
            </w:pPr>
            <w:r>
              <w:rPr>
                <w:rFonts w:ascii="Times New Roman" w:hAnsi="Times New Roman"/>
                <w:sz w:val="26"/>
                <w:szCs w:val="26"/>
              </w:rPr>
              <w:t>-53,801</w:t>
            </w:r>
          </w:p>
        </w:tc>
        <w:tc>
          <w:tcPr>
            <w:tcW w:w="1800" w:type="dxa"/>
            <w:tcBorders>
              <w:bottom w:val="single" w:sz="4" w:space="0" w:color="auto"/>
            </w:tcBorders>
            <w:vAlign w:val="center"/>
          </w:tcPr>
          <w:p w:rsidR="002B6594" w:rsidRPr="002B6594" w:rsidP="002B6594" w14:paraId="5B8525F0"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r>
    </w:tbl>
    <w:p w:rsidR="002B6594" w:rsidRPr="00E9060E" w:rsidP="00BD0F89" w14:paraId="0B562324" w14:textId="77777777">
      <w:pPr>
        <w:spacing w:after="0" w:line="240" w:lineRule="auto"/>
        <w:rPr>
          <w:rFonts w:ascii="Times New Roman" w:hAnsi="Times New Roman"/>
          <w:sz w:val="26"/>
          <w:szCs w:val="26"/>
        </w:rPr>
      </w:pPr>
    </w:p>
    <w:p w:rsidR="00471F97" w:rsidRPr="00E9060E" w:rsidP="00BD0F89" w14:paraId="4DE62675" w14:textId="77777777">
      <w:pPr>
        <w:spacing w:after="0" w:line="240" w:lineRule="auto"/>
        <w:rPr>
          <w:rFonts w:ascii="Times New Roman" w:hAnsi="Times New Roman"/>
          <w:sz w:val="26"/>
          <w:szCs w:val="26"/>
        </w:rPr>
      </w:pPr>
    </w:p>
    <w:p w:rsidR="00F0627E" w:rsidRPr="00E9060E" w:rsidP="00BD0F89" w14:paraId="115E3405" w14:textId="77777777">
      <w:pPr>
        <w:spacing w:after="0" w:line="240" w:lineRule="auto"/>
        <w:rPr>
          <w:rFonts w:ascii="Times New Roman" w:hAnsi="Times New Roman"/>
          <w:b/>
          <w:sz w:val="26"/>
          <w:szCs w:val="26"/>
        </w:rPr>
      </w:pPr>
      <w:r w:rsidRPr="00E9060E">
        <w:rPr>
          <w:rFonts w:ascii="Times New Roman" w:hAnsi="Times New Roman"/>
          <w:b/>
          <w:sz w:val="26"/>
          <w:szCs w:val="26"/>
        </w:rPr>
        <w:t>16. TIME SCHEDULE FOR PUBLICATION OF DATA</w:t>
      </w:r>
    </w:p>
    <w:p w:rsidR="00F0627E" w:rsidRPr="00E9060E" w:rsidP="00BD0F89" w14:paraId="65FE4B4D" w14:textId="77777777">
      <w:pPr>
        <w:spacing w:after="0" w:line="240" w:lineRule="auto"/>
        <w:rPr>
          <w:rFonts w:ascii="Times New Roman" w:hAnsi="Times New Roman"/>
          <w:sz w:val="26"/>
          <w:szCs w:val="26"/>
        </w:rPr>
      </w:pPr>
    </w:p>
    <w:p w:rsidR="001D289D" w:rsidRPr="00E9060E" w:rsidP="00BD0F89" w14:paraId="679BBE9C"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Pr="00E9060E" w:rsidR="00587AD0">
        <w:rPr>
          <w:rFonts w:ascii="Times New Roman" w:hAnsi="Times New Roman"/>
          <w:sz w:val="26"/>
          <w:szCs w:val="26"/>
        </w:rPr>
        <w:t>data</w:t>
      </w:r>
      <w:r w:rsidRPr="00E9060E">
        <w:rPr>
          <w:rFonts w:ascii="Times New Roman" w:hAnsi="Times New Roman"/>
          <w:sz w:val="26"/>
          <w:szCs w:val="26"/>
        </w:rPr>
        <w:t xml:space="preserve">. </w:t>
      </w:r>
    </w:p>
    <w:p w:rsidR="00F20B97" w:rsidRPr="00E9060E" w:rsidP="00BD0F89" w14:paraId="5CEC4741" w14:textId="77777777">
      <w:pPr>
        <w:spacing w:after="0" w:line="240" w:lineRule="auto"/>
        <w:rPr>
          <w:rFonts w:ascii="Times New Roman" w:hAnsi="Times New Roman"/>
          <w:sz w:val="26"/>
          <w:szCs w:val="26"/>
        </w:rPr>
      </w:pPr>
    </w:p>
    <w:p w:rsidR="00F0627E" w:rsidRPr="00E9060E" w:rsidP="00BD0F89" w14:paraId="6F76679F" w14:textId="77777777">
      <w:pPr>
        <w:spacing w:after="0" w:line="240" w:lineRule="auto"/>
        <w:rPr>
          <w:rFonts w:ascii="Times New Roman" w:hAnsi="Times New Roman"/>
          <w:b/>
          <w:sz w:val="26"/>
          <w:szCs w:val="26"/>
        </w:rPr>
      </w:pPr>
      <w:r w:rsidRPr="00E9060E">
        <w:rPr>
          <w:rFonts w:ascii="Times New Roman" w:hAnsi="Times New Roman"/>
          <w:b/>
          <w:sz w:val="26"/>
          <w:szCs w:val="26"/>
        </w:rPr>
        <w:t>17. DISPLAY OF EXPIRATION DATE</w:t>
      </w:r>
    </w:p>
    <w:p w:rsidR="00F0627E" w:rsidRPr="00E9060E" w:rsidP="00BD0F89" w14:paraId="2C7224E4" w14:textId="77777777">
      <w:pPr>
        <w:spacing w:after="0" w:line="240" w:lineRule="auto"/>
        <w:rPr>
          <w:rFonts w:ascii="Times New Roman" w:hAnsi="Times New Roman"/>
          <w:sz w:val="26"/>
          <w:szCs w:val="26"/>
        </w:rPr>
      </w:pPr>
    </w:p>
    <w:p w:rsidR="00471F11" w:rsidRPr="00471F11" w:rsidP="00471F11" w14:paraId="6C546BDA" w14:textId="77777777">
      <w:pPr>
        <w:spacing w:after="0" w:line="240" w:lineRule="auto"/>
        <w:rPr>
          <w:rFonts w:ascii="Times New Roman" w:hAnsi="Times New Roman"/>
          <w:sz w:val="24"/>
          <w:szCs w:val="24"/>
        </w:rPr>
      </w:pPr>
      <w:r w:rsidRPr="00471F11">
        <w:rPr>
          <w:rFonts w:ascii="Times New Roman" w:hAnsi="Times New Roman"/>
          <w:sz w:val="24"/>
          <w:szCs w:val="24"/>
        </w:rPr>
        <w:t xml:space="preserve">The expiration date is displayed in a table posted on ferc.gov at </w:t>
      </w:r>
      <w:hyperlink r:id="rId11" w:history="1">
        <w:r w:rsidRPr="00471F11">
          <w:rPr>
            <w:rFonts w:ascii="Times New Roman" w:hAnsi="Times New Roman"/>
            <w:color w:val="0000FF"/>
            <w:sz w:val="24"/>
            <w:szCs w:val="24"/>
            <w:u w:val="single"/>
          </w:rPr>
          <w:t>https://www.ferc.gov/information-collections</w:t>
        </w:r>
      </w:hyperlink>
      <w:r w:rsidRPr="00471F11">
        <w:rPr>
          <w:rFonts w:ascii="Times New Roman" w:hAnsi="Times New Roman"/>
          <w:color w:val="0000FF"/>
          <w:sz w:val="24"/>
          <w:szCs w:val="24"/>
          <w:u w:val="single"/>
        </w:rPr>
        <w:t>.</w:t>
      </w:r>
    </w:p>
    <w:p w:rsidR="00027DC9" w:rsidRPr="00E9060E" w:rsidP="00BD0F89" w14:paraId="799845B9" w14:textId="77777777">
      <w:pPr>
        <w:spacing w:after="0" w:line="240" w:lineRule="auto"/>
        <w:rPr>
          <w:rFonts w:ascii="Times New Roman" w:hAnsi="Times New Roman"/>
          <w:sz w:val="26"/>
          <w:szCs w:val="26"/>
        </w:rPr>
      </w:pPr>
    </w:p>
    <w:p w:rsidR="00F0627E" w:rsidRPr="00E9060E" w:rsidP="00BD0F89" w14:paraId="61B7D1C0" w14:textId="77777777">
      <w:pPr>
        <w:spacing w:after="0" w:line="240" w:lineRule="auto"/>
        <w:rPr>
          <w:rFonts w:ascii="Times New Roman" w:hAnsi="Times New Roman"/>
          <w:b/>
          <w:sz w:val="26"/>
          <w:szCs w:val="26"/>
        </w:rPr>
      </w:pPr>
      <w:r w:rsidRPr="00E9060E">
        <w:rPr>
          <w:rFonts w:ascii="Times New Roman" w:hAnsi="Times New Roman"/>
          <w:b/>
          <w:sz w:val="26"/>
          <w:szCs w:val="26"/>
        </w:rPr>
        <w:t>18</w:t>
      </w:r>
      <w:r w:rsidRPr="00E9060E">
        <w:rPr>
          <w:rFonts w:ascii="Times New Roman" w:hAnsi="Times New Roman"/>
          <w:b/>
          <w:sz w:val="26"/>
          <w:szCs w:val="26"/>
        </w:rPr>
        <w:t>.  EXCEPTIONS</w:t>
      </w:r>
      <w:r w:rsidRPr="00E9060E">
        <w:rPr>
          <w:rFonts w:ascii="Times New Roman" w:hAnsi="Times New Roman"/>
          <w:b/>
          <w:sz w:val="26"/>
          <w:szCs w:val="26"/>
        </w:rPr>
        <w:t xml:space="preserve"> TO THE CERTIFICATION STATEMENT</w:t>
      </w:r>
    </w:p>
    <w:p w:rsidR="001D289D" w:rsidRPr="00E9060E" w:rsidP="00BD0F89" w14:paraId="63F6A337" w14:textId="77777777">
      <w:pPr>
        <w:spacing w:after="0" w:line="240" w:lineRule="auto"/>
        <w:rPr>
          <w:rFonts w:ascii="Times New Roman" w:hAnsi="Times New Roman"/>
          <w:b/>
          <w:sz w:val="26"/>
          <w:szCs w:val="26"/>
        </w:rPr>
      </w:pPr>
    </w:p>
    <w:p w:rsidR="00F0627E" w:rsidP="00C87990" w14:paraId="07E0677A" w14:textId="287981C8">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Pr="00E9060E" w:rsidR="000836EF">
        <w:rPr>
          <w:rFonts w:ascii="Times New Roman" w:hAnsi="Times New Roman"/>
          <w:sz w:val="26"/>
          <w:szCs w:val="26"/>
        </w:rPr>
        <w:t>s</w:t>
      </w:r>
      <w:r w:rsidRPr="00E9060E">
        <w:rPr>
          <w:rFonts w:ascii="Times New Roman" w:hAnsi="Times New Roman"/>
          <w:sz w:val="26"/>
          <w:szCs w:val="26"/>
        </w:rPr>
        <w:t xml:space="preserve">. </w:t>
      </w:r>
    </w:p>
    <w:p w:rsidR="00062499" w:rsidP="00C87990" w14:paraId="58749F03" w14:textId="617BC5C2">
      <w:pPr>
        <w:spacing w:after="160" w:line="240" w:lineRule="auto"/>
        <w:rPr>
          <w:rFonts w:ascii="Times New Roman" w:hAnsi="Times New Roman"/>
          <w:sz w:val="26"/>
          <w:szCs w:val="26"/>
        </w:rPr>
      </w:pPr>
    </w:p>
    <w:p w:rsidR="00062499" w:rsidP="00C87990" w14:paraId="645E96A4" w14:textId="1BC5F263">
      <w:pPr>
        <w:spacing w:after="160" w:line="240" w:lineRule="auto"/>
        <w:rPr>
          <w:rFonts w:ascii="Times New Roman" w:hAnsi="Times New Roman"/>
          <w:sz w:val="26"/>
          <w:szCs w:val="26"/>
        </w:rPr>
      </w:pPr>
    </w:p>
    <w:p w:rsidR="00062499" w:rsidP="00C87990" w14:paraId="13F08D85" w14:textId="2BAAB1CB">
      <w:pPr>
        <w:spacing w:after="160" w:line="240" w:lineRule="auto"/>
        <w:rPr>
          <w:rFonts w:ascii="Times New Roman" w:hAnsi="Times New Roman"/>
          <w:sz w:val="26"/>
          <w:szCs w:val="26"/>
        </w:rPr>
      </w:pPr>
      <w:r>
        <w:rPr>
          <w:rFonts w:ascii="Times New Roman" w:hAnsi="Times New Roman"/>
          <w:sz w:val="26"/>
          <w:szCs w:val="26"/>
        </w:rPr>
        <w:t>Reference:</w:t>
      </w:r>
    </w:p>
    <w:p w:rsidR="00062499" w:rsidRPr="00062499" w:rsidP="00062499" w14:paraId="4B1BF414" w14:textId="4E7384F3">
      <w:pPr>
        <w:pBdr>
          <w:bottom w:val="dashed" w:sz="6" w:space="0" w:color="D8D8D8"/>
        </w:pBdr>
        <w:shd w:val="clear" w:color="auto" w:fill="FFFFFF"/>
        <w:spacing w:after="75" w:line="240" w:lineRule="auto"/>
        <w:rPr>
          <w:rFonts w:ascii="Arial" w:eastAsia="Times New Roman" w:hAnsi="Arial" w:cs="Arial"/>
          <w:b/>
          <w:bCs/>
          <w:color w:val="333333"/>
          <w:sz w:val="18"/>
          <w:szCs w:val="18"/>
        </w:rPr>
      </w:pPr>
      <w:r w:rsidRPr="00062499">
        <w:rPr>
          <w:rFonts w:ascii="Arial" w:eastAsia="Times New Roman" w:hAnsi="Arial" w:cs="Arial"/>
          <w:color w:val="000000"/>
          <w:sz w:val="18"/>
          <w:szCs w:val="18"/>
        </w:rPr>
        <w:t>EIA-930</w:t>
      </w:r>
      <w:r>
        <w:rPr>
          <w:rFonts w:ascii="Arial" w:eastAsia="Times New Roman" w:hAnsi="Arial" w:cs="Arial"/>
          <w:color w:val="000000"/>
          <w:sz w:val="18"/>
          <w:szCs w:val="18"/>
        </w:rPr>
        <w:t xml:space="preserve"> </w:t>
      </w:r>
      <w:r w:rsidRPr="00062499">
        <w:rPr>
          <w:rFonts w:ascii="Arial" w:eastAsia="Times New Roman" w:hAnsi="Arial" w:cs="Arial"/>
          <w:b/>
          <w:bCs/>
          <w:color w:val="333333"/>
          <w:sz w:val="18"/>
          <w:szCs w:val="18"/>
        </w:rPr>
        <w:t>Hourly and Daily Balancing Authority Operations Report</w:t>
      </w:r>
    </w:p>
    <w:p w:rsidR="00062499" w:rsidRPr="00062499" w:rsidP="00062499" w14:paraId="0A6F7218" w14:textId="77777777">
      <w:pPr>
        <w:pBdr>
          <w:bottom w:val="dashed" w:sz="6" w:space="0" w:color="D8D8D8"/>
        </w:pBdr>
        <w:shd w:val="clear" w:color="auto" w:fill="FFFFFF"/>
        <w:spacing w:after="75" w:line="240" w:lineRule="auto"/>
        <w:ind w:left="720"/>
        <w:rPr>
          <w:rFonts w:ascii="Arial" w:eastAsia="Times New Roman" w:hAnsi="Arial" w:cs="Arial"/>
          <w:color w:val="333333"/>
          <w:sz w:val="18"/>
          <w:szCs w:val="18"/>
        </w:rPr>
      </w:pPr>
      <w:r w:rsidRPr="00062499">
        <w:rPr>
          <w:rFonts w:ascii="Arial" w:eastAsia="Times New Roman" w:hAnsi="Arial" w:cs="Arial"/>
          <w:color w:val="333333"/>
          <w:sz w:val="18"/>
          <w:szCs w:val="18"/>
        </w:rPr>
        <w:t>Collects hourly electric system operating data from electricity Balancing Authorities in the contiguous United States. Data collected include system demand, net generation, and interchange and is submitted on an hourly (for demand) and daily (for all data types) basis.</w:t>
      </w:r>
    </w:p>
    <w:p w:rsidR="00062499" w:rsidRPr="00062499" w:rsidP="00062499" w14:paraId="7078B97D" w14:textId="77777777">
      <w:pPr>
        <w:pBdr>
          <w:bottom w:val="dashed" w:sz="6" w:space="0" w:color="D8D8D8"/>
        </w:pBdr>
        <w:shd w:val="clear" w:color="auto" w:fill="FFFFFF"/>
        <w:spacing w:after="75" w:line="240" w:lineRule="auto"/>
        <w:ind w:left="720"/>
        <w:rPr>
          <w:rFonts w:ascii="Arial" w:eastAsia="Times New Roman" w:hAnsi="Arial" w:cs="Arial"/>
          <w:color w:val="333333"/>
          <w:sz w:val="18"/>
          <w:szCs w:val="18"/>
        </w:rPr>
      </w:pPr>
      <w:r w:rsidRPr="00062499">
        <w:rPr>
          <w:rFonts w:ascii="Arial" w:eastAsia="Times New Roman" w:hAnsi="Arial" w:cs="Arial"/>
          <w:color w:val="333333"/>
          <w:sz w:val="18"/>
          <w:szCs w:val="18"/>
        </w:rPr>
        <w:t>Form: </w:t>
      </w:r>
      <w:hyperlink r:id="rId12" w:history="1">
        <w:r w:rsidRPr="00062499">
          <w:rPr>
            <w:rFonts w:ascii="Arial" w:eastAsia="Times New Roman" w:hAnsi="Arial" w:cs="Arial"/>
            <w:color w:val="007EB5"/>
            <w:sz w:val="18"/>
            <w:szCs w:val="18"/>
          </w:rPr>
          <w:t>XLS</w:t>
        </w:r>
      </w:hyperlink>
      <w:r w:rsidRPr="00062499">
        <w:rPr>
          <w:rFonts w:ascii="Arial" w:eastAsia="Times New Roman" w:hAnsi="Arial" w:cs="Arial"/>
          <w:color w:val="D8D8D8"/>
          <w:sz w:val="18"/>
          <w:szCs w:val="18"/>
        </w:rPr>
        <w:t>|</w:t>
      </w:r>
      <w:r w:rsidRPr="00062499">
        <w:rPr>
          <w:rFonts w:ascii="Arial" w:eastAsia="Times New Roman" w:hAnsi="Arial" w:cs="Arial"/>
          <w:color w:val="333333"/>
          <w:sz w:val="18"/>
          <w:szCs w:val="18"/>
        </w:rPr>
        <w:t>Instructions</w:t>
      </w:r>
      <w:r w:rsidRPr="00062499">
        <w:rPr>
          <w:rFonts w:ascii="Arial" w:eastAsia="Times New Roman" w:hAnsi="Arial" w:cs="Arial"/>
          <w:color w:val="333333"/>
          <w:sz w:val="18"/>
          <w:szCs w:val="18"/>
        </w:rPr>
        <w:t>: </w:t>
      </w:r>
      <w:hyperlink r:id="rId13" w:history="1">
        <w:r w:rsidRPr="00062499">
          <w:rPr>
            <w:rFonts w:ascii="Arial" w:eastAsia="Times New Roman" w:hAnsi="Arial" w:cs="Arial"/>
            <w:color w:val="007EB5"/>
            <w:sz w:val="18"/>
            <w:szCs w:val="18"/>
          </w:rPr>
          <w:t>PDF</w:t>
        </w:r>
      </w:hyperlink>
    </w:p>
    <w:p w:rsidR="00062499" w:rsidRPr="00E9060E" w:rsidP="00C87990" w14:paraId="15411AA5" w14:textId="77777777">
      <w:pPr>
        <w:spacing w:after="160" w:line="240" w:lineRule="auto"/>
        <w:rPr>
          <w:rFonts w:ascii="Times New Roman" w:hAnsi="Times New Roman"/>
          <w:sz w:val="26"/>
          <w:szCs w:val="26"/>
        </w:rPr>
      </w:pP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2702"/>
      <w:docPartObj>
        <w:docPartGallery w:val="Page Numbers (Bottom of Page)"/>
        <w:docPartUnique/>
      </w:docPartObj>
    </w:sdtPr>
    <w:sdtEndPr>
      <w:rPr>
        <w:noProof/>
      </w:rPr>
    </w:sdtEndPr>
    <w:sdtContent>
      <w:p w:rsidR="0090268F" w14:paraId="694AABE9" w14:textId="31D9813D">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0D73" w:rsidP="009C7F55" w14:paraId="3463C61E" w14:textId="77777777">
      <w:pPr>
        <w:spacing w:after="0" w:line="240" w:lineRule="auto"/>
      </w:pPr>
      <w:r>
        <w:separator/>
      </w:r>
    </w:p>
  </w:footnote>
  <w:footnote w:type="continuationSeparator" w:id="1">
    <w:p w:rsidR="006D0D73" w:rsidP="009C7F55" w14:paraId="059DD9C8" w14:textId="77777777">
      <w:pPr>
        <w:spacing w:after="0" w:line="240" w:lineRule="auto"/>
      </w:pPr>
      <w:r>
        <w:continuationSeparator/>
      </w:r>
    </w:p>
  </w:footnote>
  <w:footnote w:type="continuationNotice" w:id="2">
    <w:p w:rsidR="006D0D73" w14:paraId="26D49752" w14:textId="77777777">
      <w:pPr>
        <w:spacing w:after="0" w:line="240" w:lineRule="auto"/>
      </w:pPr>
    </w:p>
  </w:footnote>
  <w:footnote w:id="3">
    <w:p w:rsidR="00B21507" w14:paraId="581A998D" w14:textId="77777777">
      <w:pPr>
        <w:pStyle w:val="FootnoteText"/>
        <w:rPr>
          <w:sz w:val="26"/>
          <w:szCs w:val="26"/>
        </w:rPr>
      </w:pPr>
      <w:r w:rsidRPr="001123D4">
        <w:rPr>
          <w:rStyle w:val="FootnoteReference"/>
          <w:sz w:val="26"/>
          <w:szCs w:val="26"/>
          <w:vertAlign w:val="superscript"/>
        </w:rPr>
        <w:footnoteRef/>
      </w:r>
      <w:r w:rsidRPr="001123D4">
        <w:rPr>
          <w:sz w:val="26"/>
          <w:szCs w:val="26"/>
        </w:rPr>
        <w:t xml:space="preserve"> </w:t>
      </w:r>
      <w:r w:rsidRPr="00E9060E">
        <w:rPr>
          <w:sz w:val="26"/>
          <w:szCs w:val="26"/>
        </w:rPr>
        <w:t>The EIA-930: Hourly and Daily Balancing Authority Operations Report</w:t>
      </w:r>
      <w:r>
        <w:rPr>
          <w:sz w:val="26"/>
          <w:szCs w:val="26"/>
        </w:rPr>
        <w:t xml:space="preserve"> </w:t>
      </w:r>
    </w:p>
    <w:p w:rsidR="00062499" w14:paraId="16C61911" w14:textId="0FEB46AC">
      <w:pPr>
        <w:pStyle w:val="FootnoteText"/>
        <w:rPr>
          <w:rFonts w:ascii="Calibri" w:eastAsia="Calibri" w:hAnsi="Calibri"/>
          <w:sz w:val="22"/>
          <w:szCs w:val="22"/>
        </w:rPr>
      </w:pPr>
      <w:hyperlink r:id="rId1" w:history="1">
        <w:r w:rsidRPr="00062499">
          <w:rPr>
            <w:rFonts w:eastAsia="Calibri"/>
            <w:color w:val="0000FF"/>
            <w:sz w:val="26"/>
            <w:szCs w:val="26"/>
            <w:u w:val="single"/>
          </w:rPr>
          <w:t>EIA-930 Instructions</w:t>
        </w:r>
      </w:hyperlink>
      <w:r w:rsidRPr="00062499" w:rsidR="00F67D81">
        <w:rPr>
          <w:rFonts w:eastAsia="Calibri"/>
          <w:sz w:val="26"/>
          <w:szCs w:val="26"/>
        </w:rPr>
        <w:t xml:space="preserve"> approved under</w:t>
      </w:r>
      <w:r w:rsidR="00F67D81">
        <w:rPr>
          <w:rFonts w:ascii="Calibri" w:eastAsia="Calibri" w:hAnsi="Calibri"/>
          <w:sz w:val="22"/>
          <w:szCs w:val="22"/>
        </w:rPr>
        <w:t xml:space="preserve"> </w:t>
      </w:r>
      <w:r w:rsidRPr="00062499" w:rsidR="00F67D81">
        <w:rPr>
          <w:rFonts w:eastAsia="Calibri"/>
          <w:sz w:val="26"/>
          <w:szCs w:val="26"/>
        </w:rPr>
        <w:t>(OMB# 1902-0129)</w:t>
      </w:r>
    </w:p>
    <w:p w:rsidR="00062499" w:rsidRPr="00D43D02" w14:paraId="44A82248" w14:textId="7678E3BF">
      <w:pPr>
        <w:pStyle w:val="FootnoteText"/>
        <w:rPr>
          <w:sz w:val="26"/>
          <w:szCs w:val="26"/>
        </w:rPr>
      </w:pPr>
      <w:r>
        <w:rPr>
          <w:rFonts w:eastAsia="Calibri"/>
          <w:sz w:val="26"/>
          <w:szCs w:val="26"/>
        </w:rPr>
        <w:t>References at the end of the Supporting Statement.</w:t>
      </w:r>
    </w:p>
  </w:footnote>
  <w:footnote w:id="4">
    <w:p w:rsidR="0090268F" w:rsidRPr="000113FC" w:rsidP="00F0627E" w14:paraId="2236E29A" w14:textId="0AD6663D">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2" w:history="1">
        <w:r w:rsidRPr="000113FC">
          <w:rPr>
            <w:rStyle w:val="Hyperlink"/>
            <w:sz w:val="26"/>
            <w:szCs w:val="26"/>
          </w:rPr>
          <w:t>http://www.ferc.gov/legal/ceii-foia/ceii.asp</w:t>
        </w:r>
      </w:hyperlink>
      <w:r w:rsidRPr="000113FC">
        <w:rPr>
          <w:sz w:val="26"/>
          <w:szCs w:val="26"/>
        </w:rPr>
        <w:t xml:space="preserve">. </w:t>
      </w:r>
    </w:p>
  </w:footnote>
  <w:footnote w:id="5">
    <w:p w:rsidR="00AB7591" w:rsidRPr="003606A9" w:rsidP="00AB7591" w14:paraId="0CB723B6" w14:textId="77777777">
      <w:pPr>
        <w:pStyle w:val="FootnoteText"/>
        <w:rPr>
          <w:sz w:val="26"/>
          <w:szCs w:val="26"/>
        </w:rPr>
      </w:pPr>
      <w:r w:rsidRPr="0031346F">
        <w:rPr>
          <w:rStyle w:val="FootnoteReference"/>
        </w:rPr>
        <w:footnoteRef/>
      </w:r>
      <w:r w:rsidRPr="0031346F">
        <w:t xml:space="preserve"> </w:t>
      </w:r>
      <w:r w:rsidRPr="0025343E">
        <w:rPr>
          <w:sz w:val="26"/>
          <w:szCs w:val="26"/>
        </w:rPr>
        <w:t xml:space="preserve">The hourly cost (for salary plus benefits) uses the figures from the Bureau of Labor </w:t>
      </w:r>
      <w:r w:rsidRPr="003606A9">
        <w:rPr>
          <w:sz w:val="26"/>
          <w:szCs w:val="26"/>
        </w:rPr>
        <w:t>Statistics, May 2025, for the listed reporting requirements.  These figures include salary (</w:t>
      </w:r>
      <w:hyperlink r:id="rId3" w:history="1">
        <w:r w:rsidRPr="003606A9">
          <w:rPr>
            <w:color w:val="0000FF"/>
            <w:sz w:val="26"/>
            <w:szCs w:val="26"/>
            <w:u w:val="single"/>
          </w:rPr>
          <w:t>https://www.bls.gov/oes/current/naics2_22.htm</w:t>
        </w:r>
      </w:hyperlink>
      <w:r w:rsidRPr="003606A9">
        <w:rPr>
          <w:sz w:val="26"/>
          <w:szCs w:val="26"/>
        </w:rPr>
        <w:t xml:space="preserve"> ) and benefits </w:t>
      </w:r>
      <w:hyperlink r:id="rId4" w:history="1">
        <w:r w:rsidRPr="003606A9">
          <w:rPr>
            <w:color w:val="0000FF"/>
            <w:sz w:val="26"/>
            <w:szCs w:val="26"/>
            <w:u w:val="single"/>
          </w:rPr>
          <w:t>http://www.bls.gov/news.release/ecec.nr0.htm</w:t>
        </w:r>
      </w:hyperlink>
      <w:r w:rsidRPr="003606A9">
        <w:rPr>
          <w:sz w:val="26"/>
          <w:szCs w:val="26"/>
        </w:rPr>
        <w:t xml:space="preserve">) and are:  </w:t>
      </w:r>
    </w:p>
    <w:p w:rsidR="00AB7591" w:rsidRPr="003606A9" w:rsidP="00AB7591" w14:paraId="68E1BFBA" w14:textId="77777777">
      <w:pPr>
        <w:pStyle w:val="FootnoteText"/>
        <w:rPr>
          <w:sz w:val="26"/>
          <w:szCs w:val="26"/>
        </w:rPr>
      </w:pPr>
      <w:r w:rsidRPr="003606A9">
        <w:rPr>
          <w:sz w:val="26"/>
          <w:szCs w:val="26"/>
        </w:rPr>
        <w:tab/>
        <w:t>Management (Code 11-0000), $83.41/hr.</w:t>
      </w:r>
    </w:p>
    <w:p w:rsidR="00AB7591" w:rsidRPr="003606A9" w:rsidP="00AB7591" w14:paraId="37852EC5" w14:textId="77777777">
      <w:pPr>
        <w:pStyle w:val="FootnoteText"/>
        <w:rPr>
          <w:sz w:val="26"/>
          <w:szCs w:val="26"/>
        </w:rPr>
      </w:pPr>
      <w:r w:rsidRPr="003606A9">
        <w:rPr>
          <w:sz w:val="26"/>
          <w:szCs w:val="26"/>
        </w:rPr>
        <w:tab/>
        <w:t>Computer and mathematical (Code 15-0000), $68.74/hr.</w:t>
      </w:r>
    </w:p>
    <w:p w:rsidR="00AB7591" w:rsidRPr="003606A9" w:rsidP="00AB7591" w14:paraId="0B5FFA23" w14:textId="77777777">
      <w:pPr>
        <w:pStyle w:val="FootnoteText"/>
        <w:rPr>
          <w:sz w:val="26"/>
          <w:szCs w:val="26"/>
        </w:rPr>
      </w:pPr>
      <w:r w:rsidRPr="003606A9">
        <w:rPr>
          <w:sz w:val="26"/>
          <w:szCs w:val="26"/>
        </w:rPr>
        <w:tab/>
        <w:t>Electrical Engineers (Code 17-2071), $71.19/hr.</w:t>
      </w:r>
    </w:p>
    <w:p w:rsidR="00AB7591" w:rsidRPr="003606A9" w:rsidP="00AB7591" w14:paraId="7C0BB786" w14:textId="77777777">
      <w:pPr>
        <w:pStyle w:val="FootnoteText"/>
        <w:rPr>
          <w:sz w:val="26"/>
          <w:szCs w:val="26"/>
        </w:rPr>
      </w:pPr>
      <w:r w:rsidRPr="003606A9">
        <w:rPr>
          <w:sz w:val="26"/>
          <w:szCs w:val="26"/>
        </w:rPr>
        <w:tab/>
        <w:t>Economist (Code 19-3011), $77.04/hr.</w:t>
      </w:r>
    </w:p>
    <w:p w:rsidR="00AB7591" w:rsidRPr="003606A9" w:rsidP="00AB7591" w14:paraId="688C9354" w14:textId="77777777">
      <w:pPr>
        <w:pStyle w:val="FootnoteText"/>
        <w:rPr>
          <w:sz w:val="26"/>
          <w:szCs w:val="26"/>
        </w:rPr>
      </w:pPr>
      <w:r w:rsidRPr="003606A9">
        <w:rPr>
          <w:sz w:val="26"/>
          <w:szCs w:val="26"/>
        </w:rPr>
        <w:tab/>
        <w:t>Computer and Information Systems Managers (Code 11-3021), $110.62/hr.</w:t>
      </w:r>
    </w:p>
    <w:p w:rsidR="00AB7591" w:rsidRPr="003606A9" w:rsidP="00AB7591" w14:paraId="73FCDCE6" w14:textId="77777777">
      <w:pPr>
        <w:pStyle w:val="FootnoteText"/>
        <w:rPr>
          <w:sz w:val="26"/>
          <w:szCs w:val="26"/>
        </w:rPr>
      </w:pPr>
      <w:r w:rsidRPr="003606A9">
        <w:rPr>
          <w:sz w:val="26"/>
          <w:szCs w:val="26"/>
        </w:rPr>
        <w:tab/>
        <w:t xml:space="preserve">Accountants and Auditors (Code 13-2011), $55.03/hr. </w:t>
      </w:r>
    </w:p>
    <w:p w:rsidR="00AB7591" w:rsidRPr="003606A9" w:rsidP="00AB7591" w14:paraId="46B34629" w14:textId="77777777">
      <w:pPr>
        <w:pStyle w:val="FootnoteText"/>
        <w:rPr>
          <w:sz w:val="26"/>
          <w:szCs w:val="26"/>
        </w:rPr>
      </w:pPr>
      <w:r w:rsidRPr="003606A9">
        <w:rPr>
          <w:sz w:val="26"/>
          <w:szCs w:val="26"/>
        </w:rPr>
        <w:tab/>
        <w:t>Transportation, Storage, and Distribution Managers (Code 11-3071), $84.39/hr.</w:t>
      </w:r>
    </w:p>
    <w:p w:rsidR="00AB7591" w:rsidRPr="003606A9" w:rsidP="00AB7591" w14:paraId="66976E3B" w14:textId="77777777">
      <w:pPr>
        <w:pStyle w:val="FootnoteText"/>
        <w:rPr>
          <w:sz w:val="26"/>
          <w:szCs w:val="26"/>
        </w:rPr>
      </w:pPr>
      <w:r w:rsidRPr="003606A9">
        <w:rPr>
          <w:sz w:val="26"/>
          <w:szCs w:val="26"/>
        </w:rPr>
        <w:tab/>
        <w:t>Power Distributors and Dispatchers (Code 51-8012), $66.80/hr.</w:t>
      </w:r>
    </w:p>
    <w:p w:rsidR="00AB7591" w:rsidRPr="00D07469" w:rsidP="00AB7591" w14:paraId="5A6CB762" w14:textId="77777777">
      <w:pPr>
        <w:pStyle w:val="FootnoteText"/>
        <w:rPr>
          <w:sz w:val="26"/>
          <w:szCs w:val="26"/>
        </w:rPr>
      </w:pPr>
      <w:r w:rsidRPr="003606A9">
        <w:rPr>
          <w:sz w:val="26"/>
          <w:szCs w:val="26"/>
        </w:rPr>
        <w:t>The average hourly cost (wages plus benefits) for the above wages is $77.15/hour (rounded to $77.00/hour)</w:t>
      </w:r>
    </w:p>
    <w:p w:rsidR="00683114" w:rsidRPr="00D07469" w:rsidP="00AB7591" w14:paraId="705EEB2F" w14:textId="17C3FE4D">
      <w:pPr>
        <w:pStyle w:val="FootnoteText"/>
        <w:rPr>
          <w:sz w:val="26"/>
          <w:szCs w:val="26"/>
        </w:rPr>
      </w:pPr>
    </w:p>
  </w:footnote>
  <w:footnote w:id="6">
    <w:p w:rsidR="00861D50" w:rsidP="00861D50" w14:paraId="076538B4"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w:t>
      </w:r>
      <w:r>
        <w:rPr>
          <w:sz w:val="26"/>
          <w:szCs w:val="26"/>
        </w:rPr>
        <w:t>s length, and its complexity.</w:t>
      </w:r>
    </w:p>
    <w:p w:rsidR="00861D50" w:rsidP="00861D50" w14:paraId="513D0D8F" w14:textId="77777777">
      <w:pPr>
        <w:pStyle w:val="FootnoteText"/>
        <w:rPr>
          <w:sz w:val="26"/>
          <w:szCs w:val="26"/>
        </w:rPr>
      </w:pPr>
      <w:r>
        <w:rPr>
          <w:sz w:val="26"/>
          <w:szCs w:val="26"/>
        </w:rPr>
        <w:t>The annual cost per filing of $737 for Years 2 and 3 is being averaged over 3 years for Question 15, giving $491.33 per year per filing.</w:t>
      </w:r>
    </w:p>
  </w:footnote>
  <w:footnote w:id="7">
    <w:p w:rsidR="002B6594" w:rsidRPr="00DA0C0C" w:rsidP="002B6594" w14:paraId="2C79553E" w14:textId="30519748">
      <w:pPr>
        <w:pStyle w:val="FootnoteText"/>
        <w:rPr>
          <w:sz w:val="26"/>
          <w:szCs w:val="26"/>
        </w:rPr>
      </w:pPr>
      <w:r w:rsidRPr="00EE5132">
        <w:rPr>
          <w:rStyle w:val="FootnoteReference"/>
          <w:rFonts w:eastAsia="Calibri"/>
          <w:sz w:val="26"/>
          <w:szCs w:val="26"/>
          <w:vertAlign w:val="superscript"/>
        </w:rPr>
        <w:footnoteRef/>
      </w:r>
      <w:r w:rsidRPr="00DA0C0C">
        <w:rPr>
          <w:sz w:val="26"/>
          <w:szCs w:val="26"/>
        </w:rPr>
        <w:t xml:space="preserve"> The cost figure is the 20</w:t>
      </w:r>
      <w:r>
        <w:rPr>
          <w:sz w:val="26"/>
          <w:szCs w:val="26"/>
        </w:rPr>
        <w:t>2</w:t>
      </w:r>
      <w:r w:rsidR="0092701F">
        <w:rPr>
          <w:sz w:val="26"/>
          <w:szCs w:val="26"/>
        </w:rPr>
        <w:t>6</w:t>
      </w:r>
      <w:r w:rsidRPr="00DA0C0C">
        <w:rPr>
          <w:sz w:val="26"/>
          <w:szCs w:val="26"/>
        </w:rPr>
        <w:t xml:space="preserve"> FERC average salary plus benefits ($</w:t>
      </w:r>
      <w:r w:rsidR="0092701F">
        <w:rPr>
          <w:sz w:val="26"/>
          <w:szCs w:val="26"/>
        </w:rPr>
        <w:t>213</w:t>
      </w:r>
      <w:r>
        <w:rPr>
          <w:sz w:val="26"/>
          <w:szCs w:val="26"/>
        </w:rPr>
        <w:t>,</w:t>
      </w:r>
      <w:r w:rsidR="0092701F">
        <w:rPr>
          <w:sz w:val="26"/>
          <w:szCs w:val="26"/>
        </w:rPr>
        <w:t>0</w:t>
      </w:r>
      <w:r>
        <w:rPr>
          <w:sz w:val="26"/>
          <w:szCs w:val="26"/>
        </w:rPr>
        <w:t>03</w:t>
      </w:r>
      <w:r w:rsidRPr="00DA0C0C">
        <w:rPr>
          <w:sz w:val="26"/>
          <w:szCs w:val="26"/>
        </w:rPr>
        <w:t>/year or $</w:t>
      </w:r>
      <w:r w:rsidR="0092701F">
        <w:rPr>
          <w:sz w:val="26"/>
          <w:szCs w:val="26"/>
        </w:rPr>
        <w:t>102</w:t>
      </w:r>
      <w:r w:rsidRPr="00DA0C0C">
        <w:rPr>
          <w:sz w:val="26"/>
          <w:szCs w:val="26"/>
        </w:rPr>
        <w:t xml:space="preserve">/hour).  FERC staff estimates that industry costs for salary plus benefits are </w:t>
      </w:r>
      <w:r w:rsidRPr="00DA0C0C">
        <w:rPr>
          <w:sz w:val="26"/>
          <w:szCs w:val="26"/>
        </w:rPr>
        <w:t>similar to</w:t>
      </w:r>
      <w:r w:rsidRPr="00DA0C0C">
        <w:rPr>
          <w:sz w:val="26"/>
          <w:szCs w:val="26"/>
        </w:rPr>
        <w:t xml:space="preserve"> Commission costs. </w:t>
      </w:r>
    </w:p>
  </w:footnote>
  <w:footnote w:id="8">
    <w:p w:rsidR="002B6594" w:rsidRPr="00DA0C0C" w:rsidP="002B6594" w14:paraId="45C7FD32" w14:textId="16E25343">
      <w:pPr>
        <w:pStyle w:val="FootnoteText"/>
        <w:rPr>
          <w:sz w:val="26"/>
          <w:szCs w:val="26"/>
        </w:rPr>
      </w:pPr>
      <w:r w:rsidRPr="00EE5132">
        <w:rPr>
          <w:rStyle w:val="FootnoteReference"/>
          <w:rFonts w:eastAsia="Calibri"/>
          <w:sz w:val="26"/>
          <w:szCs w:val="26"/>
          <w:vertAlign w:val="superscript"/>
        </w:rPr>
        <w:footnoteRef/>
      </w:r>
      <w:r w:rsidRPr="00EE5132">
        <w:rPr>
          <w:sz w:val="26"/>
          <w:szCs w:val="26"/>
          <w:vertAlign w:val="superscript"/>
        </w:rPr>
        <w:t xml:space="preserve"> </w:t>
      </w:r>
      <w:r w:rsidRPr="00DA0C0C">
        <w:rPr>
          <w:sz w:val="26"/>
          <w:szCs w:val="26"/>
        </w:rPr>
        <w:t xml:space="preserve">The </w:t>
      </w:r>
      <w:r>
        <w:rPr>
          <w:sz w:val="26"/>
          <w:szCs w:val="26"/>
        </w:rPr>
        <w:t xml:space="preserve">0.2 FTE analysis and processing of filings and 75% IT work </w:t>
      </w:r>
      <w:r w:rsidRPr="00DA0C0C">
        <w:rPr>
          <w:sz w:val="26"/>
          <w:szCs w:val="26"/>
        </w:rPr>
        <w:t>(including maintenance and troubleshooting).</w:t>
      </w:r>
    </w:p>
  </w:footnote>
  <w:footnote w:id="9">
    <w:p w:rsidR="002B6594" w:rsidRPr="00DA0C0C" w:rsidP="002B6594" w14:paraId="2449408E" w14:textId="77777777">
      <w:pPr>
        <w:pStyle w:val="FootnoteText"/>
        <w:rPr>
          <w:sz w:val="26"/>
          <w:szCs w:val="26"/>
        </w:rPr>
      </w:pPr>
      <w:r w:rsidRPr="00EE5132">
        <w:rPr>
          <w:rStyle w:val="FootnoteReference"/>
          <w:rFonts w:eastAsia="Calibri"/>
          <w:sz w:val="26"/>
          <w:szCs w:val="26"/>
          <w:vertAlign w:val="superscript"/>
        </w:rPr>
        <w:footnoteRef/>
      </w:r>
      <w:r w:rsidRPr="00EE5132">
        <w:rPr>
          <w:sz w:val="26"/>
          <w:szCs w:val="26"/>
          <w:vertAlign w:val="superscript"/>
        </w:rPr>
        <w:t xml:space="preserve"> </w:t>
      </w:r>
      <w:r w:rsidRPr="00DA0C0C">
        <w:rPr>
          <w:sz w:val="26"/>
          <w:szCs w:val="26"/>
        </w:rPr>
        <w:t>Paperwork Reduction Act of 1995 (PRA).</w:t>
      </w:r>
    </w:p>
  </w:footnote>
  <w:footnote w:id="10">
    <w:p w:rsidR="002B6594" w:rsidRPr="00C869A0" w:rsidP="002B6594" w14:paraId="293E55D0" w14:textId="77777777">
      <w:pPr>
        <w:pStyle w:val="FootnoteText"/>
        <w:rPr>
          <w:sz w:val="26"/>
          <w:szCs w:val="26"/>
        </w:rPr>
      </w:pPr>
      <w:r w:rsidRPr="00EE5132">
        <w:rPr>
          <w:rStyle w:val="FootnoteReference"/>
          <w:rFonts w:eastAsia="Calibri"/>
          <w:sz w:val="26"/>
          <w:szCs w:val="26"/>
          <w:vertAlign w:val="superscript"/>
        </w:rPr>
        <w:footnoteRef/>
      </w:r>
      <w:r w:rsidRPr="00DA0C0C">
        <w:rPr>
          <w:sz w:val="26"/>
          <w:szCs w:val="26"/>
        </w:rPr>
        <w:t xml:space="preserve"> </w:t>
      </w:r>
      <w:r w:rsidRPr="00C869A0">
        <w:rPr>
          <w:sz w:val="26"/>
          <w:szCs w:val="26"/>
        </w:rPr>
        <w:t>The Paperwork Reduction Act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as well as necessary publications in the Federal Register.</w:t>
      </w:r>
    </w:p>
    <w:p w:rsidR="002B6594" w:rsidRPr="00DA0C0C" w:rsidP="002B6594" w14:paraId="576ED850" w14:textId="77777777">
      <w:pPr>
        <w:pStyle w:val="FootnoteText"/>
        <w:rPr>
          <w:sz w:val="26"/>
          <w:szCs w:val="26"/>
        </w:rPr>
      </w:pPr>
    </w:p>
  </w:footnote>
  <w:footnote w:id="11">
    <w:p w:rsidR="002B6594" w:rsidRPr="00D3650B" w:rsidP="002B6594" w14:paraId="526D6767" w14:textId="77777777">
      <w:pPr>
        <w:pStyle w:val="FootnoteText"/>
        <w:rPr>
          <w:sz w:val="26"/>
          <w:szCs w:val="26"/>
        </w:rPr>
      </w:pPr>
      <w:r w:rsidRPr="00EE5132">
        <w:rPr>
          <w:rStyle w:val="FootnoteReference"/>
          <w:rFonts w:eastAsia="Calibri"/>
          <w:sz w:val="26"/>
          <w:szCs w:val="26"/>
          <w:vertAlign w:val="superscript"/>
        </w:rPr>
        <w:footnoteRef/>
      </w:r>
      <w:r w:rsidRPr="00D3650B">
        <w:rPr>
          <w:sz w:val="26"/>
          <w:szCs w:val="26"/>
        </w:rPr>
        <w:t xml:space="preserve"> FERC has no additional capital cost because we are not making changes to the current collection or system </w:t>
      </w:r>
      <w:r w:rsidRPr="00D3650B">
        <w:rPr>
          <w:sz w:val="26"/>
          <w:szCs w:val="26"/>
        </w:rPr>
        <w:t>at this time</w:t>
      </w:r>
      <w:r w:rsidRPr="00D3650B">
        <w:rPr>
          <w:sz w:val="26"/>
          <w:szCs w:val="26"/>
        </w:rPr>
        <w:t xml:space="preserve">. </w:t>
      </w:r>
      <w:r w:rsidRPr="00401699">
        <w:rPr>
          <w:sz w:val="26"/>
          <w:szCs w:val="26"/>
        </w:rPr>
        <w:t xml:space="preserve"> </w:t>
      </w:r>
    </w:p>
    <w:p w:rsidR="002B6594" w:rsidP="002B6594" w14:paraId="4A24BB4D" w14:textId="77777777">
      <w:pPr>
        <w:pStyle w:val="FootnoteText"/>
      </w:pPr>
      <w:r w:rsidRPr="00D3650B">
        <w:rPr>
          <w:sz w:val="26"/>
          <w:szCs w:val="26"/>
        </w:rPr>
        <w:t>The FERC-714 is part of the Forms Refresh effort in Docket No. RM19-12; that docket and associated changes are addressed separately and not in this renewal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68F" w:rsidP="00D56478" w14:paraId="74966563" w14:textId="6D1691CD">
    <w:pPr>
      <w:pStyle w:val="Header"/>
      <w:rPr>
        <w:rFonts w:ascii="Times New Roman" w:hAnsi="Times New Roman"/>
        <w:sz w:val="26"/>
        <w:szCs w:val="26"/>
      </w:rPr>
    </w:pPr>
    <w:r w:rsidRPr="00D56478">
      <w:rPr>
        <w:rFonts w:ascii="Times New Roman" w:hAnsi="Times New Roman"/>
        <w:sz w:val="26"/>
        <w:szCs w:val="26"/>
      </w:rPr>
      <w:t>FERC-714 OMB # 1902-0140</w:t>
    </w:r>
  </w:p>
  <w:p w:rsidR="00912491" w:rsidRPr="00D56478" w:rsidP="00D56478" w14:paraId="0A8F8AE5" w14:textId="2F514949">
    <w:pPr>
      <w:pStyle w:val="Header"/>
      <w:rPr>
        <w:rFonts w:ascii="Times New Roman" w:hAnsi="Times New Roman"/>
        <w:sz w:val="26"/>
        <w:szCs w:val="26"/>
      </w:rPr>
    </w:pPr>
    <w:r>
      <w:rPr>
        <w:rFonts w:ascii="Times New Roman" w:hAnsi="Times New Roman"/>
        <w:sz w:val="26"/>
        <w:szCs w:val="26"/>
      </w:rPr>
      <w:t>IC2</w:t>
    </w:r>
    <w:r w:rsidR="00970B8E">
      <w:rPr>
        <w:rFonts w:ascii="Times New Roman" w:hAnsi="Times New Roman"/>
        <w:sz w:val="26"/>
        <w:szCs w:val="26"/>
      </w:rPr>
      <w:t>6</w:t>
    </w:r>
    <w:r>
      <w:rPr>
        <w:rFonts w:ascii="Times New Roman" w:hAnsi="Times New Roman"/>
        <w:sz w:val="26"/>
        <w:szCs w:val="26"/>
      </w:rPr>
      <w:t>-</w:t>
    </w:r>
    <w:r w:rsidR="00970B8E">
      <w:rPr>
        <w:rFonts w:ascii="Times New Roman" w:hAnsi="Times New Roman"/>
        <w:sz w:val="26"/>
        <w:szCs w:val="26"/>
      </w:rPr>
      <w:t>21</w:t>
    </w:r>
    <w:r>
      <w:rPr>
        <w:rFonts w:ascii="Times New Roman" w:hAnsi="Times New Roman"/>
        <w:sz w:val="26"/>
        <w:szCs w:val="26"/>
      </w:rPr>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50755"/>
    <w:multiLevelType w:val="hybridMultilevel"/>
    <w:tmpl w:val="EAB0F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B6162D"/>
    <w:multiLevelType w:val="hybridMultilevel"/>
    <w:tmpl w:val="D9DA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start w:val="1"/>
      <w:numFmt w:val="decimal"/>
      <w:lvlText w:val="%1)"/>
      <w:lvlJc w:val="left"/>
      <w:pPr>
        <w:ind w:left="720" w:hanging="360"/>
      </w:pPr>
      <w:rPr>
        <w:i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vertAlign w:val="baseline"/>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DE2FB4"/>
    <w:multiLevelType w:val="multilevel"/>
    <w:tmpl w:val="8C06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D40E9F"/>
    <w:multiLevelType w:val="hybridMultilevel"/>
    <w:tmpl w:val="4DF8B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460FD9"/>
    <w:multiLevelType w:val="hybridMultilevel"/>
    <w:tmpl w:val="371A511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nsid w:val="5BA62A20"/>
    <w:multiLevelType w:val="hybridMultilevel"/>
    <w:tmpl w:val="3A3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1B4714C"/>
    <w:multiLevelType w:val="hybridMultilevel"/>
    <w:tmpl w:val="97ECA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437021"/>
    <w:multiLevelType w:val="hybridMultilevel"/>
    <w:tmpl w:val="A2BEE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3C7DBB"/>
    <w:multiLevelType w:val="hybridMultilevel"/>
    <w:tmpl w:val="E48A2612"/>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6989698">
    <w:abstractNumId w:val="22"/>
  </w:num>
  <w:num w:numId="2" w16cid:durableId="2071879058">
    <w:abstractNumId w:val="30"/>
  </w:num>
  <w:num w:numId="3" w16cid:durableId="28723669">
    <w:abstractNumId w:val="20"/>
  </w:num>
  <w:num w:numId="4" w16cid:durableId="150146556">
    <w:abstractNumId w:val="31"/>
  </w:num>
  <w:num w:numId="5" w16cid:durableId="794249589">
    <w:abstractNumId w:val="5"/>
  </w:num>
  <w:num w:numId="6" w16cid:durableId="418019371">
    <w:abstractNumId w:val="32"/>
  </w:num>
  <w:num w:numId="7" w16cid:durableId="1326937670">
    <w:abstractNumId w:val="7"/>
  </w:num>
  <w:num w:numId="8" w16cid:durableId="1560707015">
    <w:abstractNumId w:val="3"/>
  </w:num>
  <w:num w:numId="9" w16cid:durableId="661196389">
    <w:abstractNumId w:val="17"/>
  </w:num>
  <w:num w:numId="10" w16cid:durableId="1435980966">
    <w:abstractNumId w:val="10"/>
  </w:num>
  <w:num w:numId="11" w16cid:durableId="993801579">
    <w:abstractNumId w:val="24"/>
  </w:num>
  <w:num w:numId="12" w16cid:durableId="1719815095">
    <w:abstractNumId w:val="16"/>
  </w:num>
  <w:num w:numId="13" w16cid:durableId="295525134">
    <w:abstractNumId w:val="4"/>
  </w:num>
  <w:num w:numId="14" w16cid:durableId="43256362">
    <w:abstractNumId w:val="33"/>
  </w:num>
  <w:num w:numId="15" w16cid:durableId="1599800068">
    <w:abstractNumId w:val="12"/>
  </w:num>
  <w:num w:numId="16" w16cid:durableId="63645547">
    <w:abstractNumId w:val="26"/>
  </w:num>
  <w:num w:numId="17" w16cid:durableId="1615285194">
    <w:abstractNumId w:val="9"/>
  </w:num>
  <w:num w:numId="18" w16cid:durableId="2049912916">
    <w:abstractNumId w:val="15"/>
  </w:num>
  <w:num w:numId="19" w16cid:durableId="247932670">
    <w:abstractNumId w:val="21"/>
  </w:num>
  <w:num w:numId="20" w16cid:durableId="764306426">
    <w:abstractNumId w:val="18"/>
  </w:num>
  <w:num w:numId="21" w16cid:durableId="2121682012">
    <w:abstractNumId w:val="29"/>
  </w:num>
  <w:num w:numId="22" w16cid:durableId="1935016479">
    <w:abstractNumId w:val="14"/>
  </w:num>
  <w:num w:numId="23" w16cid:durableId="250047599">
    <w:abstractNumId w:val="11"/>
  </w:num>
  <w:num w:numId="24" w16cid:durableId="645352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9130762">
    <w:abstractNumId w:val="2"/>
    <w:lvlOverride w:ilvl="0"/>
    <w:lvlOverride w:ilvl="1">
      <w:startOverride w:val="1"/>
    </w:lvlOverride>
    <w:lvlOverride w:ilvl="2"/>
    <w:lvlOverride w:ilvl="3"/>
    <w:lvlOverride w:ilvl="4"/>
    <w:lvlOverride w:ilvl="5"/>
    <w:lvlOverride w:ilvl="6"/>
    <w:lvlOverride w:ilvl="7"/>
    <w:lvlOverride w:ilvl="8"/>
  </w:num>
  <w:num w:numId="26" w16cid:durableId="1160776696">
    <w:abstractNumId w:val="1"/>
    <w:lvlOverride w:ilvl="0"/>
    <w:lvlOverride w:ilvl="1">
      <w:startOverride w:val="1"/>
    </w:lvlOverride>
    <w:lvlOverride w:ilvl="2"/>
    <w:lvlOverride w:ilvl="3"/>
    <w:lvlOverride w:ilvl="4"/>
    <w:lvlOverride w:ilvl="5"/>
    <w:lvlOverride w:ilvl="6"/>
    <w:lvlOverride w:ilvl="7"/>
    <w:lvlOverride w:ilvl="8"/>
  </w:num>
  <w:num w:numId="27" w16cid:durableId="829441535">
    <w:abstractNumId w:val="25"/>
  </w:num>
  <w:num w:numId="28" w16cid:durableId="942614193">
    <w:abstractNumId w:val="13"/>
  </w:num>
  <w:num w:numId="29" w16cid:durableId="135609525">
    <w:abstractNumId w:val="27"/>
  </w:num>
  <w:num w:numId="30" w16cid:durableId="1848519442">
    <w:abstractNumId w:val="1"/>
  </w:num>
  <w:num w:numId="31" w16cid:durableId="361711757">
    <w:abstractNumId w:val="0"/>
  </w:num>
  <w:num w:numId="32" w16cid:durableId="111749019">
    <w:abstractNumId w:val="28"/>
  </w:num>
  <w:num w:numId="33" w16cid:durableId="1216938629">
    <w:abstractNumId w:val="6"/>
  </w:num>
  <w:num w:numId="34" w16cid:durableId="114107905">
    <w:abstractNumId w:val="19"/>
  </w:num>
  <w:num w:numId="35" w16cid:durableId="745341739">
    <w:abstractNumId w:val="23"/>
  </w:num>
  <w:num w:numId="36" w16cid:durableId="19305765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2499"/>
    <w:rsid w:val="00063E71"/>
    <w:rsid w:val="00066375"/>
    <w:rsid w:val="000714B8"/>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57955"/>
    <w:rsid w:val="00163942"/>
    <w:rsid w:val="001668D3"/>
    <w:rsid w:val="00171CAC"/>
    <w:rsid w:val="001728EF"/>
    <w:rsid w:val="00183CBA"/>
    <w:rsid w:val="00185D62"/>
    <w:rsid w:val="00186976"/>
    <w:rsid w:val="001902A4"/>
    <w:rsid w:val="00191A45"/>
    <w:rsid w:val="0019509E"/>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2DF"/>
    <w:rsid w:val="001F18B7"/>
    <w:rsid w:val="001F2364"/>
    <w:rsid w:val="001F43F4"/>
    <w:rsid w:val="001F56F4"/>
    <w:rsid w:val="001F7477"/>
    <w:rsid w:val="001F7D8D"/>
    <w:rsid w:val="00200CB5"/>
    <w:rsid w:val="00201EDE"/>
    <w:rsid w:val="00204B38"/>
    <w:rsid w:val="00206783"/>
    <w:rsid w:val="002123B8"/>
    <w:rsid w:val="00212CCC"/>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2A87"/>
    <w:rsid w:val="0025343E"/>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3F45"/>
    <w:rsid w:val="002A725B"/>
    <w:rsid w:val="002B093B"/>
    <w:rsid w:val="002B3A8A"/>
    <w:rsid w:val="002B4655"/>
    <w:rsid w:val="002B6594"/>
    <w:rsid w:val="002B7556"/>
    <w:rsid w:val="002C0782"/>
    <w:rsid w:val="002C0DA6"/>
    <w:rsid w:val="002C248B"/>
    <w:rsid w:val="002C2F20"/>
    <w:rsid w:val="002C3322"/>
    <w:rsid w:val="002C3ADD"/>
    <w:rsid w:val="002C6711"/>
    <w:rsid w:val="002D0023"/>
    <w:rsid w:val="002D1E78"/>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346F"/>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351"/>
    <w:rsid w:val="003475BC"/>
    <w:rsid w:val="00350618"/>
    <w:rsid w:val="00351E0A"/>
    <w:rsid w:val="00353CBC"/>
    <w:rsid w:val="00353CD5"/>
    <w:rsid w:val="00353E6D"/>
    <w:rsid w:val="003567C7"/>
    <w:rsid w:val="003568D6"/>
    <w:rsid w:val="00357252"/>
    <w:rsid w:val="003606A9"/>
    <w:rsid w:val="00361948"/>
    <w:rsid w:val="003625D4"/>
    <w:rsid w:val="00364E7B"/>
    <w:rsid w:val="003665B8"/>
    <w:rsid w:val="003725EE"/>
    <w:rsid w:val="00373D37"/>
    <w:rsid w:val="00383706"/>
    <w:rsid w:val="00383B4B"/>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3BC1"/>
    <w:rsid w:val="003C729F"/>
    <w:rsid w:val="003D08BB"/>
    <w:rsid w:val="003D205A"/>
    <w:rsid w:val="003D2490"/>
    <w:rsid w:val="003D2D84"/>
    <w:rsid w:val="003D3227"/>
    <w:rsid w:val="003D79BB"/>
    <w:rsid w:val="003E1795"/>
    <w:rsid w:val="003E29B3"/>
    <w:rsid w:val="003E6B4D"/>
    <w:rsid w:val="003E6C97"/>
    <w:rsid w:val="003E74C9"/>
    <w:rsid w:val="003F07C2"/>
    <w:rsid w:val="003F25BB"/>
    <w:rsid w:val="003F2628"/>
    <w:rsid w:val="003F4A59"/>
    <w:rsid w:val="00401699"/>
    <w:rsid w:val="00402B60"/>
    <w:rsid w:val="00403FA6"/>
    <w:rsid w:val="004073F4"/>
    <w:rsid w:val="004101B0"/>
    <w:rsid w:val="0041285F"/>
    <w:rsid w:val="00413357"/>
    <w:rsid w:val="00413C13"/>
    <w:rsid w:val="00414464"/>
    <w:rsid w:val="00415251"/>
    <w:rsid w:val="00415856"/>
    <w:rsid w:val="004272D3"/>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11"/>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2EC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1313"/>
    <w:rsid w:val="004E23A6"/>
    <w:rsid w:val="004E2A6E"/>
    <w:rsid w:val="004E39B0"/>
    <w:rsid w:val="004E4AAE"/>
    <w:rsid w:val="004E6A05"/>
    <w:rsid w:val="004F0530"/>
    <w:rsid w:val="004F364E"/>
    <w:rsid w:val="004F3E66"/>
    <w:rsid w:val="004F4316"/>
    <w:rsid w:val="004F4BCE"/>
    <w:rsid w:val="004F5376"/>
    <w:rsid w:val="005008CD"/>
    <w:rsid w:val="005052A7"/>
    <w:rsid w:val="0050696C"/>
    <w:rsid w:val="00512214"/>
    <w:rsid w:val="00513CC8"/>
    <w:rsid w:val="00513F2A"/>
    <w:rsid w:val="0051491B"/>
    <w:rsid w:val="00515869"/>
    <w:rsid w:val="00515F5E"/>
    <w:rsid w:val="00517EC0"/>
    <w:rsid w:val="005220EE"/>
    <w:rsid w:val="00522A8F"/>
    <w:rsid w:val="0052498D"/>
    <w:rsid w:val="00524C2C"/>
    <w:rsid w:val="0052605E"/>
    <w:rsid w:val="0052659F"/>
    <w:rsid w:val="00531421"/>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5F3532"/>
    <w:rsid w:val="005F4B72"/>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579C5"/>
    <w:rsid w:val="00661B57"/>
    <w:rsid w:val="00666CEE"/>
    <w:rsid w:val="00667425"/>
    <w:rsid w:val="0067145A"/>
    <w:rsid w:val="00672874"/>
    <w:rsid w:val="00672EA7"/>
    <w:rsid w:val="00673209"/>
    <w:rsid w:val="00674877"/>
    <w:rsid w:val="00676409"/>
    <w:rsid w:val="00677D55"/>
    <w:rsid w:val="006800CE"/>
    <w:rsid w:val="00680C13"/>
    <w:rsid w:val="00683114"/>
    <w:rsid w:val="006912CB"/>
    <w:rsid w:val="00693436"/>
    <w:rsid w:val="006955A3"/>
    <w:rsid w:val="006977BC"/>
    <w:rsid w:val="006A1C37"/>
    <w:rsid w:val="006A291D"/>
    <w:rsid w:val="006B083F"/>
    <w:rsid w:val="006B137D"/>
    <w:rsid w:val="006B1A8D"/>
    <w:rsid w:val="006B2417"/>
    <w:rsid w:val="006B2D5B"/>
    <w:rsid w:val="006B42A9"/>
    <w:rsid w:val="006B48FF"/>
    <w:rsid w:val="006B590A"/>
    <w:rsid w:val="006C0AA8"/>
    <w:rsid w:val="006C4D26"/>
    <w:rsid w:val="006C66E8"/>
    <w:rsid w:val="006C6D90"/>
    <w:rsid w:val="006C787B"/>
    <w:rsid w:val="006D0BCD"/>
    <w:rsid w:val="006D0D73"/>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07B8F"/>
    <w:rsid w:val="00711EB9"/>
    <w:rsid w:val="007163E6"/>
    <w:rsid w:val="007175B6"/>
    <w:rsid w:val="00724829"/>
    <w:rsid w:val="00725E44"/>
    <w:rsid w:val="007300B3"/>
    <w:rsid w:val="007347F9"/>
    <w:rsid w:val="00736C27"/>
    <w:rsid w:val="00741DA1"/>
    <w:rsid w:val="00742B28"/>
    <w:rsid w:val="007445A8"/>
    <w:rsid w:val="00745AA1"/>
    <w:rsid w:val="007468FA"/>
    <w:rsid w:val="00746AA0"/>
    <w:rsid w:val="00746ABD"/>
    <w:rsid w:val="007540AE"/>
    <w:rsid w:val="00756BE0"/>
    <w:rsid w:val="007603ED"/>
    <w:rsid w:val="007622C1"/>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52C6"/>
    <w:rsid w:val="007B6467"/>
    <w:rsid w:val="007C32BF"/>
    <w:rsid w:val="007C5E46"/>
    <w:rsid w:val="007C66F3"/>
    <w:rsid w:val="007D2EF7"/>
    <w:rsid w:val="007D436E"/>
    <w:rsid w:val="007D561D"/>
    <w:rsid w:val="007E0190"/>
    <w:rsid w:val="007E0D8A"/>
    <w:rsid w:val="007E4B1C"/>
    <w:rsid w:val="007E640A"/>
    <w:rsid w:val="007E6656"/>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36B73"/>
    <w:rsid w:val="0084158D"/>
    <w:rsid w:val="00841F27"/>
    <w:rsid w:val="00842282"/>
    <w:rsid w:val="008426CC"/>
    <w:rsid w:val="00842D7E"/>
    <w:rsid w:val="0084303A"/>
    <w:rsid w:val="00847CF4"/>
    <w:rsid w:val="00847CF9"/>
    <w:rsid w:val="008530FC"/>
    <w:rsid w:val="00854426"/>
    <w:rsid w:val="00855994"/>
    <w:rsid w:val="00856707"/>
    <w:rsid w:val="00861D50"/>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06F"/>
    <w:rsid w:val="008D4B3A"/>
    <w:rsid w:val="008D52BD"/>
    <w:rsid w:val="008E05A7"/>
    <w:rsid w:val="008E0A2C"/>
    <w:rsid w:val="008E103D"/>
    <w:rsid w:val="008E6E94"/>
    <w:rsid w:val="008E7655"/>
    <w:rsid w:val="008F6EF7"/>
    <w:rsid w:val="008F711B"/>
    <w:rsid w:val="00900535"/>
    <w:rsid w:val="0090268F"/>
    <w:rsid w:val="00902C25"/>
    <w:rsid w:val="00904961"/>
    <w:rsid w:val="00905520"/>
    <w:rsid w:val="00906819"/>
    <w:rsid w:val="00912491"/>
    <w:rsid w:val="00913164"/>
    <w:rsid w:val="009148F1"/>
    <w:rsid w:val="0091728C"/>
    <w:rsid w:val="00921288"/>
    <w:rsid w:val="00921D23"/>
    <w:rsid w:val="0092238A"/>
    <w:rsid w:val="00923E07"/>
    <w:rsid w:val="0092600F"/>
    <w:rsid w:val="0092686E"/>
    <w:rsid w:val="0092701F"/>
    <w:rsid w:val="00927DC8"/>
    <w:rsid w:val="009312F1"/>
    <w:rsid w:val="009315E3"/>
    <w:rsid w:val="00932D78"/>
    <w:rsid w:val="00932DF3"/>
    <w:rsid w:val="00935BC9"/>
    <w:rsid w:val="00941B07"/>
    <w:rsid w:val="00943671"/>
    <w:rsid w:val="0094390D"/>
    <w:rsid w:val="00944F95"/>
    <w:rsid w:val="0094517B"/>
    <w:rsid w:val="00946E0D"/>
    <w:rsid w:val="00950B6E"/>
    <w:rsid w:val="00950E12"/>
    <w:rsid w:val="00950EBC"/>
    <w:rsid w:val="009535DA"/>
    <w:rsid w:val="00953EDD"/>
    <w:rsid w:val="00957B46"/>
    <w:rsid w:val="00960A67"/>
    <w:rsid w:val="00963B12"/>
    <w:rsid w:val="009658D5"/>
    <w:rsid w:val="0096666B"/>
    <w:rsid w:val="00967F31"/>
    <w:rsid w:val="00970B8E"/>
    <w:rsid w:val="00971C1C"/>
    <w:rsid w:val="00973867"/>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7317A"/>
    <w:rsid w:val="00A8054E"/>
    <w:rsid w:val="00A829CB"/>
    <w:rsid w:val="00A83CFF"/>
    <w:rsid w:val="00A84F60"/>
    <w:rsid w:val="00A86181"/>
    <w:rsid w:val="00A94966"/>
    <w:rsid w:val="00A962BC"/>
    <w:rsid w:val="00A96327"/>
    <w:rsid w:val="00A9668A"/>
    <w:rsid w:val="00AA05FF"/>
    <w:rsid w:val="00AA0900"/>
    <w:rsid w:val="00AA2BD5"/>
    <w:rsid w:val="00AA7547"/>
    <w:rsid w:val="00AB3680"/>
    <w:rsid w:val="00AB42C6"/>
    <w:rsid w:val="00AB65D8"/>
    <w:rsid w:val="00AB6AC1"/>
    <w:rsid w:val="00AB759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15F4C"/>
    <w:rsid w:val="00B21507"/>
    <w:rsid w:val="00B21681"/>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843D2"/>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2797"/>
    <w:rsid w:val="00C26D9E"/>
    <w:rsid w:val="00C27D83"/>
    <w:rsid w:val="00C341AC"/>
    <w:rsid w:val="00C342DD"/>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69A0"/>
    <w:rsid w:val="00C87990"/>
    <w:rsid w:val="00C96383"/>
    <w:rsid w:val="00CA16B4"/>
    <w:rsid w:val="00CA2EAE"/>
    <w:rsid w:val="00CA424C"/>
    <w:rsid w:val="00CA4364"/>
    <w:rsid w:val="00CA48C2"/>
    <w:rsid w:val="00CA4CE7"/>
    <w:rsid w:val="00CA6D90"/>
    <w:rsid w:val="00CA7B4A"/>
    <w:rsid w:val="00CB2F25"/>
    <w:rsid w:val="00CB35C5"/>
    <w:rsid w:val="00CB3C50"/>
    <w:rsid w:val="00CB59DB"/>
    <w:rsid w:val="00CB7B65"/>
    <w:rsid w:val="00CC16D9"/>
    <w:rsid w:val="00CC52A8"/>
    <w:rsid w:val="00CC6A15"/>
    <w:rsid w:val="00CC72A5"/>
    <w:rsid w:val="00CD146E"/>
    <w:rsid w:val="00CD2ED1"/>
    <w:rsid w:val="00CD3908"/>
    <w:rsid w:val="00CD4025"/>
    <w:rsid w:val="00CD5F6C"/>
    <w:rsid w:val="00CF2498"/>
    <w:rsid w:val="00CF4098"/>
    <w:rsid w:val="00CF6AA0"/>
    <w:rsid w:val="00D042E5"/>
    <w:rsid w:val="00D0696C"/>
    <w:rsid w:val="00D07469"/>
    <w:rsid w:val="00D07FEE"/>
    <w:rsid w:val="00D11211"/>
    <w:rsid w:val="00D1162D"/>
    <w:rsid w:val="00D12C80"/>
    <w:rsid w:val="00D13613"/>
    <w:rsid w:val="00D1510B"/>
    <w:rsid w:val="00D1778B"/>
    <w:rsid w:val="00D17E68"/>
    <w:rsid w:val="00D21E6B"/>
    <w:rsid w:val="00D22D87"/>
    <w:rsid w:val="00D2462F"/>
    <w:rsid w:val="00D26A54"/>
    <w:rsid w:val="00D31F5D"/>
    <w:rsid w:val="00D354B7"/>
    <w:rsid w:val="00D3650B"/>
    <w:rsid w:val="00D3652D"/>
    <w:rsid w:val="00D36922"/>
    <w:rsid w:val="00D42FA3"/>
    <w:rsid w:val="00D43D02"/>
    <w:rsid w:val="00D43F60"/>
    <w:rsid w:val="00D44FCA"/>
    <w:rsid w:val="00D50329"/>
    <w:rsid w:val="00D52169"/>
    <w:rsid w:val="00D522C0"/>
    <w:rsid w:val="00D52E91"/>
    <w:rsid w:val="00D53FDE"/>
    <w:rsid w:val="00D54AEE"/>
    <w:rsid w:val="00D56478"/>
    <w:rsid w:val="00D62D87"/>
    <w:rsid w:val="00D631E3"/>
    <w:rsid w:val="00D66646"/>
    <w:rsid w:val="00D66D2B"/>
    <w:rsid w:val="00D66E7C"/>
    <w:rsid w:val="00D70BE5"/>
    <w:rsid w:val="00D71F7E"/>
    <w:rsid w:val="00D75D8A"/>
    <w:rsid w:val="00D82E93"/>
    <w:rsid w:val="00D87ADE"/>
    <w:rsid w:val="00D9245D"/>
    <w:rsid w:val="00D946D9"/>
    <w:rsid w:val="00D94A22"/>
    <w:rsid w:val="00D966A1"/>
    <w:rsid w:val="00DA0C0C"/>
    <w:rsid w:val="00DA1081"/>
    <w:rsid w:val="00DA3293"/>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158BE"/>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E5132"/>
    <w:rsid w:val="00EF4049"/>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5743"/>
    <w:rsid w:val="00F4797B"/>
    <w:rsid w:val="00F50DC7"/>
    <w:rsid w:val="00F50DEC"/>
    <w:rsid w:val="00F550B9"/>
    <w:rsid w:val="00F55BD9"/>
    <w:rsid w:val="00F56391"/>
    <w:rsid w:val="00F60CC1"/>
    <w:rsid w:val="00F60F4E"/>
    <w:rsid w:val="00F638F0"/>
    <w:rsid w:val="00F63B33"/>
    <w:rsid w:val="00F65138"/>
    <w:rsid w:val="00F67D81"/>
    <w:rsid w:val="00F718B5"/>
    <w:rsid w:val="00F736DF"/>
    <w:rsid w:val="00F75CD2"/>
    <w:rsid w:val="00F75D9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2D17AA"/>
  <w15:docId w15:val="{93AB49FA-2E55-4085-882D-BA7A9A9E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C7F55"/>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n1,fn3,fn4,ft"/>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Footnote Text Char1 Char Char1,Footnote Text Char3 Char,Footnote Text MRP Char,fn Char,fn1 Char,ft Char"/>
    <w:basedOn w:val="DefaultParagraphFont"/>
    <w:rsid w:val="009C7F55"/>
    <w:rPr>
      <w:rFonts w:ascii="Calibri" w:eastAsia="Calibri" w:hAnsi="Calibri" w:cs="Times New Roman"/>
      <w:sz w:val="20"/>
      <w:szCs w:val="20"/>
    </w:rPr>
  </w:style>
  <w:style w:type="character" w:customStyle="1" w:styleId="FootnoteTextChar1">
    <w:name w:val="Footnote Text Char1"/>
    <w:aliases w:val="Char Char,Footnote Text Char Char Char Char Char Char,Footnote Text Char Char1 Char Char,Footnote Text Char1 Char Char Char Char,Footnote Text Char1 Char Char Char Char Char Char Char Char,Footnote Text Char1 Char1 Char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1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formation-collections" TargetMode="External" /><Relationship Id="rId12" Type="http://schemas.openxmlformats.org/officeDocument/2006/relationships/hyperlink" Target="https://www.eia.gov/survey/form/eia_930/form.xlsx" TargetMode="External" /><Relationship Id="rId13" Type="http://schemas.openxmlformats.org/officeDocument/2006/relationships/hyperlink" Target="https://www.eia.gov/survey/form/eia_930/instructions.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ia.gov/survey/form/eia_930/instructions.pdf" TargetMode="External" /><Relationship Id="rId2" Type="http://schemas.openxmlformats.org/officeDocument/2006/relationships/hyperlink" Target="http://www.ferc.gov/legal/ceii-foia/ceii.asp" TargetMode="External" /><Relationship Id="rId3" Type="http://schemas.openxmlformats.org/officeDocument/2006/relationships/hyperlink" Target="https://www.bls.gov/oes/current/naics2_22.htm" TargetMode="External" /><Relationship Id="rId4"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 xmlns:xsi="http://www.w3.org/2001/XMLSchema-instance" xsi:nil="true"/>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7B4CDB09-02DF-4D48-9B54-7A9EC0D785FD}">
  <ds:schemaRefs>
    <ds:schemaRef ds:uri="http://schemas.openxmlformats.org/officeDocument/2006/bibliography"/>
  </ds:schemaRefs>
</ds:datastoreItem>
</file>

<file path=customXml/itemProps2.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3.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5.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354FAD-F904-4C63-92C2-7DDBFB0A1DE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1681</Words>
  <Characters>9637</Characters>
  <Application>Microsoft Office Word</Application>
  <DocSecurity>0</DocSecurity>
  <Lines>310</Lines>
  <Paragraphs>123</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Kayla Williams</cp:lastModifiedBy>
  <cp:revision>2</cp:revision>
  <cp:lastPrinted>2023-07-21T13:54:00Z</cp:lastPrinted>
  <dcterms:created xsi:type="dcterms:W3CDTF">2026-06-26T14:05:00Z</dcterms:created>
  <dcterms:modified xsi:type="dcterms:W3CDTF">2026-06-26T14:05:00Z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3df5459e-1e62-42bd-9634-93ab4b42e400</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2026-05-13T11:12:19Z</vt:lpwstr>
  </property>
  <property fmtid="{D5CDD505-2E9C-101B-9397-08002B2CF9AE}" pid="9" name="MSIP_Label_bd24d06a-0e85-4d57-b1e0-ba34b1abc708_SiteId">
    <vt:lpwstr>19caa9e9-04ff-43fa-885f-d77fac387903</vt:lpwstr>
  </property>
  <property fmtid="{D5CDD505-2E9C-101B-9397-08002B2CF9AE}" pid="10" name="MSIP_Label_bd24d06a-0e85-4d57-b1e0-ba34b1abc708_Tag">
    <vt:lpwstr>10, 0, 1, 1</vt:lpwstr>
  </property>
</Properties>
</file>