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755B" w:rsidRPr="00CF49A8" w:rsidP="00CE7745" w14:paraId="40D804CB" w14:textId="5E9C4694">
      <w:pPr>
        <w:tabs>
          <w:tab w:val="center" w:pos="4680"/>
        </w:tabs>
        <w:spacing w:after="0" w:line="259" w:lineRule="auto"/>
        <w:ind w:left="0" w:firstLine="0"/>
        <w:jc w:val="center"/>
        <w:rPr>
          <w:sz w:val="26"/>
        </w:rPr>
      </w:pPr>
      <w:r w:rsidRPr="00CF49A8">
        <w:rPr>
          <w:sz w:val="26"/>
        </w:rPr>
        <w:t xml:space="preserve">Supporting Statement for </w:t>
      </w:r>
    </w:p>
    <w:p w:rsidR="00DD755B" w:rsidRPr="00CF49A8" w:rsidP="00C13589" w14:paraId="08F9040C" w14:textId="0D53DFF4">
      <w:pPr>
        <w:pStyle w:val="Heading1"/>
        <w:spacing w:after="0"/>
        <w:ind w:left="0" w:firstLine="0"/>
        <w:jc w:val="center"/>
        <w:rPr>
          <w:sz w:val="26"/>
        </w:rPr>
      </w:pPr>
      <w:r w:rsidRPr="00CF49A8">
        <w:rPr>
          <w:sz w:val="26"/>
        </w:rPr>
        <w:t>FERC-730 (Report of Transmission Investment Activity</w:t>
      </w:r>
      <w:r w:rsidRPr="00CF49A8" w:rsidR="007D3184">
        <w:rPr>
          <w:sz w:val="26"/>
        </w:rPr>
        <w:t>, OMB Control No. 1902-0239</w:t>
      </w:r>
      <w:r w:rsidRPr="00CF49A8">
        <w:rPr>
          <w:sz w:val="26"/>
        </w:rPr>
        <w:t>)</w:t>
      </w:r>
    </w:p>
    <w:p w:rsidR="00DD755B" w:rsidRPr="00CF49A8" w14:paraId="541CF329" w14:textId="5803E8CA">
      <w:pPr>
        <w:spacing w:after="0" w:line="259" w:lineRule="auto"/>
        <w:ind w:left="590" w:firstLine="0"/>
        <w:jc w:val="center"/>
        <w:outlineLvl w:val="4"/>
        <w:rPr>
          <w:sz w:val="26"/>
        </w:rPr>
      </w:pPr>
    </w:p>
    <w:p w:rsidR="00DD755B" w:rsidRPr="00CF49A8" w14:paraId="75A94B93" w14:textId="2659458C">
      <w:pPr>
        <w:spacing w:after="0" w:line="240" w:lineRule="auto"/>
        <w:ind w:left="0" w:firstLine="0"/>
        <w:rPr>
          <w:sz w:val="26"/>
        </w:rPr>
      </w:pPr>
      <w:r w:rsidRPr="00CF49A8">
        <w:rPr>
          <w:sz w:val="26"/>
        </w:rPr>
        <w:t>The Federal Energy Regulatory Commission (Commission or FERC) requests that the Office of Management and Budget (OMB)</w:t>
      </w:r>
      <w:r w:rsidRPr="00CF49A8" w:rsidR="00E75073">
        <w:rPr>
          <w:sz w:val="26"/>
        </w:rPr>
        <w:t xml:space="preserve"> review and renew</w:t>
      </w:r>
      <w:r w:rsidRPr="00CF49A8">
        <w:rPr>
          <w:sz w:val="26"/>
        </w:rPr>
        <w:t xml:space="preserve"> the information collection requirements in FERC-730</w:t>
      </w:r>
      <w:r w:rsidRPr="00CF49A8" w:rsidR="00842937">
        <w:rPr>
          <w:sz w:val="26"/>
        </w:rPr>
        <w:t xml:space="preserve"> (Report of Transmission Investment Activity, OMB Control No. 1902-0239).</w:t>
      </w:r>
      <w:r>
        <w:rPr>
          <w:rStyle w:val="FootnoteReference"/>
          <w:b w:val="0"/>
          <w:bCs/>
        </w:rPr>
        <w:footnoteReference w:id="3"/>
      </w:r>
    </w:p>
    <w:p w:rsidR="00DD755B" w:rsidRPr="00CF49A8" w14:paraId="7AC544E1" w14:textId="77777777">
      <w:pPr>
        <w:spacing w:after="0" w:line="240" w:lineRule="auto"/>
        <w:ind w:left="0" w:firstLine="0"/>
        <w:rPr>
          <w:b/>
          <w:sz w:val="26"/>
        </w:rPr>
      </w:pPr>
      <w:r w:rsidRPr="00CF49A8">
        <w:rPr>
          <w:b/>
          <w:sz w:val="26"/>
        </w:rPr>
        <w:t xml:space="preserve"> </w:t>
      </w:r>
    </w:p>
    <w:p w:rsidR="00DD755B" w:rsidRPr="00CF49A8" w14:paraId="1E8BAA23" w14:textId="77777777">
      <w:pPr>
        <w:pStyle w:val="Heading1"/>
        <w:spacing w:after="0" w:line="240" w:lineRule="auto"/>
        <w:ind w:left="0" w:firstLine="0"/>
        <w:rPr>
          <w:sz w:val="26"/>
        </w:rPr>
      </w:pPr>
      <w:r w:rsidRPr="00CF49A8">
        <w:rPr>
          <w:bCs/>
          <w:sz w:val="26"/>
        </w:rPr>
        <w:t>1.</w:t>
      </w:r>
      <w:r w:rsidRPr="00CF49A8">
        <w:rPr>
          <w:rFonts w:eastAsia="Arial" w:cs="Arial"/>
          <w:b w:val="0"/>
          <w:sz w:val="26"/>
        </w:rPr>
        <w:t xml:space="preserve"> </w:t>
      </w:r>
      <w:r w:rsidRPr="00CF49A8">
        <w:rPr>
          <w:sz w:val="26"/>
        </w:rPr>
        <w:t xml:space="preserve">CIRCUMSTANCES THAT MAKE THE COLLECTION OF INFORMATION NECESSARY </w:t>
      </w:r>
    </w:p>
    <w:p w:rsidR="00DD755B" w:rsidRPr="00CF49A8" w14:paraId="6F0AC4E6" w14:textId="77777777">
      <w:pPr>
        <w:spacing w:after="0" w:line="240" w:lineRule="auto"/>
        <w:ind w:left="0" w:firstLine="0"/>
        <w:rPr>
          <w:sz w:val="26"/>
        </w:rPr>
      </w:pPr>
      <w:r w:rsidRPr="00CF49A8">
        <w:rPr>
          <w:sz w:val="26"/>
        </w:rPr>
        <w:t xml:space="preserve"> </w:t>
      </w:r>
    </w:p>
    <w:p w:rsidR="00C97F37" w:rsidRPr="00CF49A8" w:rsidP="00F077F3" w14:paraId="60AF6B4F" w14:textId="575CB94A">
      <w:pPr>
        <w:spacing w:after="0" w:line="240" w:lineRule="auto"/>
        <w:ind w:left="0" w:firstLine="0"/>
        <w:rPr>
          <w:sz w:val="26"/>
        </w:rPr>
      </w:pPr>
      <w:r w:rsidRPr="00CF49A8">
        <w:rPr>
          <w:sz w:val="26"/>
        </w:rPr>
        <w:t xml:space="preserve">This collection of information </w:t>
      </w:r>
      <w:r w:rsidRPr="00CF49A8" w:rsidR="00206A4F">
        <w:rPr>
          <w:sz w:val="26"/>
        </w:rPr>
        <w:t>assists the Commission in implementing</w:t>
      </w:r>
      <w:r w:rsidRPr="00CF49A8" w:rsidR="00F42D8F">
        <w:rPr>
          <w:sz w:val="26"/>
        </w:rPr>
        <w:t xml:space="preserve"> s</w:t>
      </w:r>
      <w:r w:rsidRPr="00CF49A8" w:rsidR="00383548">
        <w:rPr>
          <w:sz w:val="26"/>
        </w:rPr>
        <w:t>ection</w:t>
      </w:r>
      <w:r w:rsidRPr="00CF49A8" w:rsidR="008B0A79">
        <w:rPr>
          <w:sz w:val="26"/>
        </w:rPr>
        <w:t xml:space="preserve"> 2</w:t>
      </w:r>
      <w:r w:rsidRPr="00CF49A8" w:rsidR="00383548">
        <w:rPr>
          <w:sz w:val="26"/>
        </w:rPr>
        <w:t>19 of the Federal Power Act (FPA)</w:t>
      </w:r>
      <w:r>
        <w:rPr>
          <w:rStyle w:val="FootnoteReference"/>
          <w:b w:val="0"/>
          <w:bCs/>
        </w:rPr>
        <w:footnoteReference w:id="4"/>
      </w:r>
      <w:r w:rsidRPr="00CF49A8" w:rsidR="001003A3">
        <w:rPr>
          <w:sz w:val="26"/>
        </w:rPr>
        <w:t xml:space="preserve"> and</w:t>
      </w:r>
      <w:r w:rsidRPr="00CF49A8" w:rsidR="008B0A79">
        <w:rPr>
          <w:sz w:val="26"/>
        </w:rPr>
        <w:t xml:space="preserve"> </w:t>
      </w:r>
      <w:r w:rsidRPr="00CF49A8" w:rsidR="00383548">
        <w:rPr>
          <w:sz w:val="26"/>
        </w:rPr>
        <w:t>18 CFR 35.35</w:t>
      </w:r>
      <w:r w:rsidRPr="00CF49A8" w:rsidR="001003A3">
        <w:rPr>
          <w:sz w:val="26"/>
        </w:rPr>
        <w:t>.</w:t>
      </w:r>
      <w:r w:rsidRPr="00CF49A8" w:rsidR="00A00509">
        <w:rPr>
          <w:sz w:val="26"/>
        </w:rPr>
        <w:t xml:space="preserve">  </w:t>
      </w:r>
      <w:r w:rsidRPr="00CF49A8" w:rsidR="00383548">
        <w:rPr>
          <w:sz w:val="26"/>
        </w:rPr>
        <w:t>FPA section 219 pertains to incentive-based rates for electric transmission for the purposes of ensuring reliability</w:t>
      </w:r>
      <w:r w:rsidRPr="00CF49A8" w:rsidR="00D542B5">
        <w:rPr>
          <w:sz w:val="26"/>
        </w:rPr>
        <w:t xml:space="preserve"> </w:t>
      </w:r>
      <w:r w:rsidRPr="00CF49A8" w:rsidR="00383548">
        <w:rPr>
          <w:sz w:val="26"/>
        </w:rPr>
        <w:t>and reducing transmission congestion (thereby reducing the cost of delivered power).</w:t>
      </w:r>
    </w:p>
    <w:p w:rsidR="00DD755B" w:rsidRPr="00CF49A8" w:rsidP="00F077F3" w14:paraId="53925A5C" w14:textId="43B06214">
      <w:pPr>
        <w:spacing w:after="0" w:line="240" w:lineRule="auto"/>
        <w:ind w:left="0" w:firstLine="0"/>
        <w:rPr>
          <w:sz w:val="26"/>
        </w:rPr>
      </w:pPr>
      <w:r w:rsidRPr="00CF49A8">
        <w:rPr>
          <w:sz w:val="26"/>
        </w:rPr>
        <w:t xml:space="preserve"> </w:t>
      </w:r>
    </w:p>
    <w:p w:rsidR="00DD755B" w:rsidRPr="00CF49A8" w14:paraId="271D1037" w14:textId="1B3D3A1B">
      <w:pPr>
        <w:spacing w:after="0" w:line="240" w:lineRule="auto"/>
        <w:ind w:left="0" w:firstLine="0"/>
        <w:rPr>
          <w:sz w:val="26"/>
        </w:rPr>
      </w:pPr>
      <w:r w:rsidRPr="00CF49A8">
        <w:rPr>
          <w:sz w:val="26"/>
        </w:rPr>
        <w:t>To ensure that existing and proposed incentives are successfully meeting the objectives of FPA section 219, by ensuring reliability and economic efficiency benefits to ratepayers, the Commission needs industry data, projections, and related information that detail the level of investment and the costs and benefits of transmission projects.</w:t>
      </w:r>
    </w:p>
    <w:p w:rsidR="00D542B5" w:rsidRPr="00CF49A8" w14:paraId="16EAD8B4" w14:textId="6DF25E19">
      <w:pPr>
        <w:spacing w:after="0" w:line="240" w:lineRule="auto"/>
        <w:ind w:left="0" w:firstLine="0"/>
        <w:rPr>
          <w:sz w:val="26"/>
        </w:rPr>
      </w:pPr>
    </w:p>
    <w:p w:rsidR="00D542B5" w:rsidRPr="00CF49A8" w:rsidP="009A6180" w14:paraId="0610D3D4" w14:textId="66B7AC36">
      <w:pPr>
        <w:pStyle w:val="Heading1"/>
        <w:ind w:left="360" w:hanging="360"/>
        <w:rPr>
          <w:b w:val="0"/>
          <w:bCs/>
          <w:sz w:val="26"/>
          <w:szCs w:val="24"/>
        </w:rPr>
      </w:pPr>
      <w:r w:rsidRPr="00CF49A8">
        <w:rPr>
          <w:sz w:val="26"/>
          <w:szCs w:val="24"/>
        </w:rPr>
        <w:t>2.</w:t>
      </w:r>
      <w:r w:rsidRPr="00CF49A8">
        <w:rPr>
          <w:sz w:val="26"/>
          <w:szCs w:val="24"/>
        </w:rPr>
        <w:tab/>
        <w:t>HOW, BY WHOM, AND FOR WHAT PURPOSE THE INFORMATION IS TO BE USED AND THE CONSEQUENCES OF NOT COLLECTING THE INFORMATION</w:t>
      </w:r>
    </w:p>
    <w:p w:rsidR="00CD130C" w:rsidRPr="00CF49A8" w:rsidP="00CD130C" w14:paraId="2F566F1B" w14:textId="445EAB59">
      <w:pPr>
        <w:ind w:left="0" w:firstLine="0"/>
        <w:rPr>
          <w:sz w:val="26"/>
        </w:rPr>
      </w:pPr>
    </w:p>
    <w:p w:rsidR="00AD238D" w:rsidRPr="00CF49A8" w:rsidP="00AD238D" w14:paraId="4548779B" w14:textId="046EF2E5">
      <w:pPr>
        <w:ind w:left="0" w:firstLine="0"/>
        <w:rPr>
          <w:sz w:val="26"/>
        </w:rPr>
      </w:pPr>
      <w:r w:rsidRPr="00CF49A8">
        <w:rPr>
          <w:sz w:val="26"/>
        </w:rPr>
        <w:t>FERC-730 is necessary for the Commission to evaluate its incentive rates policies and to demonstrate the effectiveness of these policies.  Without it, the Commission would have difficulty tracking the progress of electric transmission projects granted incentive-based rates</w:t>
      </w:r>
      <w:r w:rsidRPr="00CF49A8" w:rsidR="00076C85">
        <w:rPr>
          <w:sz w:val="26"/>
        </w:rPr>
        <w:t xml:space="preserve">, </w:t>
      </w:r>
      <w:r w:rsidRPr="00CF49A8">
        <w:rPr>
          <w:sz w:val="26"/>
        </w:rPr>
        <w:t xml:space="preserve">and would have difficulty assessing the state of the industry with respect to transmission investment and tracking whether incentive rates are effective in encouraging the development of appropriate transmission infrastructure. </w:t>
      </w:r>
    </w:p>
    <w:p w:rsidR="00AD238D" w:rsidRPr="00CF49A8" w:rsidP="00AD238D" w14:paraId="08215080" w14:textId="77777777">
      <w:pPr>
        <w:ind w:left="0" w:firstLine="0"/>
        <w:rPr>
          <w:sz w:val="26"/>
        </w:rPr>
      </w:pPr>
    </w:p>
    <w:p w:rsidR="00AD238D" w:rsidRPr="00CF49A8" w:rsidP="00AD238D" w14:paraId="0119F427" w14:textId="5569C8D6">
      <w:pPr>
        <w:ind w:left="0" w:firstLine="0"/>
        <w:rPr>
          <w:sz w:val="26"/>
        </w:rPr>
      </w:pPr>
      <w:r w:rsidRPr="00CF49A8">
        <w:rPr>
          <w:sz w:val="26"/>
        </w:rPr>
        <w:t>FERC-730 tracks data such as incremental investment costs for each of the succeeding five (5) calendar years as defined within 18 CFR Part 101 Accounts 350-359.  These cap</w:t>
      </w:r>
      <w:r w:rsidRPr="00CF49A8">
        <w:rPr>
          <w:sz w:val="26"/>
        </w:rPr>
        <w:t>ital investments could incorporate explicit costs as applicable to land/land rights in connection to transmission operations, any structure/improvements used in connection with transmission operations, or other investments made to change or improve transmission operations.  Information regarding expected project status and completion date is also included within FERC-730 data.  The data must be filed by April 18 of the year following issuance of the applicable incentive-based rate.  Subsequent filings are d</w:t>
      </w:r>
      <w:r w:rsidRPr="00CF49A8">
        <w:rPr>
          <w:sz w:val="26"/>
        </w:rPr>
        <w:t>ue each April 18 thereafter.</w:t>
      </w:r>
    </w:p>
    <w:p w:rsidR="00CD130C" w:rsidRPr="00CF49A8" w:rsidP="00CD130C" w14:paraId="7EE04055" w14:textId="77777777">
      <w:pPr>
        <w:ind w:left="0" w:firstLine="0"/>
        <w:rPr>
          <w:sz w:val="26"/>
        </w:rPr>
      </w:pPr>
    </w:p>
    <w:p w:rsidR="00DD755B" w:rsidRPr="00CF49A8" w14:paraId="2103C97A" w14:textId="77777777">
      <w:pPr>
        <w:spacing w:after="0" w:line="240" w:lineRule="auto"/>
        <w:rPr>
          <w:sz w:val="26"/>
        </w:rPr>
      </w:pPr>
    </w:p>
    <w:p w:rsidR="00DD755B" w:rsidRPr="00CF49A8" w:rsidP="00AA6B3D" w14:paraId="29550957" w14:textId="51806727">
      <w:pPr>
        <w:pStyle w:val="ListParagraph"/>
        <w:numPr>
          <w:ilvl w:val="0"/>
          <w:numId w:val="27"/>
        </w:numPr>
        <w:spacing w:after="13" w:line="250" w:lineRule="auto"/>
        <w:ind w:left="360"/>
        <w:rPr>
          <w:sz w:val="26"/>
        </w:rPr>
      </w:pPr>
      <w:r w:rsidRPr="00CF49A8">
        <w:rPr>
          <w:b/>
          <w:bCs/>
          <w:sz w:val="26"/>
        </w:rPr>
        <w:t>DE</w:t>
      </w:r>
      <w:r w:rsidRPr="00CF49A8" w:rsidR="00383548">
        <w:rPr>
          <w:b/>
          <w:sz w:val="26"/>
        </w:rPr>
        <w:t xml:space="preserve">SCRIBE ANY CONSIDERATION OF THE USE OF IMPROVED TECHNOLOGY TO REDUCE BURDEN AND TECHNICAL OR LEGAL OBSTACLES TO REDUCING BURDEN. </w:t>
      </w:r>
    </w:p>
    <w:p w:rsidR="00DD755B" w:rsidRPr="00CF49A8" w14:paraId="3E54150A" w14:textId="77777777">
      <w:pPr>
        <w:spacing w:after="0" w:line="259" w:lineRule="auto"/>
        <w:ind w:left="720" w:firstLine="0"/>
        <w:rPr>
          <w:sz w:val="26"/>
        </w:rPr>
      </w:pPr>
      <w:r w:rsidRPr="00CF49A8">
        <w:rPr>
          <w:b/>
          <w:sz w:val="26"/>
        </w:rPr>
        <w:t xml:space="preserve"> </w:t>
      </w:r>
    </w:p>
    <w:p w:rsidR="00DD755B" w:rsidRPr="00CF49A8" w14:paraId="252BF150" w14:textId="2A404667">
      <w:pPr>
        <w:ind w:left="0" w:firstLine="0"/>
        <w:rPr>
          <w:sz w:val="26"/>
        </w:rPr>
      </w:pPr>
      <w:r w:rsidRPr="00CF49A8">
        <w:rPr>
          <w:sz w:val="26"/>
        </w:rPr>
        <w:t>FERC-730 is filed electronically.</w:t>
      </w:r>
    </w:p>
    <w:p w:rsidR="00DD755B" w:rsidRPr="00CF49A8" w14:paraId="21D54D33" w14:textId="77777777">
      <w:pPr>
        <w:spacing w:after="0" w:line="259" w:lineRule="auto"/>
        <w:ind w:left="360" w:firstLine="0"/>
        <w:rPr>
          <w:sz w:val="26"/>
        </w:rPr>
      </w:pPr>
    </w:p>
    <w:p w:rsidR="00DD755B" w:rsidRPr="00CF49A8" w:rsidP="00AA6B3D" w14:paraId="0EFF6DC7" w14:textId="5CFEFA15">
      <w:pPr>
        <w:pStyle w:val="ListParagraph"/>
        <w:numPr>
          <w:ilvl w:val="0"/>
          <w:numId w:val="27"/>
        </w:numPr>
        <w:spacing w:after="13" w:line="250" w:lineRule="auto"/>
        <w:ind w:left="360"/>
        <w:rPr>
          <w:b/>
          <w:sz w:val="26"/>
        </w:rPr>
      </w:pPr>
      <w:r w:rsidRPr="00CF49A8">
        <w:rPr>
          <w:b/>
          <w:sz w:val="26"/>
        </w:rPr>
        <w:t>DESCRIBE EFFORTS TO IDENTIFY DUPLICATION AND SHOW SPECIFICALLY WHY ANY SIMILAR INFORMATION ALREADY AVAILABLE CANNOT BE USED OR MODIFIED FOR USE FOR THE PURPOSE(S) DESCRIBED IN INSTRUCTION NO. 2.</w:t>
      </w:r>
    </w:p>
    <w:p w:rsidR="00DD755B" w:rsidRPr="00CF49A8" w14:paraId="7823335F" w14:textId="77777777">
      <w:pPr>
        <w:spacing w:after="0" w:line="259" w:lineRule="auto"/>
        <w:ind w:left="360" w:hanging="720"/>
        <w:rPr>
          <w:sz w:val="26"/>
        </w:rPr>
      </w:pPr>
    </w:p>
    <w:p w:rsidR="00DD755B" w:rsidRPr="00CF49A8" w14:paraId="7976B9AC" w14:textId="2FC19CBA">
      <w:pPr>
        <w:spacing w:after="0" w:line="240" w:lineRule="auto"/>
        <w:ind w:left="0" w:firstLine="0"/>
        <w:rPr>
          <w:sz w:val="26"/>
        </w:rPr>
      </w:pPr>
      <w:r w:rsidRPr="00CF49A8">
        <w:rPr>
          <w:sz w:val="26"/>
        </w:rPr>
        <w:t>The Commission periodically reviews filing requirements concurrent with OMB review or as the Commission deems necessary to eliminate duplicative filings and to minimize the filing burden.  Th</w:t>
      </w:r>
      <w:r w:rsidRPr="00CF49A8" w:rsidR="00DB63A4">
        <w:rPr>
          <w:sz w:val="26"/>
        </w:rPr>
        <w:t xml:space="preserve">is collection of information pertains to the Commission’s </w:t>
      </w:r>
      <w:r w:rsidRPr="00CF49A8" w:rsidR="0022273B">
        <w:rPr>
          <w:sz w:val="26"/>
        </w:rPr>
        <w:t>unique jurisdiction under the FPA.  Theref</w:t>
      </w:r>
      <w:r w:rsidRPr="00CF49A8" w:rsidR="001A72E8">
        <w:rPr>
          <w:sz w:val="26"/>
        </w:rPr>
        <w:t>o</w:t>
      </w:r>
      <w:r w:rsidRPr="00CF49A8" w:rsidR="0022273B">
        <w:rPr>
          <w:sz w:val="26"/>
        </w:rPr>
        <w:t xml:space="preserve">re, </w:t>
      </w:r>
      <w:r w:rsidRPr="00CF49A8">
        <w:rPr>
          <w:sz w:val="26"/>
        </w:rPr>
        <w:t xml:space="preserve">the Commission </w:t>
      </w:r>
      <w:r w:rsidRPr="00CF49A8" w:rsidR="0022273B">
        <w:rPr>
          <w:sz w:val="26"/>
        </w:rPr>
        <w:t>is</w:t>
      </w:r>
      <w:r w:rsidRPr="00CF49A8">
        <w:rPr>
          <w:sz w:val="26"/>
        </w:rPr>
        <w:t xml:space="preserve"> the only entity requiring this information.  The Commission is unaware of any other source of this information.</w:t>
      </w:r>
    </w:p>
    <w:p w:rsidR="00DD755B" w:rsidRPr="00CF49A8" w14:paraId="5ABDE68E" w14:textId="77777777">
      <w:pPr>
        <w:spacing w:after="0" w:line="259" w:lineRule="auto"/>
        <w:ind w:left="360" w:firstLine="0"/>
        <w:rPr>
          <w:sz w:val="26"/>
        </w:rPr>
      </w:pPr>
      <w:r w:rsidRPr="00CF49A8">
        <w:rPr>
          <w:sz w:val="26"/>
        </w:rPr>
        <w:t xml:space="preserve"> </w:t>
      </w:r>
    </w:p>
    <w:p w:rsidR="00DD755B" w:rsidRPr="00CF49A8" w:rsidP="00E762AA" w14:paraId="4242C528" w14:textId="77777777">
      <w:pPr>
        <w:pStyle w:val="Heading1"/>
        <w:numPr>
          <w:ilvl w:val="0"/>
          <w:numId w:val="27"/>
        </w:numPr>
        <w:spacing w:line="250" w:lineRule="auto"/>
        <w:ind w:left="360"/>
        <w:rPr>
          <w:b w:val="0"/>
          <w:sz w:val="26"/>
        </w:rPr>
      </w:pPr>
      <w:r w:rsidRPr="00CF49A8">
        <w:rPr>
          <w:sz w:val="26"/>
        </w:rPr>
        <w:t>METHODS USED TO MINIMIZE BURDEN IN COLLECTION OF INFORMATION INVOLVING SMALL ENTITIES</w:t>
      </w:r>
      <w:r w:rsidRPr="00CF49A8">
        <w:rPr>
          <w:b w:val="0"/>
          <w:sz w:val="26"/>
        </w:rPr>
        <w:t xml:space="preserve"> </w:t>
      </w:r>
    </w:p>
    <w:p w:rsidR="00DD755B" w:rsidRPr="00CF49A8" w14:paraId="169254C5" w14:textId="77777777">
      <w:pPr>
        <w:rPr>
          <w:sz w:val="26"/>
        </w:rPr>
      </w:pPr>
    </w:p>
    <w:p w:rsidR="00DD755B" w:rsidRPr="00CF49A8" w:rsidP="004F08C6" w14:paraId="06CAB6C1" w14:textId="7176A7C5">
      <w:pPr>
        <w:ind w:left="0" w:firstLine="0"/>
        <w:rPr>
          <w:szCs w:val="24"/>
        </w:rPr>
      </w:pPr>
      <w:r w:rsidRPr="00CF49A8">
        <w:rPr>
          <w:szCs w:val="24"/>
        </w:rPr>
        <w:t>The six R</w:t>
      </w:r>
      <w:r w:rsidR="003326AD">
        <w:rPr>
          <w:szCs w:val="24"/>
        </w:rPr>
        <w:t xml:space="preserve">egional Transmission Organizations and </w:t>
      </w:r>
      <w:r w:rsidR="004E138D">
        <w:rPr>
          <w:szCs w:val="24"/>
        </w:rPr>
        <w:t>Independent</w:t>
      </w:r>
      <w:r w:rsidR="003326AD">
        <w:rPr>
          <w:szCs w:val="24"/>
        </w:rPr>
        <w:t xml:space="preserve"> System Operators </w:t>
      </w:r>
      <w:r w:rsidRPr="00CF49A8">
        <w:rPr>
          <w:szCs w:val="24"/>
        </w:rPr>
        <w:t xml:space="preserve"> (SPP, MISO, PJM, ISO New England, NYISO, and CAISO) each employ more than 500 employees and are not considered small</w:t>
      </w:r>
      <w:r w:rsidRPr="00CF49A8" w:rsidR="002E4DEE">
        <w:rPr>
          <w:szCs w:val="24"/>
        </w:rPr>
        <w:t xml:space="preserve"> </w:t>
      </w:r>
      <w:r w:rsidRPr="00CF49A8" w:rsidR="002E4DEE">
        <w:rPr>
          <w:bCs/>
          <w:szCs w:val="24"/>
        </w:rPr>
        <w:t>under the standards of the Small Business Administration at 13 CFR 131.201</w:t>
      </w:r>
      <w:r w:rsidRPr="00CF49A8">
        <w:rPr>
          <w:szCs w:val="24"/>
        </w:rPr>
        <w:t>.</w:t>
      </w:r>
      <w:r w:rsidRPr="00CF49A8" w:rsidR="004D0AEB">
        <w:rPr>
          <w:szCs w:val="24"/>
        </w:rPr>
        <w:t xml:space="preserve">  </w:t>
      </w:r>
      <w:r w:rsidRPr="00CF49A8">
        <w:rPr>
          <w:szCs w:val="24"/>
        </w:rPr>
        <w:t xml:space="preserve">We estimate that </w:t>
      </w:r>
      <w:r w:rsidRPr="00CF49A8" w:rsidR="00D92E9B">
        <w:rPr>
          <w:szCs w:val="24"/>
        </w:rPr>
        <w:t>6</w:t>
      </w:r>
      <w:r w:rsidR="00D06030">
        <w:rPr>
          <w:szCs w:val="24"/>
        </w:rPr>
        <w:t>4</w:t>
      </w:r>
      <w:r w:rsidRPr="00CF49A8" w:rsidR="00D92E9B">
        <w:rPr>
          <w:szCs w:val="24"/>
        </w:rPr>
        <w:t xml:space="preserve"> </w:t>
      </w:r>
      <w:r w:rsidRPr="00CF49A8">
        <w:rPr>
          <w:szCs w:val="24"/>
        </w:rPr>
        <w:t xml:space="preserve">transmission owners and six planning authorities are also affected by </w:t>
      </w:r>
      <w:r w:rsidRPr="00CF49A8" w:rsidR="002E4DEE">
        <w:rPr>
          <w:szCs w:val="24"/>
        </w:rPr>
        <w:t>FERC-730</w:t>
      </w:r>
      <w:r w:rsidRPr="00CF49A8" w:rsidR="009D5403">
        <w:rPr>
          <w:szCs w:val="24"/>
        </w:rPr>
        <w:t>.</w:t>
      </w:r>
      <w:r w:rsidRPr="00CF49A8" w:rsidR="007D7F40">
        <w:rPr>
          <w:szCs w:val="24"/>
        </w:rPr>
        <w:t xml:space="preserve">  </w:t>
      </w:r>
      <w:r w:rsidR="003326AD">
        <w:rPr>
          <w:szCs w:val="24"/>
        </w:rPr>
        <w:t xml:space="preserve">As stated above, </w:t>
      </w:r>
      <w:r w:rsidRPr="00CF49A8" w:rsidR="003326AD">
        <w:rPr>
          <w:sz w:val="26"/>
        </w:rPr>
        <w:t>FERC-730 is filed electronicall</w:t>
      </w:r>
      <w:r w:rsidR="003326AD">
        <w:rPr>
          <w:sz w:val="26"/>
        </w:rPr>
        <w:t>y.  E</w:t>
      </w:r>
      <w:r w:rsidR="003326AD">
        <w:rPr>
          <w:szCs w:val="24"/>
        </w:rPr>
        <w:t>lectronic filing minimizes the burden on small entities.</w:t>
      </w:r>
    </w:p>
    <w:p w:rsidR="005B2BD2" w:rsidRPr="00CF49A8" w14:paraId="0229F13E" w14:textId="77777777">
      <w:pPr>
        <w:pStyle w:val="FERCparanumber"/>
        <w:numPr>
          <w:ilvl w:val="0"/>
          <w:numId w:val="0"/>
        </w:numPr>
        <w:spacing w:line="240" w:lineRule="auto"/>
        <w:rPr>
          <w:szCs w:val="24"/>
        </w:rPr>
      </w:pPr>
    </w:p>
    <w:p w:rsidR="00DD755B" w:rsidRPr="00CF49A8" w14:paraId="204356C5" w14:textId="062161DC">
      <w:pPr>
        <w:pStyle w:val="Heading1"/>
        <w:ind w:left="360" w:hanging="360"/>
        <w:rPr>
          <w:sz w:val="26"/>
        </w:rPr>
      </w:pPr>
      <w:r w:rsidRPr="00CF49A8">
        <w:rPr>
          <w:bCs/>
          <w:sz w:val="26"/>
        </w:rPr>
        <w:t>6.</w:t>
      </w:r>
      <w:r w:rsidRPr="00CF49A8">
        <w:rPr>
          <w:rFonts w:eastAsia="Arial" w:cs="Arial"/>
          <w:b w:val="0"/>
          <w:sz w:val="26"/>
        </w:rPr>
        <w:t xml:space="preserve"> </w:t>
      </w:r>
      <w:r w:rsidRPr="00CF49A8">
        <w:rPr>
          <w:sz w:val="26"/>
        </w:rPr>
        <w:t>CONSEQUENCE TO FEDERAL PROGRAM IF COLLECTION WERE CO</w:t>
      </w:r>
      <w:r w:rsidRPr="00CF49A8" w:rsidR="002F6BEA">
        <w:rPr>
          <w:sz w:val="26"/>
        </w:rPr>
        <w:t>N</w:t>
      </w:r>
      <w:r w:rsidRPr="00CF49A8">
        <w:rPr>
          <w:sz w:val="26"/>
        </w:rPr>
        <w:t>DUCTED LESS FREQUENTLY</w:t>
      </w:r>
      <w:r w:rsidRPr="00CF49A8">
        <w:rPr>
          <w:b w:val="0"/>
          <w:sz w:val="26"/>
        </w:rPr>
        <w:t xml:space="preserve"> </w:t>
      </w:r>
    </w:p>
    <w:p w:rsidR="00DD755B" w:rsidRPr="00CF49A8" w14:paraId="106F1196" w14:textId="0E1459FF">
      <w:pPr>
        <w:spacing w:after="0" w:line="259" w:lineRule="auto"/>
        <w:ind w:left="360" w:firstLine="0"/>
        <w:rPr>
          <w:sz w:val="26"/>
        </w:rPr>
      </w:pPr>
      <w:r w:rsidRPr="00CF49A8">
        <w:rPr>
          <w:sz w:val="26"/>
        </w:rPr>
        <w:t xml:space="preserve"> </w:t>
      </w:r>
    </w:p>
    <w:p w:rsidR="00DD755B" w:rsidRPr="00CF49A8" w:rsidP="002418C8" w14:paraId="10026D41" w14:textId="77777777">
      <w:pPr>
        <w:spacing w:after="0" w:line="259" w:lineRule="auto"/>
        <w:ind w:left="0" w:firstLine="0"/>
        <w:rPr>
          <w:sz w:val="26"/>
        </w:rPr>
      </w:pPr>
      <w:r w:rsidRPr="00CF49A8">
        <w:rPr>
          <w:sz w:val="26"/>
        </w:rPr>
        <w:t>To ensure that existing and proposed incentives are successfully meeting the objectives of FPA section 219, the Commission needs industry data, projections, and related information that detail the level of investment and the costs and benefits of transmission projects.  Without collecting this information, the Commission would be unable to evaluate the effectiveness of its incentive program.</w:t>
      </w:r>
    </w:p>
    <w:p w:rsidR="00DD755B" w:rsidRPr="00CF49A8" w14:paraId="48260E36" w14:textId="77777777">
      <w:pPr>
        <w:spacing w:after="0" w:line="259" w:lineRule="auto"/>
        <w:ind w:left="360" w:firstLine="0"/>
        <w:rPr>
          <w:sz w:val="26"/>
        </w:rPr>
      </w:pPr>
    </w:p>
    <w:p w:rsidR="00DD755B" w:rsidRPr="00CF49A8" w14:paraId="76FBFEE9" w14:textId="77777777">
      <w:pPr>
        <w:spacing w:after="13"/>
        <w:ind w:left="360" w:hanging="360"/>
        <w:rPr>
          <w:sz w:val="26"/>
        </w:rPr>
      </w:pPr>
      <w:r w:rsidRPr="00CF49A8">
        <w:rPr>
          <w:b/>
          <w:bCs/>
          <w:sz w:val="26"/>
        </w:rPr>
        <w:t>7.</w:t>
      </w:r>
      <w:r w:rsidRPr="00CF49A8">
        <w:rPr>
          <w:rFonts w:eastAsia="Arial" w:cs="Arial"/>
          <w:sz w:val="26"/>
        </w:rPr>
        <w:t xml:space="preserve"> </w:t>
      </w:r>
      <w:r w:rsidRPr="00CF49A8">
        <w:rPr>
          <w:b/>
          <w:sz w:val="26"/>
        </w:rPr>
        <w:t>EXPLAIN ANY SPECIAL CIRCUMSTANCES RELATING TO THE INFORMATION COLLECTION</w:t>
      </w:r>
      <w:r w:rsidRPr="00CF49A8">
        <w:rPr>
          <w:sz w:val="26"/>
        </w:rPr>
        <w:t xml:space="preserve"> </w:t>
      </w:r>
    </w:p>
    <w:p w:rsidR="00DD755B" w:rsidRPr="00CF49A8" w14:paraId="3C6F33EB" w14:textId="77777777">
      <w:pPr>
        <w:spacing w:after="0" w:line="259" w:lineRule="auto"/>
        <w:ind w:left="360" w:firstLine="0"/>
        <w:rPr>
          <w:sz w:val="26"/>
        </w:rPr>
      </w:pPr>
      <w:r w:rsidRPr="00CF49A8">
        <w:rPr>
          <w:b/>
          <w:sz w:val="26"/>
        </w:rPr>
        <w:t xml:space="preserve"> </w:t>
      </w:r>
    </w:p>
    <w:p w:rsidR="00DD755B" w:rsidRPr="00CF49A8" w14:paraId="1127A134" w14:textId="5E680382">
      <w:pPr>
        <w:ind w:left="0" w:firstLine="0"/>
        <w:rPr>
          <w:sz w:val="26"/>
        </w:rPr>
      </w:pPr>
      <w:r w:rsidRPr="00CF49A8">
        <w:rPr>
          <w:sz w:val="26"/>
        </w:rPr>
        <w:t xml:space="preserve">The </w:t>
      </w:r>
      <w:r w:rsidRPr="00CF49A8" w:rsidR="00383548">
        <w:rPr>
          <w:sz w:val="26"/>
        </w:rPr>
        <w:t>FERC-730 information collection</w:t>
      </w:r>
      <w:r w:rsidRPr="00CF49A8">
        <w:rPr>
          <w:sz w:val="26"/>
        </w:rPr>
        <w:t xml:space="preserve"> has</w:t>
      </w:r>
      <w:r w:rsidRPr="00CF49A8" w:rsidR="00383548">
        <w:rPr>
          <w:sz w:val="26"/>
        </w:rPr>
        <w:t xml:space="preserve"> no special circumstances.   </w:t>
      </w:r>
    </w:p>
    <w:p w:rsidR="00DD755B" w:rsidRPr="00CF49A8" w14:paraId="386011C5" w14:textId="77777777">
      <w:pPr>
        <w:spacing w:after="0" w:line="259" w:lineRule="auto"/>
        <w:ind w:left="360" w:firstLine="0"/>
        <w:rPr>
          <w:sz w:val="26"/>
        </w:rPr>
      </w:pPr>
      <w:r w:rsidRPr="00CF49A8">
        <w:rPr>
          <w:sz w:val="26"/>
        </w:rPr>
        <w:t xml:space="preserve"> </w:t>
      </w:r>
    </w:p>
    <w:p w:rsidR="00DD755B" w:rsidRPr="00CF49A8" w:rsidP="002F6BEA" w14:paraId="2324FCFD" w14:textId="725114E7">
      <w:pPr>
        <w:pStyle w:val="Heading1"/>
        <w:ind w:left="355" w:hanging="355"/>
        <w:rPr>
          <w:sz w:val="26"/>
        </w:rPr>
      </w:pPr>
      <w:r w:rsidRPr="00CF49A8">
        <w:rPr>
          <w:bCs/>
          <w:sz w:val="26"/>
        </w:rPr>
        <w:t>8.</w:t>
      </w:r>
      <w:r w:rsidRPr="00CF49A8">
        <w:rPr>
          <w:rFonts w:eastAsia="Arial" w:cs="Arial"/>
          <w:b w:val="0"/>
          <w:sz w:val="26"/>
        </w:rPr>
        <w:t xml:space="preserve"> </w:t>
      </w:r>
      <w:r w:rsidRPr="00CF49A8">
        <w:rPr>
          <w:sz w:val="26"/>
        </w:rPr>
        <w:t xml:space="preserve">DESCRIBE EFFORTS TO CONSULT OUTSIDE THE AGENCY: SUMMARIZE PUBLIC COMMENTS AND THE AGENCY'S RESPONSE TO THESE COMMENTS </w:t>
      </w:r>
    </w:p>
    <w:p w:rsidR="00DD755B" w:rsidRPr="00CF49A8" w14:paraId="5D0A4110" w14:textId="77777777">
      <w:pPr>
        <w:spacing w:after="0" w:line="238" w:lineRule="auto"/>
        <w:ind w:left="0" w:right="54" w:firstLine="0"/>
        <w:jc w:val="right"/>
        <w:rPr>
          <w:sz w:val="26"/>
        </w:rPr>
      </w:pPr>
    </w:p>
    <w:p w:rsidR="00DD755B" w:rsidRPr="00CF49A8" w14:paraId="6D6EE3C4" w14:textId="700F3497">
      <w:pPr>
        <w:spacing w:after="0" w:line="238" w:lineRule="auto"/>
        <w:ind w:left="0" w:right="54" w:firstLine="0"/>
        <w:rPr>
          <w:sz w:val="26"/>
        </w:rPr>
      </w:pPr>
      <w:r w:rsidRPr="006C1801">
        <w:rPr>
          <w:sz w:val="26"/>
        </w:rPr>
        <w:t>T</w:t>
      </w:r>
      <w:r w:rsidRPr="006C1801" w:rsidR="00F65940">
        <w:rPr>
          <w:sz w:val="26"/>
        </w:rPr>
        <w:t xml:space="preserve">he Commission published </w:t>
      </w:r>
      <w:r w:rsidRPr="006C1801" w:rsidR="00EC718C">
        <w:rPr>
          <w:sz w:val="26"/>
        </w:rPr>
        <w:t>a 60-day notice in the Federal Register (</w:t>
      </w:r>
      <w:r w:rsidRPr="006C1801">
        <w:rPr>
          <w:sz w:val="26"/>
        </w:rPr>
        <w:t>91</w:t>
      </w:r>
      <w:r w:rsidRPr="006C1801" w:rsidR="00570917">
        <w:rPr>
          <w:sz w:val="26"/>
        </w:rPr>
        <w:t xml:space="preserve"> FR </w:t>
      </w:r>
      <w:r w:rsidRPr="006C1801">
        <w:rPr>
          <w:sz w:val="26"/>
        </w:rPr>
        <w:t>7473</w:t>
      </w:r>
      <w:r w:rsidRPr="006C1801" w:rsidR="00EC718C">
        <w:rPr>
          <w:sz w:val="26"/>
        </w:rPr>
        <w:t>)</w:t>
      </w:r>
      <w:r w:rsidRPr="006C1801">
        <w:rPr>
          <w:sz w:val="26"/>
        </w:rPr>
        <w:t xml:space="preserve"> on February 18, 2026</w:t>
      </w:r>
      <w:r w:rsidRPr="006C1801" w:rsidR="00EC718C">
        <w:rPr>
          <w:sz w:val="26"/>
        </w:rPr>
        <w:t xml:space="preserve">, </w:t>
      </w:r>
      <w:r w:rsidRPr="006C1801" w:rsidR="00067819">
        <w:rPr>
          <w:sz w:val="26"/>
        </w:rPr>
        <w:t>No comments were received</w:t>
      </w:r>
      <w:r w:rsidRPr="006C1801" w:rsidR="00F14169">
        <w:rPr>
          <w:sz w:val="26"/>
        </w:rPr>
        <w:t xml:space="preserve"> in response to the 60-day notice.</w:t>
      </w:r>
      <w:r w:rsidRPr="006C1801" w:rsidR="00067819">
        <w:rPr>
          <w:sz w:val="26"/>
        </w:rPr>
        <w:t xml:space="preserve">  </w:t>
      </w:r>
      <w:r w:rsidRPr="006C1801" w:rsidR="007E3A27">
        <w:rPr>
          <w:sz w:val="26"/>
        </w:rPr>
        <w:t xml:space="preserve">On </w:t>
      </w:r>
      <w:r w:rsidRPr="006C1801" w:rsidR="000F16FD">
        <w:rPr>
          <w:sz w:val="26"/>
        </w:rPr>
        <w:t xml:space="preserve">June </w:t>
      </w:r>
      <w:r w:rsidRPr="006C1801" w:rsidR="000F5466">
        <w:rPr>
          <w:sz w:val="26"/>
        </w:rPr>
        <w:t>30</w:t>
      </w:r>
      <w:r w:rsidRPr="006C1801" w:rsidR="006F6441">
        <w:rPr>
          <w:sz w:val="26"/>
        </w:rPr>
        <w:t>, 202</w:t>
      </w:r>
      <w:r w:rsidRPr="006C1801" w:rsidR="005F4B09">
        <w:rPr>
          <w:sz w:val="26"/>
        </w:rPr>
        <w:t>6</w:t>
      </w:r>
      <w:r w:rsidRPr="006C1801" w:rsidR="0042752F">
        <w:rPr>
          <w:sz w:val="26"/>
        </w:rPr>
        <w:t xml:space="preserve"> the Commission published a 30-day notice in the Federal </w:t>
      </w:r>
      <w:r w:rsidRPr="006C1801" w:rsidR="0033778C">
        <w:rPr>
          <w:sz w:val="26"/>
        </w:rPr>
        <w:t>Register (</w:t>
      </w:r>
      <w:r w:rsidRPr="006C1801" w:rsidR="005F4B09">
        <w:rPr>
          <w:sz w:val="26"/>
        </w:rPr>
        <w:t>91</w:t>
      </w:r>
      <w:r w:rsidRPr="006C1801" w:rsidR="006F6441">
        <w:rPr>
          <w:sz w:val="26"/>
        </w:rPr>
        <w:t xml:space="preserve"> FR </w:t>
      </w:r>
      <w:r w:rsidRPr="006C1801" w:rsidR="000F5466">
        <w:rPr>
          <w:sz w:val="26"/>
        </w:rPr>
        <w:t>39609</w:t>
      </w:r>
      <w:r w:rsidRPr="006C1801" w:rsidR="0033778C">
        <w:rPr>
          <w:sz w:val="26"/>
        </w:rPr>
        <w:t>).</w:t>
      </w:r>
      <w:r w:rsidRPr="006C1801" w:rsidR="00F14169">
        <w:rPr>
          <w:sz w:val="26"/>
        </w:rPr>
        <w:t xml:space="preserve">  </w:t>
      </w:r>
    </w:p>
    <w:p w:rsidR="00DD755B" w:rsidRPr="00CF49A8" w14:paraId="5224D80E" w14:textId="77777777">
      <w:pPr>
        <w:spacing w:after="0" w:line="259" w:lineRule="auto"/>
        <w:ind w:left="360" w:firstLine="0"/>
        <w:rPr>
          <w:sz w:val="26"/>
        </w:rPr>
      </w:pPr>
      <w:r w:rsidRPr="00CF49A8">
        <w:rPr>
          <w:sz w:val="26"/>
        </w:rPr>
        <w:t xml:space="preserve"> </w:t>
      </w:r>
    </w:p>
    <w:p w:rsidR="00DD755B" w:rsidRPr="00CF49A8" w14:paraId="6A8162AE" w14:textId="77777777">
      <w:pPr>
        <w:spacing w:after="13"/>
        <w:ind w:left="0" w:firstLine="0"/>
        <w:rPr>
          <w:sz w:val="26"/>
        </w:rPr>
      </w:pPr>
      <w:r w:rsidRPr="00CF49A8">
        <w:rPr>
          <w:b/>
          <w:bCs/>
          <w:sz w:val="26"/>
        </w:rPr>
        <w:t>9</w:t>
      </w:r>
      <w:r w:rsidRPr="00CF49A8">
        <w:rPr>
          <w:sz w:val="26"/>
        </w:rPr>
        <w:t>.</w:t>
      </w:r>
      <w:r w:rsidRPr="00CF49A8">
        <w:rPr>
          <w:rFonts w:eastAsia="Arial" w:cs="Arial"/>
          <w:sz w:val="26"/>
        </w:rPr>
        <w:t xml:space="preserve"> </w:t>
      </w:r>
      <w:r w:rsidRPr="00CF49A8">
        <w:rPr>
          <w:b/>
          <w:sz w:val="26"/>
        </w:rPr>
        <w:t>EXPLAIN ANY PAYMENT OR GIFTS TO RESPONDENTS</w:t>
      </w:r>
      <w:r w:rsidRPr="00CF49A8">
        <w:rPr>
          <w:sz w:val="26"/>
        </w:rPr>
        <w:t xml:space="preserve"> </w:t>
      </w:r>
    </w:p>
    <w:p w:rsidR="00DD755B" w:rsidRPr="00CF49A8" w14:paraId="00B3A600" w14:textId="77777777">
      <w:pPr>
        <w:spacing w:after="0" w:line="259" w:lineRule="auto"/>
        <w:ind w:left="360" w:firstLine="0"/>
        <w:rPr>
          <w:sz w:val="26"/>
        </w:rPr>
      </w:pPr>
      <w:r w:rsidRPr="00CF49A8">
        <w:rPr>
          <w:b/>
          <w:sz w:val="26"/>
        </w:rPr>
        <w:t xml:space="preserve"> </w:t>
      </w:r>
    </w:p>
    <w:p w:rsidR="00DD755B" w:rsidRPr="00CF49A8" w14:paraId="06F3F9FD" w14:textId="77777777">
      <w:pPr>
        <w:ind w:left="0" w:firstLine="0"/>
        <w:rPr>
          <w:sz w:val="26"/>
        </w:rPr>
      </w:pPr>
      <w:r w:rsidRPr="00CF49A8">
        <w:rPr>
          <w:sz w:val="26"/>
        </w:rPr>
        <w:t xml:space="preserve">No payments or gifts are made to respondents. </w:t>
      </w:r>
    </w:p>
    <w:p w:rsidR="00DD755B" w:rsidRPr="00CF49A8" w14:paraId="58CA03ED" w14:textId="77777777">
      <w:pPr>
        <w:spacing w:after="0" w:line="259" w:lineRule="auto"/>
        <w:ind w:left="360" w:firstLine="0"/>
        <w:rPr>
          <w:sz w:val="26"/>
        </w:rPr>
      </w:pPr>
      <w:r w:rsidRPr="00CF49A8">
        <w:rPr>
          <w:sz w:val="26"/>
        </w:rPr>
        <w:t xml:space="preserve"> </w:t>
      </w:r>
    </w:p>
    <w:p w:rsidR="00DD755B" w:rsidRPr="00CF49A8" w14:paraId="59057619" w14:textId="77777777">
      <w:pPr>
        <w:pStyle w:val="Heading1"/>
        <w:ind w:left="0" w:firstLine="0"/>
        <w:rPr>
          <w:sz w:val="26"/>
        </w:rPr>
      </w:pPr>
      <w:r w:rsidRPr="00CF49A8">
        <w:rPr>
          <w:bCs/>
          <w:sz w:val="26"/>
        </w:rPr>
        <w:t>10.</w:t>
      </w:r>
      <w:r w:rsidRPr="00CF49A8">
        <w:rPr>
          <w:rFonts w:eastAsia="Arial" w:cs="Arial"/>
          <w:b w:val="0"/>
          <w:sz w:val="26"/>
        </w:rPr>
        <w:t xml:space="preserve"> </w:t>
      </w:r>
      <w:r w:rsidRPr="00CF49A8">
        <w:rPr>
          <w:sz w:val="26"/>
        </w:rPr>
        <w:t>DESCRIBE ANY ASSURANCE OF CONFIDENTIALITY PROVIDED TO RESPONDENTS</w:t>
      </w:r>
      <w:r w:rsidRPr="00CF49A8">
        <w:rPr>
          <w:b w:val="0"/>
          <w:sz w:val="26"/>
        </w:rPr>
        <w:t xml:space="preserve"> </w:t>
      </w:r>
    </w:p>
    <w:p w:rsidR="005273AB" w:rsidRPr="00CF49A8" w:rsidP="0042745C" w14:paraId="2A213874" w14:textId="77777777">
      <w:pPr>
        <w:spacing w:after="0" w:line="240" w:lineRule="auto"/>
        <w:ind w:left="0" w:firstLine="0"/>
        <w:rPr>
          <w:b/>
          <w:sz w:val="26"/>
        </w:rPr>
      </w:pPr>
    </w:p>
    <w:p w:rsidR="00DD755B" w:rsidRPr="00CF49A8" w:rsidP="0042745C" w14:paraId="5EC7668D" w14:textId="05B0B762">
      <w:pPr>
        <w:spacing w:after="0" w:line="240" w:lineRule="auto"/>
        <w:ind w:left="0" w:firstLine="0"/>
        <w:rPr>
          <w:sz w:val="26"/>
        </w:rPr>
      </w:pPr>
      <w:r w:rsidRPr="00CF49A8">
        <w:rPr>
          <w:bCs/>
          <w:sz w:val="26"/>
        </w:rPr>
        <w:t xml:space="preserve">The Commission does not provide any </w:t>
      </w:r>
      <w:r w:rsidRPr="00CF49A8" w:rsidR="009B7D16">
        <w:rPr>
          <w:bCs/>
          <w:sz w:val="26"/>
        </w:rPr>
        <w:t xml:space="preserve">general </w:t>
      </w:r>
      <w:r w:rsidRPr="00CF49A8">
        <w:rPr>
          <w:bCs/>
          <w:sz w:val="26"/>
        </w:rPr>
        <w:t>assurance of confidentiality in this collection of information.  However,</w:t>
      </w:r>
      <w:r w:rsidRPr="00CF49A8" w:rsidR="00383548">
        <w:rPr>
          <w:sz w:val="26"/>
        </w:rPr>
        <w:t xml:space="preserve"> filers may submit specific requests for confidential treatment to the extent permitted by law, as set forth in 18 CFR section 388.112. </w:t>
      </w:r>
    </w:p>
    <w:p w:rsidR="00DD755B" w:rsidRPr="00CF49A8" w:rsidP="0042745C" w14:paraId="22B61461" w14:textId="4ADBD733">
      <w:pPr>
        <w:spacing w:after="0" w:line="259" w:lineRule="auto"/>
        <w:ind w:left="0" w:firstLine="0"/>
        <w:rPr>
          <w:sz w:val="26"/>
        </w:rPr>
      </w:pPr>
    </w:p>
    <w:p w:rsidR="00DD755B" w:rsidRPr="00CF49A8" w14:paraId="3E3888F5" w14:textId="77777777">
      <w:pPr>
        <w:spacing w:after="13"/>
        <w:ind w:left="360" w:hanging="360"/>
        <w:rPr>
          <w:sz w:val="26"/>
        </w:rPr>
      </w:pPr>
      <w:r w:rsidRPr="00CF49A8">
        <w:rPr>
          <w:b/>
          <w:bCs/>
          <w:sz w:val="26"/>
        </w:rPr>
        <w:t>11</w:t>
      </w:r>
      <w:r w:rsidRPr="00CF49A8">
        <w:rPr>
          <w:sz w:val="26"/>
        </w:rPr>
        <w:t>.</w:t>
      </w:r>
      <w:r w:rsidRPr="00CF49A8">
        <w:rPr>
          <w:rFonts w:eastAsia="Arial" w:cs="Arial"/>
          <w:sz w:val="26"/>
        </w:rPr>
        <w:t xml:space="preserve"> </w:t>
      </w:r>
      <w:r w:rsidRPr="00CF49A8">
        <w:rPr>
          <w:b/>
          <w:sz w:val="26"/>
        </w:rPr>
        <w:t>PROVIDE ADDITIONAL JUSTIFICATION FOR ANY QUESTIONS OF A SENSITIVE NATURE, SUCH AS SEXUAL BEHAVIOR AND ATTITUDES, RELIGIOUS BELIEFS, AND OTHER MATTERS THAT ARE COMMONLY CONSIDERED PRIVATE</w:t>
      </w:r>
      <w:r w:rsidRPr="00CF49A8">
        <w:rPr>
          <w:sz w:val="26"/>
        </w:rPr>
        <w:t xml:space="preserve"> </w:t>
      </w:r>
    </w:p>
    <w:p w:rsidR="00DD755B" w:rsidRPr="00CF49A8" w14:paraId="19EAEFEE" w14:textId="77777777">
      <w:pPr>
        <w:spacing w:after="0" w:line="259" w:lineRule="auto"/>
        <w:ind w:left="360" w:hanging="360"/>
        <w:rPr>
          <w:sz w:val="26"/>
        </w:rPr>
      </w:pPr>
      <w:r w:rsidRPr="00CF49A8">
        <w:rPr>
          <w:sz w:val="26"/>
        </w:rPr>
        <w:t xml:space="preserve"> </w:t>
      </w:r>
    </w:p>
    <w:p w:rsidR="00DD755B" w:rsidRPr="00CF49A8" w14:paraId="65033787" w14:textId="77777777">
      <w:pPr>
        <w:spacing w:after="197"/>
        <w:ind w:left="0" w:firstLine="0"/>
        <w:rPr>
          <w:sz w:val="26"/>
        </w:rPr>
      </w:pPr>
      <w:r w:rsidRPr="00CF49A8">
        <w:rPr>
          <w:sz w:val="26"/>
        </w:rPr>
        <w:t xml:space="preserve">The collections do not contain any questions of a sensitive nature. </w:t>
      </w:r>
    </w:p>
    <w:p w:rsidR="00DD755B" w:rsidRPr="00CF49A8" w14:paraId="47762D7B" w14:textId="77777777">
      <w:pPr>
        <w:pStyle w:val="Heading1"/>
        <w:ind w:left="355" w:hanging="355"/>
        <w:rPr>
          <w:sz w:val="26"/>
        </w:rPr>
      </w:pPr>
      <w:r w:rsidRPr="00CF49A8">
        <w:rPr>
          <w:bCs/>
          <w:sz w:val="26"/>
        </w:rPr>
        <w:t>12</w:t>
      </w:r>
      <w:r w:rsidRPr="00CF49A8">
        <w:rPr>
          <w:b w:val="0"/>
          <w:sz w:val="26"/>
        </w:rPr>
        <w:t>.</w:t>
      </w:r>
      <w:r w:rsidRPr="00CF49A8">
        <w:rPr>
          <w:rFonts w:eastAsia="Arial" w:cs="Arial"/>
          <w:b w:val="0"/>
          <w:sz w:val="26"/>
        </w:rPr>
        <w:t xml:space="preserve"> </w:t>
      </w:r>
      <w:r w:rsidRPr="00CF49A8">
        <w:rPr>
          <w:sz w:val="26"/>
        </w:rPr>
        <w:t>ESTIMATED BURDEN OF COLLECTION OF INFORMATION</w:t>
      </w:r>
      <w:r w:rsidRPr="00CF49A8">
        <w:rPr>
          <w:b w:val="0"/>
          <w:sz w:val="26"/>
        </w:rPr>
        <w:t xml:space="preserve"> </w:t>
      </w:r>
    </w:p>
    <w:p w:rsidR="00DD755B" w:rsidRPr="00CF49A8" w14:paraId="1BBB8FB1" w14:textId="77777777">
      <w:pPr>
        <w:spacing w:after="0" w:line="259" w:lineRule="auto"/>
        <w:ind w:left="360" w:firstLine="0"/>
        <w:rPr>
          <w:rFonts w:eastAsia="Calibri" w:cs="Calibri"/>
          <w:sz w:val="26"/>
        </w:rPr>
      </w:pPr>
    </w:p>
    <w:p w:rsidR="00C769D8" w:rsidRPr="00CF49A8" w:rsidP="00D463FB" w14:paraId="79183478" w14:textId="76262254">
      <w:pPr>
        <w:tabs>
          <w:tab w:val="num" w:pos="720"/>
        </w:tabs>
        <w:spacing w:after="0" w:line="240" w:lineRule="auto"/>
        <w:ind w:left="0" w:firstLine="0"/>
        <w:rPr>
          <w:rFonts w:eastAsia="Calibri"/>
          <w:color w:val="auto"/>
          <w:sz w:val="26"/>
          <w:szCs w:val="24"/>
        </w:rPr>
      </w:pPr>
      <w:r w:rsidRPr="00CF49A8">
        <w:rPr>
          <w:rFonts w:eastAsia="Calibri"/>
          <w:color w:val="auto"/>
          <w:sz w:val="26"/>
          <w:szCs w:val="24"/>
        </w:rPr>
        <w:t xml:space="preserve">The Commission estimates that </w:t>
      </w:r>
      <w:r w:rsidRPr="00CF49A8" w:rsidR="009B7D16">
        <w:rPr>
          <w:rFonts w:eastAsia="Calibri"/>
          <w:color w:val="auto"/>
          <w:sz w:val="26"/>
          <w:szCs w:val="24"/>
        </w:rPr>
        <w:t xml:space="preserve">FERC-730 involves </w:t>
      </w:r>
      <w:r w:rsidRPr="00CF49A8">
        <w:rPr>
          <w:rFonts w:eastAsia="Calibri"/>
          <w:color w:val="auto"/>
          <w:sz w:val="26"/>
          <w:szCs w:val="24"/>
        </w:rPr>
        <w:t xml:space="preserve">the </w:t>
      </w:r>
      <w:r w:rsidRPr="00CF49A8" w:rsidR="005F50F6">
        <w:rPr>
          <w:rFonts w:eastAsia="Calibri"/>
          <w:color w:val="auto"/>
          <w:sz w:val="26"/>
          <w:szCs w:val="24"/>
        </w:rPr>
        <w:t xml:space="preserve">following </w:t>
      </w:r>
      <w:r w:rsidRPr="00CF49A8">
        <w:rPr>
          <w:rFonts w:eastAsia="Calibri"/>
          <w:color w:val="auto"/>
          <w:sz w:val="26"/>
          <w:szCs w:val="24"/>
        </w:rPr>
        <w:t>burden</w:t>
      </w:r>
      <w:r>
        <w:rPr>
          <w:rFonts w:eastAsia="Calibri"/>
          <w:bCs/>
          <w:color w:val="auto"/>
          <w:sz w:val="26"/>
          <w:szCs w:val="24"/>
          <w:vertAlign w:val="superscript"/>
        </w:rPr>
        <w:footnoteReference w:id="5"/>
      </w:r>
      <w:r w:rsidRPr="00CF49A8">
        <w:rPr>
          <w:rFonts w:eastAsia="Calibri"/>
          <w:color w:val="auto"/>
          <w:sz w:val="26"/>
          <w:szCs w:val="24"/>
        </w:rPr>
        <w:t xml:space="preserve"> and cost</w:t>
      </w:r>
      <w:r w:rsidRPr="00CF49A8" w:rsidR="00F34787">
        <w:rPr>
          <w:rFonts w:eastAsia="Calibri"/>
          <w:color w:val="auto"/>
          <w:sz w:val="26"/>
          <w:szCs w:val="24"/>
        </w:rPr>
        <w:t>.</w:t>
      </w:r>
      <w:r>
        <w:rPr>
          <w:rFonts w:eastAsia="Calibri"/>
          <w:bCs/>
          <w:color w:val="auto"/>
          <w:sz w:val="26"/>
          <w:szCs w:val="24"/>
          <w:vertAlign w:val="superscript"/>
        </w:rPr>
        <w:footnoteReference w:id="6"/>
      </w:r>
    </w:p>
    <w:p w:rsidR="00F34787" w:rsidRPr="00CF49A8" w:rsidP="00D463FB" w14:paraId="2FFFF630" w14:textId="77777777">
      <w:pPr>
        <w:tabs>
          <w:tab w:val="num" w:pos="720"/>
        </w:tabs>
        <w:spacing w:after="0" w:line="240" w:lineRule="auto"/>
        <w:ind w:left="0" w:firstLine="0"/>
        <w:rPr>
          <w:rFonts w:eastAsia="Calibri"/>
          <w:color w:val="auto"/>
          <w:sz w:val="26"/>
          <w:szCs w:val="24"/>
        </w:rPr>
      </w:pPr>
    </w:p>
    <w:tbl>
      <w:tblPr>
        <w:tblW w:w="94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1750"/>
        <w:gridCol w:w="1548"/>
        <w:gridCol w:w="1370"/>
        <w:gridCol w:w="1637"/>
        <w:gridCol w:w="1435"/>
      </w:tblGrid>
      <w:tr w14:paraId="508C72DF" w14:textId="77777777" w:rsidTr="006C1801">
        <w:tblPrEx>
          <w:tblW w:w="94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1682" w:type="dxa"/>
            <w:shd w:val="clear" w:color="auto" w:fill="D9D9D9"/>
            <w:vAlign w:val="bottom"/>
          </w:tcPr>
          <w:p w:rsidR="00AA3872" w:rsidRPr="00AA3872" w:rsidP="00AA3872" w14:paraId="2B19831F"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A.</w:t>
            </w:r>
          </w:p>
          <w:p w:rsidR="00AA3872" w:rsidRPr="00AA3872" w:rsidP="00AA3872" w14:paraId="0CC818F4"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Number of Respondents</w:t>
            </w:r>
            <w:r w:rsidRPr="00AA3872">
              <w:rPr>
                <w:rFonts w:eastAsia="Calibri"/>
                <w:b/>
                <w:color w:val="auto"/>
                <w:sz w:val="26"/>
                <w:szCs w:val="26"/>
              </w:rPr>
              <w:br/>
            </w:r>
          </w:p>
        </w:tc>
        <w:tc>
          <w:tcPr>
            <w:tcW w:w="1750" w:type="dxa"/>
            <w:shd w:val="clear" w:color="auto" w:fill="D9D9D9"/>
            <w:vAlign w:val="bottom"/>
          </w:tcPr>
          <w:p w:rsidR="00AA3872" w:rsidRPr="00AA3872" w:rsidP="00AA3872" w14:paraId="7371F033"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B.</w:t>
            </w:r>
          </w:p>
          <w:p w:rsidR="00AA3872" w:rsidRPr="00AA3872" w:rsidP="00AA3872" w14:paraId="7518D121"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Annual Number of Responses per Respondent</w:t>
            </w:r>
          </w:p>
          <w:p w:rsidR="00AA3872" w:rsidRPr="00AA3872" w:rsidP="00AA3872" w14:paraId="541BE1E3" w14:textId="77777777">
            <w:pPr>
              <w:spacing w:after="0" w:line="240" w:lineRule="auto"/>
              <w:ind w:left="0" w:firstLine="0"/>
              <w:jc w:val="center"/>
              <w:rPr>
                <w:rFonts w:eastAsia="Calibri"/>
                <w:b/>
                <w:color w:val="auto"/>
                <w:sz w:val="26"/>
                <w:szCs w:val="26"/>
              </w:rPr>
            </w:pPr>
          </w:p>
        </w:tc>
        <w:tc>
          <w:tcPr>
            <w:tcW w:w="1548" w:type="dxa"/>
            <w:shd w:val="clear" w:color="auto" w:fill="D9D9D9"/>
            <w:vAlign w:val="bottom"/>
          </w:tcPr>
          <w:p w:rsidR="00AA3872" w:rsidRPr="00AA3872" w:rsidP="00AA3872" w14:paraId="4CB5A7E4"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C.</w:t>
            </w:r>
          </w:p>
          <w:p w:rsidR="00AA3872" w:rsidRPr="00AA3872" w:rsidP="00AA3872" w14:paraId="6FF6BB47"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Total Number of Responses (Column A x Column B)</w:t>
            </w:r>
          </w:p>
        </w:tc>
        <w:tc>
          <w:tcPr>
            <w:tcW w:w="1370" w:type="dxa"/>
            <w:shd w:val="clear" w:color="auto" w:fill="D9D9D9"/>
            <w:vAlign w:val="bottom"/>
          </w:tcPr>
          <w:p w:rsidR="00AA3872" w:rsidRPr="00AA3872" w:rsidP="00AA3872" w14:paraId="677B90BF"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D.</w:t>
            </w:r>
          </w:p>
          <w:p w:rsidR="00AA3872" w:rsidRPr="00AA3872" w:rsidP="00AA3872" w14:paraId="0A6CD644"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Average Burden &amp; Cost Per Response</w:t>
            </w:r>
            <w:r>
              <w:rPr>
                <w:rFonts w:eastAsia="Calibri"/>
                <w:color w:val="auto"/>
                <w:sz w:val="26"/>
                <w:szCs w:val="26"/>
                <w:vertAlign w:val="superscript"/>
              </w:rPr>
              <w:footnoteReference w:id="7"/>
            </w:r>
          </w:p>
        </w:tc>
        <w:tc>
          <w:tcPr>
            <w:tcW w:w="1637" w:type="dxa"/>
            <w:shd w:val="clear" w:color="auto" w:fill="D9D9D9"/>
            <w:vAlign w:val="bottom"/>
          </w:tcPr>
          <w:p w:rsidR="00AA3872" w:rsidRPr="00AA3872" w:rsidP="00AA3872" w14:paraId="0C64B13E"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E.</w:t>
            </w:r>
          </w:p>
          <w:p w:rsidR="00AA3872" w:rsidRPr="00AA3872" w:rsidP="00AA3872" w14:paraId="0DF05664"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Total Annual Burden Hours &amp; Total Annual Cost</w:t>
            </w:r>
          </w:p>
          <w:p w:rsidR="00AA3872" w:rsidRPr="00AA3872" w:rsidP="00AA3872" w14:paraId="582EFD03"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(Column C x Column D)</w:t>
            </w:r>
          </w:p>
        </w:tc>
        <w:tc>
          <w:tcPr>
            <w:tcW w:w="1435" w:type="dxa"/>
            <w:shd w:val="clear" w:color="auto" w:fill="D9D9D9"/>
            <w:vAlign w:val="bottom"/>
          </w:tcPr>
          <w:p w:rsidR="00AA3872" w:rsidRPr="00AA3872" w:rsidP="00AA3872" w14:paraId="1DAD4F42"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F.</w:t>
            </w:r>
          </w:p>
          <w:p w:rsidR="00AA3872" w:rsidRPr="00AA3872" w:rsidP="00AA3872" w14:paraId="1CC6516C"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Cost per Respondent</w:t>
            </w:r>
          </w:p>
          <w:p w:rsidR="00AA3872" w:rsidRPr="00AA3872" w:rsidP="00AA3872" w14:paraId="7F2E69C8"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w:t>
            </w:r>
          </w:p>
          <w:p w:rsidR="00AA3872" w:rsidRPr="00AA3872" w:rsidP="00AA3872" w14:paraId="329D1DC9" w14:textId="77777777">
            <w:pPr>
              <w:spacing w:after="0" w:line="240" w:lineRule="auto"/>
              <w:ind w:left="0" w:firstLine="0"/>
              <w:jc w:val="center"/>
              <w:rPr>
                <w:rFonts w:eastAsia="Calibri"/>
                <w:b/>
                <w:color w:val="auto"/>
                <w:sz w:val="26"/>
                <w:szCs w:val="26"/>
              </w:rPr>
            </w:pPr>
            <w:r w:rsidRPr="00AA3872">
              <w:rPr>
                <w:rFonts w:eastAsia="Calibri"/>
                <w:b/>
                <w:color w:val="auto"/>
                <w:sz w:val="26"/>
                <w:szCs w:val="26"/>
              </w:rPr>
              <w:t>(Column E ÷ Column A)</w:t>
            </w:r>
          </w:p>
        </w:tc>
      </w:tr>
      <w:tr w14:paraId="68317562" w14:textId="77777777" w:rsidTr="006C1801">
        <w:tblPrEx>
          <w:tblW w:w="9422" w:type="dxa"/>
          <w:tblInd w:w="-72" w:type="dxa"/>
          <w:tblLook w:val="01E0"/>
        </w:tblPrEx>
        <w:trPr>
          <w:cantSplit/>
          <w:trHeight w:val="300"/>
        </w:trPr>
        <w:tc>
          <w:tcPr>
            <w:tcW w:w="1682" w:type="dxa"/>
            <w:vAlign w:val="bottom"/>
          </w:tcPr>
          <w:p w:rsidR="00AA3872" w:rsidRPr="00AA3872" w:rsidP="00AA3872" w14:paraId="371FC076" w14:textId="77777777">
            <w:pPr>
              <w:spacing w:after="0" w:line="240" w:lineRule="auto"/>
              <w:ind w:left="0" w:firstLine="0"/>
              <w:jc w:val="right"/>
              <w:rPr>
                <w:rFonts w:eastAsia="Calibri"/>
                <w:color w:val="auto"/>
                <w:sz w:val="26"/>
                <w:szCs w:val="26"/>
              </w:rPr>
            </w:pPr>
            <w:r w:rsidRPr="00AA3872">
              <w:rPr>
                <w:rFonts w:eastAsia="Calibri"/>
                <w:color w:val="auto"/>
                <w:sz w:val="26"/>
                <w:szCs w:val="26"/>
              </w:rPr>
              <w:t>64</w:t>
            </w:r>
          </w:p>
        </w:tc>
        <w:tc>
          <w:tcPr>
            <w:tcW w:w="1750" w:type="dxa"/>
            <w:vAlign w:val="bottom"/>
          </w:tcPr>
          <w:p w:rsidR="00AA3872" w:rsidRPr="00AA3872" w:rsidP="00AA3872" w14:paraId="58273479" w14:textId="77777777">
            <w:pPr>
              <w:tabs>
                <w:tab w:val="left" w:pos="1253"/>
                <w:tab w:val="right" w:pos="1481"/>
              </w:tabs>
              <w:spacing w:after="0" w:line="240" w:lineRule="auto"/>
              <w:ind w:left="0" w:firstLine="0"/>
              <w:jc w:val="right"/>
              <w:rPr>
                <w:rFonts w:eastAsia="Calibri"/>
                <w:color w:val="auto"/>
                <w:sz w:val="26"/>
                <w:szCs w:val="26"/>
              </w:rPr>
            </w:pPr>
            <w:r w:rsidRPr="00AA3872">
              <w:rPr>
                <w:rFonts w:eastAsia="Calibri"/>
                <w:color w:val="auto"/>
                <w:sz w:val="26"/>
                <w:szCs w:val="26"/>
              </w:rPr>
              <w:t>1</w:t>
            </w:r>
          </w:p>
        </w:tc>
        <w:tc>
          <w:tcPr>
            <w:tcW w:w="1548" w:type="dxa"/>
            <w:vAlign w:val="bottom"/>
          </w:tcPr>
          <w:p w:rsidR="00AA3872" w:rsidRPr="00AA3872" w:rsidP="00AA3872" w14:paraId="7314FC57" w14:textId="77777777">
            <w:pPr>
              <w:spacing w:after="0" w:line="240" w:lineRule="auto"/>
              <w:ind w:left="0" w:firstLine="0"/>
              <w:jc w:val="right"/>
              <w:rPr>
                <w:rFonts w:eastAsia="Calibri"/>
                <w:color w:val="auto"/>
                <w:sz w:val="26"/>
                <w:szCs w:val="26"/>
              </w:rPr>
            </w:pPr>
            <w:r w:rsidRPr="00AA3872">
              <w:rPr>
                <w:rFonts w:eastAsia="Calibri"/>
                <w:color w:val="auto"/>
                <w:sz w:val="26"/>
                <w:szCs w:val="26"/>
              </w:rPr>
              <w:t>64</w:t>
            </w:r>
          </w:p>
        </w:tc>
        <w:tc>
          <w:tcPr>
            <w:tcW w:w="1370" w:type="dxa"/>
            <w:vAlign w:val="bottom"/>
          </w:tcPr>
          <w:p w:rsidR="00AA3872" w:rsidRPr="00AA3872" w:rsidP="006C1801" w14:paraId="07219583" w14:textId="77777777">
            <w:pPr>
              <w:spacing w:after="0" w:line="240" w:lineRule="auto"/>
              <w:ind w:left="0" w:firstLine="0"/>
              <w:jc w:val="center"/>
              <w:rPr>
                <w:rFonts w:eastAsia="Calibri"/>
                <w:color w:val="auto"/>
                <w:sz w:val="26"/>
                <w:szCs w:val="26"/>
              </w:rPr>
            </w:pPr>
            <w:r w:rsidRPr="00AA3872">
              <w:rPr>
                <w:rFonts w:eastAsia="Calibri"/>
                <w:color w:val="auto"/>
                <w:sz w:val="26"/>
                <w:szCs w:val="26"/>
              </w:rPr>
              <w:t>30 hours;</w:t>
            </w:r>
          </w:p>
          <w:p w:rsidR="00AA3872" w:rsidRPr="00AA3872" w:rsidP="006C1801" w14:paraId="2E717877" w14:textId="77777777">
            <w:pPr>
              <w:spacing w:after="0" w:line="240" w:lineRule="auto"/>
              <w:ind w:left="0" w:firstLine="0"/>
              <w:jc w:val="center"/>
              <w:rPr>
                <w:rFonts w:eastAsia="Calibri"/>
                <w:color w:val="auto"/>
                <w:sz w:val="26"/>
                <w:szCs w:val="26"/>
              </w:rPr>
            </w:pPr>
            <w:r w:rsidRPr="00AA3872">
              <w:rPr>
                <w:rFonts w:eastAsia="Calibri"/>
                <w:color w:val="auto"/>
                <w:sz w:val="26"/>
                <w:szCs w:val="26"/>
              </w:rPr>
              <w:t>$3,060</w:t>
            </w:r>
          </w:p>
        </w:tc>
        <w:tc>
          <w:tcPr>
            <w:tcW w:w="1637" w:type="dxa"/>
            <w:vAlign w:val="bottom"/>
          </w:tcPr>
          <w:p w:rsidR="00AA3872" w:rsidRPr="00AA3872" w:rsidP="006C1801" w14:paraId="522737B5" w14:textId="77777777">
            <w:pPr>
              <w:spacing w:after="0" w:line="240" w:lineRule="auto"/>
              <w:ind w:left="0" w:firstLine="0"/>
              <w:jc w:val="center"/>
              <w:rPr>
                <w:rFonts w:eastAsia="Calibri"/>
                <w:color w:val="auto"/>
                <w:sz w:val="26"/>
                <w:szCs w:val="26"/>
              </w:rPr>
            </w:pPr>
            <w:r w:rsidRPr="00AA3872">
              <w:rPr>
                <w:rFonts w:eastAsia="Calibri"/>
                <w:color w:val="auto"/>
                <w:sz w:val="26"/>
                <w:szCs w:val="26"/>
              </w:rPr>
              <w:t>1,920 hours;</w:t>
            </w:r>
          </w:p>
          <w:p w:rsidR="00AA3872" w:rsidRPr="00AA3872" w:rsidP="006C1801" w14:paraId="459109B9" w14:textId="235C209C">
            <w:pPr>
              <w:spacing w:after="0" w:line="240" w:lineRule="auto"/>
              <w:ind w:left="0" w:firstLine="0"/>
              <w:jc w:val="center"/>
              <w:rPr>
                <w:rFonts w:eastAsia="Calibri"/>
                <w:color w:val="auto"/>
                <w:sz w:val="26"/>
                <w:szCs w:val="26"/>
              </w:rPr>
            </w:pPr>
            <w:r w:rsidRPr="00AA3872">
              <w:rPr>
                <w:rFonts w:eastAsia="Calibri"/>
                <w:color w:val="auto"/>
                <w:sz w:val="26"/>
                <w:szCs w:val="26"/>
              </w:rPr>
              <w:t>$195,840</w:t>
            </w:r>
          </w:p>
        </w:tc>
        <w:tc>
          <w:tcPr>
            <w:tcW w:w="1435" w:type="dxa"/>
            <w:vAlign w:val="bottom"/>
          </w:tcPr>
          <w:p w:rsidR="00AA3872" w:rsidRPr="00AA3872" w:rsidP="006C1801" w14:paraId="682ED86B" w14:textId="77777777">
            <w:pPr>
              <w:spacing w:after="0" w:line="240" w:lineRule="auto"/>
              <w:ind w:left="1440" w:hanging="1440"/>
              <w:jc w:val="center"/>
              <w:rPr>
                <w:rFonts w:eastAsia="Calibri"/>
                <w:color w:val="auto"/>
                <w:sz w:val="26"/>
                <w:szCs w:val="26"/>
              </w:rPr>
            </w:pPr>
            <w:r w:rsidRPr="00AA3872">
              <w:rPr>
                <w:rFonts w:eastAsia="Calibri"/>
                <w:color w:val="auto"/>
                <w:sz w:val="26"/>
                <w:szCs w:val="26"/>
              </w:rPr>
              <w:t>$3,060</w:t>
            </w:r>
          </w:p>
        </w:tc>
      </w:tr>
      <w:tr w14:paraId="03C740F7" w14:textId="77777777" w:rsidTr="006C1801">
        <w:tblPrEx>
          <w:tblW w:w="9422" w:type="dxa"/>
          <w:tblInd w:w="-72" w:type="dxa"/>
          <w:tblLook w:val="01E0"/>
        </w:tblPrEx>
        <w:trPr>
          <w:cantSplit/>
          <w:trHeight w:val="300"/>
        </w:trPr>
        <w:tc>
          <w:tcPr>
            <w:tcW w:w="1682" w:type="dxa"/>
            <w:vAlign w:val="bottom"/>
          </w:tcPr>
          <w:p w:rsidR="00AA3872" w:rsidRPr="00AA3872" w:rsidP="00AA3872" w14:paraId="4C711BC0" w14:textId="77777777">
            <w:pPr>
              <w:spacing w:after="0" w:line="240" w:lineRule="auto"/>
              <w:ind w:left="0" w:firstLine="0"/>
              <w:jc w:val="right"/>
              <w:rPr>
                <w:rFonts w:eastAsia="Calibri"/>
                <w:color w:val="auto"/>
                <w:sz w:val="26"/>
                <w:szCs w:val="26"/>
              </w:rPr>
            </w:pPr>
            <w:r w:rsidRPr="00AA3872">
              <w:rPr>
                <w:rFonts w:eastAsia="Calibri"/>
                <w:b/>
                <w:bCs/>
                <w:color w:val="auto"/>
                <w:sz w:val="26"/>
                <w:szCs w:val="26"/>
              </w:rPr>
              <w:t>Totals</w:t>
            </w:r>
          </w:p>
        </w:tc>
        <w:tc>
          <w:tcPr>
            <w:tcW w:w="1750" w:type="dxa"/>
            <w:shd w:val="clear" w:color="auto" w:fill="D9D9D9"/>
            <w:vAlign w:val="bottom"/>
          </w:tcPr>
          <w:p w:rsidR="00AA3872" w:rsidRPr="00AA3872" w:rsidP="00AA3872" w14:paraId="2A4264DA" w14:textId="77777777">
            <w:pPr>
              <w:tabs>
                <w:tab w:val="left" w:pos="1253"/>
                <w:tab w:val="right" w:pos="1481"/>
              </w:tabs>
              <w:spacing w:after="0" w:line="240" w:lineRule="auto"/>
              <w:ind w:left="0" w:firstLine="0"/>
              <w:jc w:val="right"/>
              <w:rPr>
                <w:rFonts w:eastAsia="Calibri"/>
                <w:color w:val="auto"/>
                <w:sz w:val="26"/>
                <w:szCs w:val="26"/>
              </w:rPr>
            </w:pPr>
          </w:p>
        </w:tc>
        <w:tc>
          <w:tcPr>
            <w:tcW w:w="1548" w:type="dxa"/>
            <w:vAlign w:val="bottom"/>
          </w:tcPr>
          <w:p w:rsidR="00AA3872" w:rsidRPr="00AA3872" w:rsidP="00AA3872" w14:paraId="5023B957" w14:textId="77777777">
            <w:pPr>
              <w:spacing w:after="0" w:line="240" w:lineRule="auto"/>
              <w:ind w:left="0" w:firstLine="0"/>
              <w:jc w:val="right"/>
              <w:rPr>
                <w:rFonts w:eastAsia="Calibri"/>
                <w:color w:val="auto"/>
                <w:sz w:val="26"/>
                <w:szCs w:val="26"/>
              </w:rPr>
            </w:pPr>
            <w:r w:rsidRPr="00AA3872">
              <w:rPr>
                <w:rFonts w:eastAsia="Calibri"/>
                <w:color w:val="auto"/>
                <w:sz w:val="26"/>
                <w:szCs w:val="26"/>
              </w:rPr>
              <w:t>64</w:t>
            </w:r>
          </w:p>
        </w:tc>
        <w:tc>
          <w:tcPr>
            <w:tcW w:w="1370" w:type="dxa"/>
            <w:shd w:val="clear" w:color="auto" w:fill="D9D9D9"/>
            <w:vAlign w:val="bottom"/>
          </w:tcPr>
          <w:p w:rsidR="00AA3872" w:rsidRPr="00AA3872" w:rsidP="00AA3872" w14:paraId="058A16A6" w14:textId="77777777">
            <w:pPr>
              <w:spacing w:after="0" w:line="240" w:lineRule="auto"/>
              <w:ind w:left="0" w:firstLine="0"/>
              <w:jc w:val="right"/>
              <w:rPr>
                <w:rFonts w:eastAsia="Calibri"/>
                <w:color w:val="auto"/>
                <w:sz w:val="26"/>
                <w:szCs w:val="26"/>
              </w:rPr>
            </w:pPr>
          </w:p>
        </w:tc>
        <w:tc>
          <w:tcPr>
            <w:tcW w:w="1637" w:type="dxa"/>
            <w:vAlign w:val="bottom"/>
          </w:tcPr>
          <w:p w:rsidR="00AA3872" w:rsidRPr="00AA3872" w:rsidP="00AA3872" w14:paraId="1D93A231" w14:textId="77777777">
            <w:pPr>
              <w:spacing w:after="0" w:line="240" w:lineRule="auto"/>
              <w:ind w:left="0" w:firstLine="0"/>
              <w:jc w:val="right"/>
              <w:rPr>
                <w:rFonts w:eastAsia="Calibri"/>
                <w:color w:val="auto"/>
                <w:sz w:val="26"/>
                <w:szCs w:val="26"/>
              </w:rPr>
            </w:pPr>
          </w:p>
        </w:tc>
        <w:tc>
          <w:tcPr>
            <w:tcW w:w="1435" w:type="dxa"/>
            <w:shd w:val="clear" w:color="auto" w:fill="D9D9D9"/>
            <w:vAlign w:val="bottom"/>
          </w:tcPr>
          <w:p w:rsidR="00AA3872" w:rsidRPr="00AA3872" w:rsidP="00AA3872" w14:paraId="43C1FB01" w14:textId="77777777">
            <w:pPr>
              <w:spacing w:after="0" w:line="240" w:lineRule="auto"/>
              <w:ind w:left="1440" w:hanging="1440"/>
              <w:jc w:val="right"/>
              <w:rPr>
                <w:rFonts w:eastAsia="Calibri"/>
                <w:color w:val="auto"/>
                <w:sz w:val="26"/>
                <w:szCs w:val="26"/>
              </w:rPr>
            </w:pPr>
          </w:p>
        </w:tc>
      </w:tr>
    </w:tbl>
    <w:p w:rsidR="00382259" w:rsidRPr="00CF49A8" w14:paraId="37F4F4DE" w14:textId="77777777">
      <w:pPr>
        <w:tabs>
          <w:tab w:val="num" w:pos="720"/>
        </w:tabs>
        <w:spacing w:after="0" w:line="240" w:lineRule="auto"/>
        <w:ind w:left="0" w:firstLine="0"/>
        <w:rPr>
          <w:rFonts w:eastAsia="Calibri"/>
          <w:color w:val="auto"/>
          <w:sz w:val="26"/>
          <w:szCs w:val="24"/>
        </w:rPr>
      </w:pPr>
    </w:p>
    <w:p w:rsidR="00DD755B" w:rsidRPr="00CF49A8" w14:paraId="22BC559A" w14:textId="77777777">
      <w:pPr>
        <w:spacing w:after="0" w:line="259" w:lineRule="auto"/>
        <w:ind w:left="360" w:firstLine="0"/>
        <w:rPr>
          <w:sz w:val="26"/>
        </w:rPr>
      </w:pPr>
    </w:p>
    <w:p w:rsidR="00DD755B" w:rsidRPr="00CF49A8" w14:paraId="2E2CB862" w14:textId="77777777">
      <w:pPr>
        <w:pStyle w:val="Heading1"/>
        <w:ind w:left="0" w:firstLine="0"/>
        <w:rPr>
          <w:sz w:val="26"/>
        </w:rPr>
      </w:pPr>
      <w:r w:rsidRPr="00CF49A8">
        <w:rPr>
          <w:bCs/>
          <w:sz w:val="26"/>
        </w:rPr>
        <w:t>13.</w:t>
      </w:r>
      <w:r w:rsidRPr="00CF49A8">
        <w:rPr>
          <w:rFonts w:eastAsia="Arial" w:cs="Arial"/>
          <w:b w:val="0"/>
          <w:sz w:val="26"/>
        </w:rPr>
        <w:t xml:space="preserve"> </w:t>
      </w:r>
      <w:r w:rsidRPr="00CF49A8">
        <w:rPr>
          <w:sz w:val="26"/>
        </w:rPr>
        <w:t>ESTIMATE OF THE TOTAL ANNUAL COST BURDEN TO RESPONDENTS</w:t>
      </w:r>
      <w:r w:rsidRPr="00CF49A8">
        <w:rPr>
          <w:b w:val="0"/>
          <w:sz w:val="26"/>
        </w:rPr>
        <w:t xml:space="preserve"> </w:t>
      </w:r>
    </w:p>
    <w:p w:rsidR="00DD755B" w:rsidRPr="00CF49A8" w14:paraId="04AA4D5D" w14:textId="77777777">
      <w:pPr>
        <w:spacing w:after="0" w:line="259" w:lineRule="auto"/>
        <w:ind w:left="360" w:firstLine="0"/>
        <w:rPr>
          <w:sz w:val="26"/>
        </w:rPr>
      </w:pPr>
      <w:r w:rsidRPr="00CF49A8">
        <w:rPr>
          <w:sz w:val="26"/>
        </w:rPr>
        <w:t xml:space="preserve"> </w:t>
      </w:r>
    </w:p>
    <w:p w:rsidR="00DD755B" w:rsidRPr="00CF49A8" w14:paraId="1466A063" w14:textId="77777777">
      <w:pPr>
        <w:spacing w:after="0" w:line="259" w:lineRule="auto"/>
        <w:ind w:left="0" w:firstLine="0"/>
        <w:rPr>
          <w:sz w:val="26"/>
        </w:rPr>
      </w:pPr>
      <w:r w:rsidRPr="00CF49A8">
        <w:rPr>
          <w:sz w:val="26"/>
        </w:rPr>
        <w:t>There are no start-up or other non-labor costs.</w:t>
      </w:r>
    </w:p>
    <w:p w:rsidR="00DD755B" w:rsidRPr="00CF49A8" w14:paraId="4023A0E6" w14:textId="77777777">
      <w:pPr>
        <w:spacing w:after="0" w:line="259" w:lineRule="auto"/>
        <w:ind w:left="360" w:firstLine="0"/>
        <w:rPr>
          <w:sz w:val="26"/>
        </w:rPr>
      </w:pPr>
    </w:p>
    <w:p w:rsidR="00DD755B" w:rsidRPr="00CF49A8" w14:paraId="31E07478" w14:textId="77777777">
      <w:pPr>
        <w:spacing w:after="0" w:line="259" w:lineRule="auto"/>
        <w:ind w:left="720" w:firstLine="0"/>
        <w:rPr>
          <w:sz w:val="26"/>
        </w:rPr>
      </w:pPr>
      <w:r w:rsidRPr="00CF49A8">
        <w:rPr>
          <w:sz w:val="26"/>
        </w:rPr>
        <w:t>Total Capital and Start-up cost: $0</w:t>
      </w:r>
    </w:p>
    <w:p w:rsidR="00DD755B" w:rsidRPr="00CF49A8" w14:paraId="0AE0DC10" w14:textId="77777777">
      <w:pPr>
        <w:spacing w:after="0" w:line="259" w:lineRule="auto"/>
        <w:ind w:left="720" w:firstLine="0"/>
        <w:rPr>
          <w:sz w:val="26"/>
        </w:rPr>
      </w:pPr>
      <w:r w:rsidRPr="00CF49A8">
        <w:rPr>
          <w:sz w:val="26"/>
        </w:rPr>
        <w:t>Total Operation, Maintenance, and Purchase of Services: $0</w:t>
      </w:r>
    </w:p>
    <w:p w:rsidR="00DD755B" w:rsidRPr="00CF49A8" w14:paraId="6F671BB0" w14:textId="77777777">
      <w:pPr>
        <w:spacing w:after="0" w:line="259" w:lineRule="auto"/>
        <w:ind w:left="360" w:firstLine="0"/>
        <w:rPr>
          <w:sz w:val="26"/>
        </w:rPr>
      </w:pPr>
    </w:p>
    <w:p w:rsidR="00F34787" w:rsidRPr="00CF49A8" w14:paraId="619E32E2" w14:textId="0F4036A7">
      <w:pPr>
        <w:spacing w:after="0" w:line="259" w:lineRule="auto"/>
        <w:ind w:left="0" w:firstLine="0"/>
        <w:rPr>
          <w:sz w:val="26"/>
        </w:rPr>
      </w:pPr>
      <w:r w:rsidRPr="00CF49A8">
        <w:rPr>
          <w:sz w:val="26"/>
        </w:rPr>
        <w:t xml:space="preserve">All of the costs </w:t>
      </w:r>
      <w:r w:rsidRPr="00CF49A8" w:rsidR="00D920E0">
        <w:rPr>
          <w:sz w:val="26"/>
        </w:rPr>
        <w:t xml:space="preserve">associated with this collection of information </w:t>
      </w:r>
      <w:r w:rsidRPr="00CF49A8">
        <w:rPr>
          <w:sz w:val="26"/>
        </w:rPr>
        <w:t>are associated with burden hours (labor) and described in Questions #12 and #15 in this supporting statement.</w:t>
      </w:r>
    </w:p>
    <w:p w:rsidR="00F34787" w:rsidRPr="00CF49A8" w:rsidP="00F14169" w14:paraId="2D7D6AE1" w14:textId="6D3A1958">
      <w:pPr>
        <w:spacing w:after="0" w:line="240" w:lineRule="auto"/>
        <w:ind w:left="0" w:firstLine="0"/>
        <w:rPr>
          <w:sz w:val="26"/>
        </w:rPr>
      </w:pPr>
    </w:p>
    <w:p w:rsidR="00DD755B" w:rsidRPr="00CF49A8" w:rsidP="00F34787" w14:paraId="70F25B54" w14:textId="37F97F12">
      <w:pPr>
        <w:pStyle w:val="Heading1"/>
        <w:ind w:left="0" w:firstLine="0"/>
        <w:rPr>
          <w:b w:val="0"/>
          <w:sz w:val="26"/>
        </w:rPr>
      </w:pPr>
      <w:r w:rsidRPr="00CF49A8">
        <w:rPr>
          <w:bCs/>
          <w:sz w:val="26"/>
        </w:rPr>
        <w:t>14.</w:t>
      </w:r>
      <w:r w:rsidRPr="00CF49A8">
        <w:rPr>
          <w:rFonts w:eastAsia="Arial" w:cs="Arial"/>
          <w:b w:val="0"/>
          <w:sz w:val="26"/>
        </w:rPr>
        <w:t xml:space="preserve"> </w:t>
      </w:r>
      <w:r w:rsidRPr="00CF49A8">
        <w:rPr>
          <w:sz w:val="26"/>
        </w:rPr>
        <w:t>ESTIMATED ANNUALIZED COST TO FEDERAL GOVERNMENT</w:t>
      </w:r>
    </w:p>
    <w:p w:rsidR="00F34787" w:rsidRPr="00CF49A8" w:rsidP="00F34787" w14:paraId="798C9A18" w14:textId="77777777">
      <w:pPr>
        <w:rPr>
          <w:sz w:val="26"/>
        </w:rPr>
      </w:pPr>
    </w:p>
    <w:p w:rsidR="00DD755B" w:rsidRPr="00CF49A8" w14:paraId="1CA6A7BE" w14:textId="290B0F40">
      <w:pPr>
        <w:spacing w:after="0" w:line="240" w:lineRule="auto"/>
        <w:ind w:left="0" w:firstLine="0"/>
        <w:rPr>
          <w:rFonts w:eastAsiaTheme="minorHAnsi" w:cstheme="minorBidi"/>
          <w:color w:val="auto"/>
          <w:sz w:val="26"/>
        </w:rPr>
      </w:pPr>
      <w:r w:rsidRPr="00CF49A8">
        <w:rPr>
          <w:rFonts w:eastAsiaTheme="minorHAnsi" w:cstheme="minorBidi"/>
          <w:color w:val="auto"/>
          <w:sz w:val="26"/>
        </w:rPr>
        <w:t>The estimates of the cost for analysis and processing of filings are based on salaries and benefits for professional and clerical support.  The estimated cost represents staff analysis, decision-making, and review of any actual filings submitted in response to the information collection.</w:t>
      </w:r>
      <w:r>
        <w:rPr>
          <w:rStyle w:val="FootnoteReference"/>
          <w:rFonts w:eastAsiaTheme="minorHAnsi"/>
          <w:b w:val="0"/>
          <w:bCs/>
          <w:color w:val="auto"/>
        </w:rPr>
        <w:footnoteReference w:id="8"/>
      </w:r>
    </w:p>
    <w:p w:rsidR="00DD755B" w:rsidRPr="00CF49A8" w14:paraId="407DF22D" w14:textId="77777777">
      <w:pPr>
        <w:spacing w:after="0" w:line="240" w:lineRule="auto"/>
        <w:ind w:left="0" w:firstLine="0"/>
        <w:rPr>
          <w:rFonts w:eastAsiaTheme="minorHAnsi" w:cstheme="minorBidi"/>
          <w:color w:val="auto"/>
          <w:sz w:val="26"/>
        </w:rPr>
      </w:pPr>
    </w:p>
    <w:p w:rsidR="00A97B34" w:rsidRPr="00CF49A8" w14:paraId="3925A5FC" w14:textId="1CA1E82E">
      <w:pPr>
        <w:spacing w:after="0" w:line="240" w:lineRule="auto"/>
        <w:ind w:left="0" w:firstLine="0"/>
        <w:rPr>
          <w:rFonts w:eastAsiaTheme="minorHAnsi" w:cstheme="minorBidi"/>
          <w:color w:val="auto"/>
          <w:sz w:val="26"/>
        </w:rPr>
      </w:pPr>
      <w:r w:rsidRPr="00CF49A8">
        <w:rPr>
          <w:rFonts w:eastAsiaTheme="minorHAnsi" w:cstheme="minorBidi"/>
          <w:color w:val="auto"/>
          <w:sz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A97B34" w:rsidRPr="00CF49A8" w14:paraId="7CDDC1D8" w14:textId="568F1986">
      <w:pPr>
        <w:spacing w:after="0" w:line="240" w:lineRule="auto"/>
        <w:ind w:left="0" w:firstLine="0"/>
        <w:rPr>
          <w:rFonts w:eastAsiaTheme="minorHAnsi" w:cstheme="minorBidi"/>
          <w:color w:val="auto"/>
          <w:sz w:val="26"/>
        </w:rPr>
      </w:pPr>
      <w:r w:rsidRPr="00CF49A8">
        <w:rPr>
          <w:rFonts w:eastAsiaTheme="minorHAnsi" w:cstheme="minorBidi"/>
          <w:color w:val="auto"/>
          <w:sz w:val="26"/>
        </w:rPr>
        <w:br/>
        <w:t>The federal costs are summarized in the following table.</w:t>
      </w:r>
    </w:p>
    <w:p w:rsidR="007C7B8A" w:rsidRPr="00CF49A8" w14:paraId="4AD2FF53" w14:textId="77777777">
      <w:pPr>
        <w:spacing w:after="0" w:line="240" w:lineRule="auto"/>
        <w:ind w:left="0" w:firstLine="0"/>
        <w:rPr>
          <w:rFonts w:eastAsiaTheme="minorHAnsi" w:cstheme="minorBidi"/>
          <w:color w:val="auto"/>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149"/>
        <w:gridCol w:w="2515"/>
      </w:tblGrid>
      <w:tr w14:paraId="5902C307"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71"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CF49A8" w14:paraId="1D9DF94A" w14:textId="53FC5AB8">
            <w:pPr>
              <w:spacing w:after="160" w:line="259" w:lineRule="auto"/>
              <w:ind w:left="0" w:firstLine="0"/>
              <w:jc w:val="center"/>
              <w:rPr>
                <w:rFonts w:eastAsiaTheme="minorHAnsi" w:cstheme="minorBidi"/>
                <w:b/>
                <w:color w:val="auto"/>
                <w:sz w:val="26"/>
              </w:rPr>
            </w:pPr>
            <w:r w:rsidRPr="00CF49A8">
              <w:rPr>
                <w:rFonts w:eastAsiaTheme="minorHAnsi" w:cstheme="minorBidi"/>
                <w:color w:val="auto"/>
                <w:sz w:val="26"/>
              </w:rPr>
              <w:br w:type="page"/>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CF49A8" w14:paraId="50713D90" w14:textId="77777777">
            <w:pPr>
              <w:spacing w:after="160" w:line="259" w:lineRule="auto"/>
              <w:ind w:left="0" w:firstLine="0"/>
              <w:jc w:val="center"/>
              <w:rPr>
                <w:rFonts w:eastAsiaTheme="minorHAnsi" w:cstheme="minorBidi"/>
                <w:b/>
                <w:color w:val="auto"/>
                <w:sz w:val="26"/>
              </w:rPr>
            </w:pPr>
            <w:r w:rsidRPr="00CF49A8">
              <w:rPr>
                <w:rFonts w:eastAsiaTheme="minorHAnsi" w:cstheme="minorBidi"/>
                <w:b/>
                <w:color w:val="auto"/>
                <w:sz w:val="26"/>
              </w:rPr>
              <w:t>Number of Employees (Full-Time Equivalents [FTE])</w:t>
            </w:r>
          </w:p>
        </w:tc>
        <w:tc>
          <w:tcPr>
            <w:tcW w:w="13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CF49A8" w14:paraId="23539834" w14:textId="77777777">
            <w:pPr>
              <w:spacing w:after="160" w:line="259" w:lineRule="auto"/>
              <w:ind w:left="0" w:firstLine="0"/>
              <w:jc w:val="center"/>
              <w:rPr>
                <w:rFonts w:eastAsiaTheme="minorHAnsi" w:cstheme="minorBidi"/>
                <w:b/>
                <w:color w:val="auto"/>
                <w:sz w:val="26"/>
              </w:rPr>
            </w:pPr>
            <w:r w:rsidRPr="00CF49A8">
              <w:rPr>
                <w:rFonts w:eastAsiaTheme="minorHAnsi" w:cstheme="minorBidi"/>
                <w:b/>
                <w:color w:val="auto"/>
                <w:sz w:val="26"/>
              </w:rPr>
              <w:t>Estimated Annual Federal Cost</w:t>
            </w:r>
          </w:p>
        </w:tc>
      </w:tr>
      <w:tr w14:paraId="174150BF"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tcPr>
          <w:p w:rsidR="00DD755B" w:rsidRPr="00CF49A8" w14:paraId="6034DD16" w14:textId="77777777">
            <w:pPr>
              <w:spacing w:after="0" w:line="259" w:lineRule="auto"/>
              <w:ind w:left="0" w:firstLine="0"/>
              <w:rPr>
                <w:rFonts w:eastAsiaTheme="minorHAnsi" w:cstheme="minorBidi"/>
                <w:color w:val="auto"/>
                <w:sz w:val="26"/>
              </w:rPr>
            </w:pPr>
            <w:r w:rsidRPr="00CF49A8">
              <w:rPr>
                <w:rFonts w:eastAsiaTheme="minorHAnsi" w:cstheme="minorBidi"/>
                <w:color w:val="auto"/>
                <w:sz w:val="26"/>
              </w:rPr>
              <w:t>Analysis and Processing of Filings for FERC-730</w:t>
            </w:r>
          </w:p>
        </w:tc>
        <w:tc>
          <w:tcPr>
            <w:tcW w:w="1684" w:type="pct"/>
            <w:tcBorders>
              <w:top w:val="single" w:sz="4" w:space="0" w:color="auto"/>
              <w:left w:val="single" w:sz="4" w:space="0" w:color="auto"/>
              <w:bottom w:val="single" w:sz="4" w:space="0" w:color="auto"/>
              <w:right w:val="single" w:sz="4" w:space="0" w:color="auto"/>
            </w:tcBorders>
            <w:vAlign w:val="bottom"/>
          </w:tcPr>
          <w:p w:rsidR="00DD755B" w:rsidRPr="00CF49A8" w14:paraId="67127B6B" w14:textId="77777777">
            <w:pPr>
              <w:spacing w:after="160" w:line="259" w:lineRule="auto"/>
              <w:ind w:left="0" w:firstLine="0"/>
              <w:jc w:val="right"/>
              <w:rPr>
                <w:rFonts w:eastAsiaTheme="minorHAnsi" w:cstheme="minorBidi"/>
                <w:color w:val="auto"/>
                <w:sz w:val="26"/>
              </w:rPr>
            </w:pPr>
            <w:r w:rsidRPr="00CF49A8">
              <w:rPr>
                <w:rFonts w:eastAsiaTheme="minorHAnsi" w:cstheme="minorBidi"/>
                <w:color w:val="auto"/>
                <w:sz w:val="26"/>
              </w:rPr>
              <w:t>0.35</w:t>
            </w:r>
          </w:p>
        </w:tc>
        <w:tc>
          <w:tcPr>
            <w:tcW w:w="1345" w:type="pct"/>
            <w:tcBorders>
              <w:top w:val="single" w:sz="4" w:space="0" w:color="auto"/>
              <w:left w:val="single" w:sz="4" w:space="0" w:color="auto"/>
              <w:bottom w:val="single" w:sz="4" w:space="0" w:color="auto"/>
              <w:right w:val="single" w:sz="4" w:space="0" w:color="auto"/>
            </w:tcBorders>
            <w:vAlign w:val="bottom"/>
          </w:tcPr>
          <w:p w:rsidR="00DD755B" w:rsidRPr="00CF49A8" w14:paraId="4B159D53" w14:textId="331FE877">
            <w:pPr>
              <w:spacing w:after="160" w:line="259" w:lineRule="auto"/>
              <w:ind w:left="0" w:firstLine="0"/>
              <w:jc w:val="right"/>
              <w:rPr>
                <w:rFonts w:eastAsiaTheme="minorHAnsi" w:cstheme="minorBidi"/>
                <w:color w:val="auto"/>
                <w:sz w:val="26"/>
              </w:rPr>
            </w:pPr>
            <w:r w:rsidRPr="00CF49A8">
              <w:rPr>
                <w:rFonts w:eastAsiaTheme="minorHAnsi" w:cstheme="minorBidi"/>
                <w:color w:val="auto"/>
                <w:sz w:val="26"/>
              </w:rPr>
              <w:t>$</w:t>
            </w:r>
            <w:r w:rsidRPr="00CF49A8" w:rsidR="005F51CB">
              <w:rPr>
                <w:rFonts w:eastAsiaTheme="minorHAnsi" w:cstheme="minorBidi"/>
                <w:color w:val="auto"/>
                <w:sz w:val="26"/>
              </w:rPr>
              <w:t>66,122.70</w:t>
            </w:r>
          </w:p>
        </w:tc>
      </w:tr>
      <w:tr w14:paraId="4CF404FF"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CF49A8" w14:paraId="3FC36FD3" w14:textId="0FA54AA0">
            <w:pPr>
              <w:spacing w:after="0" w:line="259" w:lineRule="auto"/>
              <w:ind w:left="0" w:firstLine="0"/>
              <w:rPr>
                <w:rFonts w:eastAsiaTheme="minorHAnsi" w:cstheme="minorBidi"/>
                <w:color w:val="auto"/>
                <w:sz w:val="26"/>
              </w:rPr>
            </w:pPr>
            <w:r w:rsidRPr="00CF49A8">
              <w:rPr>
                <w:rFonts w:eastAsiaTheme="minorHAnsi" w:cstheme="minorBidi"/>
                <w:color w:val="auto"/>
                <w:sz w:val="26"/>
              </w:rPr>
              <w:t>PRA</w:t>
            </w:r>
            <w:r>
              <w:rPr>
                <w:rFonts w:eastAsiaTheme="minorHAnsi" w:cstheme="minorBidi"/>
                <w:color w:val="auto"/>
                <w:sz w:val="26"/>
                <w:vertAlign w:val="superscript"/>
              </w:rPr>
              <w:footnoteReference w:id="9"/>
            </w:r>
            <w:r w:rsidRPr="00CF49A8">
              <w:rPr>
                <w:rFonts w:eastAsiaTheme="minorHAnsi" w:cstheme="minorBidi"/>
                <w:color w:val="auto"/>
                <w:sz w:val="26"/>
              </w:rPr>
              <w:t xml:space="preserve"> Administrative Cost</w:t>
            </w:r>
            <w:r>
              <w:rPr>
                <w:rStyle w:val="FootnoteReference"/>
                <w:rFonts w:eastAsiaTheme="minorHAnsi"/>
                <w:b w:val="0"/>
                <w:bCs/>
                <w:color w:val="auto"/>
              </w:rPr>
              <w:footnoteReference w:id="10"/>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CF49A8" w14:paraId="47A5D395" w14:textId="77777777">
            <w:pPr>
              <w:spacing w:after="160" w:line="259" w:lineRule="auto"/>
              <w:ind w:left="0" w:firstLine="0"/>
              <w:jc w:val="right"/>
              <w:rPr>
                <w:rFonts w:eastAsiaTheme="minorHAnsi" w:cstheme="minorBidi"/>
                <w:b/>
                <w:color w:val="auto"/>
                <w:sz w:val="26"/>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CF49A8" w14:paraId="3FB2E47A" w14:textId="7EAE94AD">
            <w:pPr>
              <w:spacing w:after="160" w:line="259" w:lineRule="auto"/>
              <w:ind w:left="0" w:firstLine="0"/>
              <w:jc w:val="right"/>
              <w:rPr>
                <w:rFonts w:eastAsiaTheme="minorHAnsi" w:cstheme="minorBidi"/>
                <w:color w:val="auto"/>
                <w:sz w:val="26"/>
              </w:rPr>
            </w:pPr>
            <w:r w:rsidRPr="00CF49A8">
              <w:rPr>
                <w:rFonts w:eastAsiaTheme="minorHAnsi" w:cstheme="minorBidi"/>
                <w:color w:val="auto"/>
                <w:sz w:val="26"/>
              </w:rPr>
              <w:t>$</w:t>
            </w:r>
            <w:r w:rsidR="009A2E3D">
              <w:rPr>
                <w:rFonts w:eastAsiaTheme="minorHAnsi" w:cstheme="minorBidi"/>
                <w:color w:val="auto"/>
                <w:sz w:val="26"/>
              </w:rPr>
              <w:t>8,404</w:t>
            </w:r>
          </w:p>
        </w:tc>
      </w:tr>
      <w:tr w14:paraId="6D91583B"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CF49A8" w14:paraId="48707AF6" w14:textId="77777777">
            <w:pPr>
              <w:spacing w:after="0" w:line="259" w:lineRule="auto"/>
              <w:ind w:left="0" w:firstLine="0"/>
              <w:rPr>
                <w:rFonts w:eastAsiaTheme="minorHAnsi" w:cstheme="minorBidi"/>
                <w:color w:val="auto"/>
                <w:sz w:val="26"/>
              </w:rPr>
            </w:pPr>
            <w:r w:rsidRPr="00CF49A8">
              <w:rPr>
                <w:rFonts w:eastAsiaTheme="minorHAnsi" w:cstheme="minorBidi"/>
                <w:color w:val="auto"/>
                <w:sz w:val="26"/>
              </w:rPr>
              <w:t>FERC Total</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CF49A8" w14:paraId="1E29FE6B" w14:textId="77777777">
            <w:pPr>
              <w:spacing w:after="160" w:line="259" w:lineRule="auto"/>
              <w:ind w:left="0" w:firstLine="0"/>
              <w:jc w:val="right"/>
              <w:rPr>
                <w:rFonts w:eastAsiaTheme="minorHAnsi" w:cstheme="minorBidi"/>
                <w:b/>
                <w:color w:val="auto"/>
                <w:sz w:val="26"/>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CF49A8" w14:paraId="4C121A8C" w14:textId="1DE6774D">
            <w:pPr>
              <w:spacing w:after="160" w:line="259" w:lineRule="auto"/>
              <w:ind w:left="0" w:firstLine="0"/>
              <w:jc w:val="right"/>
              <w:rPr>
                <w:rFonts w:eastAsiaTheme="minorHAnsi" w:cstheme="minorBidi"/>
                <w:color w:val="auto"/>
                <w:sz w:val="26"/>
              </w:rPr>
            </w:pPr>
            <w:r w:rsidRPr="00CF49A8">
              <w:rPr>
                <w:rFonts w:eastAsiaTheme="minorHAnsi" w:cstheme="minorBidi"/>
                <w:color w:val="auto"/>
                <w:sz w:val="26"/>
              </w:rPr>
              <w:t>$</w:t>
            </w:r>
            <w:r w:rsidR="007B2C49">
              <w:rPr>
                <w:rFonts w:eastAsiaTheme="minorHAnsi" w:cstheme="minorBidi"/>
                <w:color w:val="auto"/>
                <w:sz w:val="26"/>
              </w:rPr>
              <w:t>7</w:t>
            </w:r>
            <w:r w:rsidR="009A2E3D">
              <w:rPr>
                <w:rFonts w:eastAsiaTheme="minorHAnsi" w:cstheme="minorBidi"/>
                <w:color w:val="auto"/>
                <w:sz w:val="26"/>
              </w:rPr>
              <w:t>4</w:t>
            </w:r>
            <w:r w:rsidRPr="00CF49A8" w:rsidR="00FA5177">
              <w:rPr>
                <w:rFonts w:eastAsiaTheme="minorHAnsi" w:cstheme="minorBidi"/>
                <w:color w:val="auto"/>
                <w:sz w:val="26"/>
              </w:rPr>
              <w:t>,</w:t>
            </w:r>
            <w:r w:rsidR="009A2E3D">
              <w:rPr>
                <w:rFonts w:eastAsiaTheme="minorHAnsi" w:cstheme="minorBidi"/>
                <w:color w:val="auto"/>
                <w:sz w:val="26"/>
              </w:rPr>
              <w:t>526</w:t>
            </w:r>
            <w:r w:rsidRPr="00CF49A8" w:rsidR="00FA5177">
              <w:rPr>
                <w:rFonts w:eastAsiaTheme="minorHAnsi" w:cstheme="minorBidi"/>
                <w:color w:val="auto"/>
                <w:sz w:val="26"/>
              </w:rPr>
              <w:t>.70</w:t>
            </w:r>
          </w:p>
        </w:tc>
      </w:tr>
    </w:tbl>
    <w:p w:rsidR="00DD755B" w:rsidRPr="00CF49A8" w14:paraId="7BF2B46F" w14:textId="77777777">
      <w:pPr>
        <w:spacing w:after="0" w:line="259" w:lineRule="auto"/>
        <w:ind w:left="0" w:firstLine="0"/>
        <w:rPr>
          <w:b/>
          <w:sz w:val="26"/>
        </w:rPr>
      </w:pPr>
    </w:p>
    <w:p w:rsidR="00DD755B" w:rsidRPr="00CF49A8" w14:paraId="290100D5" w14:textId="77777777">
      <w:pPr>
        <w:pStyle w:val="Heading1"/>
        <w:ind w:left="0" w:firstLine="0"/>
        <w:rPr>
          <w:sz w:val="26"/>
        </w:rPr>
      </w:pPr>
      <w:r w:rsidRPr="00CF49A8">
        <w:rPr>
          <w:bCs/>
          <w:sz w:val="26"/>
        </w:rPr>
        <w:t>15</w:t>
      </w:r>
      <w:r w:rsidRPr="00CF49A8">
        <w:rPr>
          <w:b w:val="0"/>
          <w:sz w:val="26"/>
        </w:rPr>
        <w:t>.</w:t>
      </w:r>
      <w:r w:rsidRPr="00CF49A8">
        <w:rPr>
          <w:rFonts w:eastAsia="Arial" w:cs="Arial"/>
          <w:b w:val="0"/>
          <w:sz w:val="26"/>
        </w:rPr>
        <w:t xml:space="preserve"> </w:t>
      </w:r>
      <w:r w:rsidRPr="00CF49A8">
        <w:rPr>
          <w:sz w:val="26"/>
        </w:rPr>
        <w:t>REASONS FOR CHANGES IN BURDEN INCLUDING THE NEED FOR ANY INCREASE</w:t>
      </w:r>
      <w:r w:rsidRPr="00CF49A8">
        <w:rPr>
          <w:b w:val="0"/>
          <w:sz w:val="26"/>
        </w:rPr>
        <w:t xml:space="preserve"> </w:t>
      </w:r>
    </w:p>
    <w:p w:rsidR="00DD755B" w:rsidRPr="00CF49A8" w14:paraId="5CDF70A2" w14:textId="35210E79">
      <w:pPr>
        <w:spacing w:after="0" w:line="259" w:lineRule="auto"/>
        <w:ind w:left="0" w:firstLine="0"/>
        <w:rPr>
          <w:sz w:val="26"/>
        </w:rPr>
      </w:pPr>
    </w:p>
    <w:p w:rsidR="002D5D18" w:rsidRPr="00CF49A8" w14:paraId="5035025C" w14:textId="57E859AF">
      <w:pPr>
        <w:spacing w:after="0" w:line="259" w:lineRule="auto"/>
        <w:ind w:left="0" w:firstLine="0"/>
        <w:rPr>
          <w:sz w:val="26"/>
        </w:rPr>
      </w:pPr>
      <w:r w:rsidRPr="00003E6B">
        <w:rPr>
          <w:sz w:val="26"/>
        </w:rPr>
        <w:t>An increase in burden of one burden response due to normal fluctuations.</w:t>
      </w:r>
    </w:p>
    <w:p w:rsidR="002D5D18" w:rsidRPr="00CF49A8" w14:paraId="3E0E2433" w14:textId="77777777">
      <w:pPr>
        <w:spacing w:after="0" w:line="259" w:lineRule="auto"/>
        <w:ind w:left="0" w:firstLine="0"/>
        <w:rPr>
          <w:sz w:val="26"/>
        </w:rPr>
      </w:pPr>
    </w:p>
    <w:p w:rsidR="00DD755B" w:rsidRPr="00CF49A8" w14:paraId="02F0F0C4" w14:textId="77777777">
      <w:pPr>
        <w:pStyle w:val="Heading1"/>
        <w:spacing w:after="0" w:line="240" w:lineRule="auto"/>
        <w:ind w:left="0" w:firstLine="0"/>
        <w:rPr>
          <w:sz w:val="26"/>
        </w:rPr>
      </w:pPr>
      <w:r w:rsidRPr="00CF49A8">
        <w:rPr>
          <w:bCs/>
          <w:sz w:val="26"/>
        </w:rPr>
        <w:t>16</w:t>
      </w:r>
      <w:r w:rsidRPr="00CF49A8">
        <w:rPr>
          <w:b w:val="0"/>
          <w:sz w:val="26"/>
        </w:rPr>
        <w:t>.</w:t>
      </w:r>
      <w:r w:rsidRPr="00CF49A8">
        <w:rPr>
          <w:rFonts w:eastAsia="Arial" w:cs="Arial"/>
          <w:b w:val="0"/>
          <w:sz w:val="26"/>
        </w:rPr>
        <w:t xml:space="preserve"> </w:t>
      </w:r>
      <w:r w:rsidRPr="00CF49A8">
        <w:rPr>
          <w:sz w:val="26"/>
        </w:rPr>
        <w:t>TIME SCHEDULE FOR THE PUBLICATION OF DATA</w:t>
      </w:r>
    </w:p>
    <w:p w:rsidR="00DD755B" w:rsidRPr="00CF49A8" w14:paraId="7051309E" w14:textId="77777777">
      <w:pPr>
        <w:spacing w:after="0" w:line="240" w:lineRule="auto"/>
        <w:ind w:left="360" w:firstLine="0"/>
        <w:rPr>
          <w:sz w:val="26"/>
        </w:rPr>
      </w:pPr>
      <w:r w:rsidRPr="00CF49A8">
        <w:rPr>
          <w:b/>
          <w:sz w:val="26"/>
        </w:rPr>
        <w:t xml:space="preserve"> </w:t>
      </w:r>
    </w:p>
    <w:p w:rsidR="00DD755B" w:rsidRPr="00CF49A8" w14:paraId="75C31E0D" w14:textId="77777777">
      <w:pPr>
        <w:spacing w:line="240" w:lineRule="auto"/>
        <w:ind w:left="0" w:firstLine="0"/>
        <w:rPr>
          <w:sz w:val="26"/>
        </w:rPr>
      </w:pPr>
      <w:r w:rsidRPr="00CF49A8">
        <w:rPr>
          <w:sz w:val="26"/>
        </w:rPr>
        <w:t xml:space="preserve">There are no publication plans for the collections of information.  </w:t>
      </w:r>
    </w:p>
    <w:p w:rsidR="00DD755B" w:rsidRPr="00CF49A8" w14:paraId="5964C4D8" w14:textId="77777777">
      <w:pPr>
        <w:spacing w:after="0" w:line="240" w:lineRule="auto"/>
        <w:ind w:left="360" w:firstLine="0"/>
        <w:rPr>
          <w:sz w:val="26"/>
        </w:rPr>
      </w:pPr>
      <w:r w:rsidRPr="00CF49A8">
        <w:rPr>
          <w:sz w:val="26"/>
        </w:rPr>
        <w:t xml:space="preserve"> </w:t>
      </w:r>
    </w:p>
    <w:p w:rsidR="00DD755B" w:rsidRPr="00CF49A8" w14:paraId="09E07082" w14:textId="77777777">
      <w:pPr>
        <w:pStyle w:val="Heading1"/>
        <w:spacing w:line="240" w:lineRule="auto"/>
        <w:ind w:left="0" w:firstLine="0"/>
        <w:rPr>
          <w:sz w:val="26"/>
        </w:rPr>
      </w:pPr>
      <w:r w:rsidRPr="00CF49A8">
        <w:rPr>
          <w:bCs/>
          <w:sz w:val="26"/>
        </w:rPr>
        <w:t>17</w:t>
      </w:r>
      <w:r w:rsidRPr="00CF49A8">
        <w:rPr>
          <w:b w:val="0"/>
          <w:sz w:val="26"/>
        </w:rPr>
        <w:t>.</w:t>
      </w:r>
      <w:r w:rsidRPr="00CF49A8">
        <w:rPr>
          <w:rFonts w:eastAsia="Arial" w:cs="Arial"/>
          <w:b w:val="0"/>
          <w:sz w:val="26"/>
        </w:rPr>
        <w:t xml:space="preserve"> </w:t>
      </w:r>
      <w:r w:rsidRPr="00CF49A8">
        <w:rPr>
          <w:sz w:val="26"/>
        </w:rPr>
        <w:t>DISPLAY OF THE EXPIRATION DATE</w:t>
      </w:r>
      <w:r w:rsidRPr="00CF49A8">
        <w:rPr>
          <w:b w:val="0"/>
          <w:sz w:val="26"/>
        </w:rPr>
        <w:t xml:space="preserve"> </w:t>
      </w:r>
    </w:p>
    <w:p w:rsidR="00DD755B" w:rsidRPr="00CF49A8" w14:paraId="0248DD22" w14:textId="77777777">
      <w:pPr>
        <w:spacing w:after="0" w:line="240" w:lineRule="auto"/>
        <w:ind w:left="360" w:firstLine="0"/>
        <w:rPr>
          <w:b/>
          <w:sz w:val="26"/>
        </w:rPr>
      </w:pPr>
      <w:r w:rsidRPr="00CF49A8">
        <w:rPr>
          <w:b/>
          <w:sz w:val="26"/>
        </w:rPr>
        <w:t xml:space="preserve"> </w:t>
      </w:r>
    </w:p>
    <w:p w:rsidR="00DD755B" w:rsidRPr="00CF49A8" w14:paraId="405813C7" w14:textId="45431ADA">
      <w:pPr>
        <w:spacing w:after="0" w:line="240" w:lineRule="auto"/>
        <w:ind w:left="0" w:firstLine="0"/>
        <w:rPr>
          <w:sz w:val="26"/>
        </w:rPr>
      </w:pPr>
      <w:r w:rsidRPr="005F4B09">
        <w:rPr>
          <w:sz w:val="26"/>
        </w:rPr>
        <w:t>The OMB expiration date of the FERC-730 is also posted on the form</w:t>
      </w:r>
      <w:r w:rsidR="003B0E8F">
        <w:rPr>
          <w:sz w:val="26"/>
        </w:rPr>
        <w:t xml:space="preserve"> and will be updated on </w:t>
      </w:r>
      <w:hyperlink r:id="rId12" w:history="1">
        <w:r w:rsidRPr="003B0E8F" w:rsidR="003B0E8F">
          <w:rPr>
            <w:rStyle w:val="Hyperlink"/>
            <w:sz w:val="26"/>
          </w:rPr>
          <w:t>Information Collections | Federal Energy Regulatory Commission</w:t>
        </w:r>
      </w:hyperlink>
      <w:r w:rsidR="005F4B09">
        <w:rPr>
          <w:sz w:val="26"/>
        </w:rPr>
        <w:t xml:space="preserve"> </w:t>
      </w:r>
      <w:r w:rsidRPr="005F4B09">
        <w:rPr>
          <w:sz w:val="26"/>
        </w:rPr>
        <w:t>.</w:t>
      </w:r>
    </w:p>
    <w:p w:rsidR="00DD755B" w:rsidRPr="00CF49A8" w14:paraId="0DFB9C81" w14:textId="77777777">
      <w:pPr>
        <w:spacing w:after="0" w:line="240" w:lineRule="auto"/>
        <w:ind w:left="360" w:firstLine="0"/>
        <w:rPr>
          <w:sz w:val="26"/>
        </w:rPr>
      </w:pPr>
    </w:p>
    <w:p w:rsidR="00DD755B" w:rsidRPr="00CF49A8" w14:paraId="08AFB7DD" w14:textId="77777777">
      <w:pPr>
        <w:pStyle w:val="Heading1"/>
        <w:spacing w:line="240" w:lineRule="auto"/>
        <w:ind w:left="0" w:firstLine="0"/>
        <w:rPr>
          <w:sz w:val="26"/>
        </w:rPr>
      </w:pPr>
      <w:r w:rsidRPr="00CF49A8">
        <w:rPr>
          <w:bCs/>
          <w:sz w:val="26"/>
        </w:rPr>
        <w:t>18.</w:t>
      </w:r>
      <w:r w:rsidRPr="00CF49A8">
        <w:rPr>
          <w:rFonts w:eastAsia="Arial" w:cs="Arial"/>
          <w:b w:val="0"/>
          <w:sz w:val="26"/>
        </w:rPr>
        <w:t xml:space="preserve"> </w:t>
      </w:r>
      <w:r w:rsidRPr="00CF49A8">
        <w:rPr>
          <w:sz w:val="26"/>
        </w:rPr>
        <w:t>EXCEPTIONS TO THE CERTIFICATION STATEMENT</w:t>
      </w:r>
      <w:r w:rsidRPr="00CF49A8">
        <w:rPr>
          <w:b w:val="0"/>
          <w:sz w:val="26"/>
        </w:rPr>
        <w:t xml:space="preserve"> </w:t>
      </w:r>
    </w:p>
    <w:p w:rsidR="00DD755B" w:rsidRPr="00CF49A8" w14:paraId="582D5933" w14:textId="77777777">
      <w:pPr>
        <w:spacing w:after="0" w:line="240" w:lineRule="auto"/>
        <w:ind w:left="0" w:firstLine="0"/>
        <w:rPr>
          <w:sz w:val="26"/>
        </w:rPr>
      </w:pPr>
      <w:r w:rsidRPr="00CF49A8">
        <w:rPr>
          <w:sz w:val="26"/>
        </w:rPr>
        <w:t xml:space="preserve"> </w:t>
      </w:r>
    </w:p>
    <w:p w:rsidR="00DD755B" w:rsidRPr="00CF49A8" w14:paraId="5EC3D10B" w14:textId="77777777">
      <w:pPr>
        <w:spacing w:line="240" w:lineRule="auto"/>
        <w:ind w:left="0" w:firstLine="0"/>
        <w:rPr>
          <w:sz w:val="26"/>
        </w:rPr>
      </w:pPr>
      <w:r w:rsidRPr="00CF49A8">
        <w:rPr>
          <w:sz w:val="26"/>
        </w:rPr>
        <w:t xml:space="preserve">There are no exceptions. </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1A75" w14:paraId="4B1B77F5" w14:textId="77777777">
      <w:pPr>
        <w:spacing w:after="0" w:line="240" w:lineRule="auto"/>
      </w:pPr>
      <w:r>
        <w:separator/>
      </w:r>
    </w:p>
  </w:endnote>
  <w:endnote w:type="continuationSeparator" w:id="1">
    <w:p w:rsidR="00D71A75" w14:paraId="61F3D861" w14:textId="77777777">
      <w:pPr>
        <w:spacing w:after="0" w:line="240" w:lineRule="auto"/>
      </w:pPr>
      <w:r>
        <w:continuationSeparator/>
      </w:r>
    </w:p>
  </w:endnote>
  <w:endnote w:type="continuationNotice" w:id="2">
    <w:p w:rsidR="00D71A75" w14:paraId="1C1FDA4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5B" w14:paraId="0E572FAC" w14:textId="77777777">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D755B" w14:paraId="41CC9906" w14:textId="77777777">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5B" w14:paraId="5753706B" w14:textId="77777777">
    <w:pPr>
      <w:spacing w:after="0" w:line="259" w:lineRule="auto"/>
      <w:ind w:left="0" w:right="1" w:firstLine="0"/>
      <w:jc w:val="right"/>
    </w:pPr>
    <w:r>
      <w:rPr>
        <w:szCs w:val="24"/>
      </w:rPr>
      <w:fldChar w:fldCharType="begin"/>
    </w:r>
    <w:r>
      <w:rPr>
        <w:szCs w:val="24"/>
      </w:rPr>
      <w:instrText xml:space="preserve"> PAGE   \* MERGEFORMAT </w:instrText>
    </w:r>
    <w:r>
      <w:rPr>
        <w:szCs w:val="24"/>
      </w:rPr>
      <w:fldChar w:fldCharType="separate"/>
    </w:r>
    <w:r>
      <w:rPr>
        <w:rFonts w:eastAsia="Calibri"/>
        <w:noProof/>
        <w:szCs w:val="24"/>
      </w:rPr>
      <w:t>8</w:t>
    </w:r>
    <w:r>
      <w:rPr>
        <w:rFonts w:eastAsia="Calibr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5B" w14:paraId="6050E15A" w14:textId="77777777">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D755B" w14:paraId="19E222D3" w14:textId="77777777">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A75" w14:paraId="2E8DEC1B" w14:textId="77777777">
      <w:pPr>
        <w:spacing w:after="0"/>
        <w:ind w:left="360" w:firstLine="720"/>
      </w:pPr>
      <w:r>
        <w:separator/>
      </w:r>
    </w:p>
  </w:footnote>
  <w:footnote w:type="continuationSeparator" w:id="1">
    <w:p w:rsidR="00D71A75" w14:paraId="5AC610EA" w14:textId="77777777">
      <w:pPr>
        <w:spacing w:after="0"/>
        <w:ind w:left="360" w:firstLine="720"/>
      </w:pPr>
      <w:r>
        <w:continuationSeparator/>
      </w:r>
    </w:p>
  </w:footnote>
  <w:footnote w:type="continuationNotice" w:id="2">
    <w:p w:rsidR="00D71A75" w14:paraId="0B1660CE" w14:textId="77777777">
      <w:pPr>
        <w:spacing w:after="0" w:line="240" w:lineRule="auto"/>
      </w:pPr>
    </w:p>
  </w:footnote>
  <w:footnote w:id="3">
    <w:p w:rsidR="00084783" w:rsidRPr="004A6415" w:rsidP="00084783" w14:paraId="49CDC208" w14:textId="6A5B9613">
      <w:pPr>
        <w:pStyle w:val="FootnoteText"/>
        <w:ind w:left="14" w:hanging="14"/>
        <w:rPr>
          <w:sz w:val="26"/>
        </w:rPr>
      </w:pPr>
      <w:r w:rsidRPr="00714126">
        <w:rPr>
          <w:rStyle w:val="FootnoteReference"/>
          <w:b w:val="0"/>
          <w:bCs/>
        </w:rPr>
        <w:footnoteRef/>
      </w:r>
      <w:r w:rsidRPr="004A6415">
        <w:rPr>
          <w:sz w:val="26"/>
        </w:rPr>
        <w:t xml:space="preserve"> </w:t>
      </w:r>
      <w:r w:rsidR="00AE5ECA">
        <w:rPr>
          <w:sz w:val="26"/>
        </w:rPr>
        <w:t xml:space="preserve">We </w:t>
      </w:r>
      <w:r w:rsidR="00910472">
        <w:rPr>
          <w:sz w:val="26"/>
        </w:rPr>
        <w:t xml:space="preserve">are now seeking renewal of the </w:t>
      </w:r>
      <w:r w:rsidR="00FD6E44">
        <w:rPr>
          <w:sz w:val="26"/>
        </w:rPr>
        <w:t>“</w:t>
      </w:r>
      <w:r w:rsidR="00AE5ECA">
        <w:rPr>
          <w:sz w:val="26"/>
        </w:rPr>
        <w:t xml:space="preserve">active” information collection in </w:t>
      </w:r>
      <w:r w:rsidR="00C237DD">
        <w:rPr>
          <w:sz w:val="26"/>
        </w:rPr>
        <w:t>FERC-730.</w:t>
      </w:r>
      <w:r w:rsidR="006B4E3A">
        <w:rPr>
          <w:sz w:val="26"/>
        </w:rPr>
        <w:t xml:space="preserve">  </w:t>
      </w:r>
      <w:r w:rsidR="00F74CCE">
        <w:rPr>
          <w:sz w:val="26"/>
        </w:rPr>
        <w:t xml:space="preserve"> </w:t>
      </w:r>
      <w:r w:rsidR="00397289">
        <w:rPr>
          <w:sz w:val="26"/>
        </w:rPr>
        <w:t xml:space="preserve"> </w:t>
      </w:r>
    </w:p>
  </w:footnote>
  <w:footnote w:id="4">
    <w:p w:rsidR="00F42D8F" w:rsidRPr="00F42D8F" w:rsidP="00F42D8F" w14:paraId="3229C409" w14:textId="38BA1CAA">
      <w:pPr>
        <w:pStyle w:val="FootnoteText"/>
        <w:ind w:left="0" w:firstLine="0"/>
        <w:rPr>
          <w:bCs/>
          <w:sz w:val="26"/>
        </w:rPr>
      </w:pPr>
      <w:r w:rsidRPr="00F42D8F">
        <w:rPr>
          <w:rStyle w:val="FootnoteReference"/>
          <w:b w:val="0"/>
          <w:bCs/>
        </w:rPr>
        <w:footnoteRef/>
      </w:r>
      <w:r w:rsidRPr="00F42D8F">
        <w:rPr>
          <w:bCs/>
          <w:sz w:val="26"/>
        </w:rPr>
        <w:t xml:space="preserve"> 16 U.S.C. 824s.</w:t>
      </w:r>
    </w:p>
    <w:p w:rsidR="00F42D8F" w14:paraId="3256B1FB" w14:textId="07524ADD">
      <w:pPr>
        <w:pStyle w:val="FootnoteText"/>
      </w:pPr>
    </w:p>
  </w:footnote>
  <w:footnote w:id="5">
    <w:p w:rsidR="00DD755B" w14:paraId="1A246219" w14:textId="77777777">
      <w:pPr>
        <w:pStyle w:val="FootnoteText"/>
        <w:ind w:left="90" w:hanging="90"/>
        <w:rPr>
          <w:sz w:val="24"/>
          <w:szCs w:val="24"/>
        </w:rPr>
      </w:pPr>
      <w:r w:rsidRPr="004E1236">
        <w:rPr>
          <w:rStyle w:val="FootnoteReference"/>
          <w:b w:val="0"/>
          <w:bCs/>
          <w:sz w:val="24"/>
          <w:szCs w:val="24"/>
        </w:rPr>
        <w:footnoteRef/>
      </w:r>
      <w:r>
        <w:rPr>
          <w:sz w:val="24"/>
          <w:szCs w:val="24"/>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6">
    <w:p w:rsidR="00DD755B" w14:paraId="00D41B8C" w14:textId="51C0AD4A">
      <w:pPr>
        <w:pStyle w:val="FootnoteText"/>
        <w:ind w:left="90" w:hanging="90"/>
      </w:pPr>
      <w:r w:rsidRPr="004E1236">
        <w:rPr>
          <w:rStyle w:val="FootnoteReference"/>
          <w:b w:val="0"/>
          <w:bCs/>
          <w:sz w:val="24"/>
          <w:szCs w:val="24"/>
        </w:rPr>
        <w:footnoteRef/>
      </w:r>
      <w:r>
        <w:rPr>
          <w:sz w:val="24"/>
          <w:szCs w:val="24"/>
        </w:rPr>
        <w:t xml:space="preserve"> Commission staff estimates that respondents’ hourly wages </w:t>
      </w:r>
      <w:r w:rsidR="0079354C">
        <w:rPr>
          <w:sz w:val="24"/>
          <w:szCs w:val="24"/>
        </w:rPr>
        <w:t xml:space="preserve">plus </w:t>
      </w:r>
      <w:r>
        <w:rPr>
          <w:sz w:val="24"/>
          <w:szCs w:val="24"/>
        </w:rPr>
        <w:t xml:space="preserve">benefits are comparable to </w:t>
      </w:r>
      <w:r w:rsidR="009D6F8E">
        <w:rPr>
          <w:sz w:val="24"/>
          <w:szCs w:val="24"/>
        </w:rPr>
        <w:t>202</w:t>
      </w:r>
      <w:r w:rsidR="009A2E3D">
        <w:rPr>
          <w:sz w:val="24"/>
          <w:szCs w:val="24"/>
        </w:rPr>
        <w:t>6</w:t>
      </w:r>
      <w:r w:rsidR="009D6F8E">
        <w:rPr>
          <w:sz w:val="24"/>
          <w:szCs w:val="24"/>
        </w:rPr>
        <w:t xml:space="preserve"> wages and benefits of </w:t>
      </w:r>
      <w:r>
        <w:rPr>
          <w:sz w:val="24"/>
          <w:szCs w:val="24"/>
        </w:rPr>
        <w:t>FERC employees.  Therefore, the hourly cost used in this analysis is $</w:t>
      </w:r>
      <w:r w:rsidR="009A2E3D">
        <w:rPr>
          <w:sz w:val="24"/>
          <w:szCs w:val="24"/>
        </w:rPr>
        <w:t>102</w:t>
      </w:r>
      <w:r w:rsidR="008627C1">
        <w:rPr>
          <w:sz w:val="24"/>
          <w:szCs w:val="24"/>
        </w:rPr>
        <w:t>.00.</w:t>
      </w:r>
    </w:p>
  </w:footnote>
  <w:footnote w:id="7">
    <w:p w:rsidR="00AA3872" w:rsidRPr="0034749D" w:rsidP="00D06030" w14:paraId="0E13F0EA" w14:textId="6E420179">
      <w:pPr>
        <w:pStyle w:val="FootnoteText"/>
        <w:ind w:left="14" w:firstLine="0"/>
        <w:rPr>
          <w:b/>
          <w:bCs/>
        </w:rPr>
      </w:pPr>
      <w:r w:rsidRPr="003233A0">
        <w:rPr>
          <w:rStyle w:val="FootnoteReference"/>
          <w:b w:val="0"/>
          <w:bCs/>
        </w:rPr>
        <w:footnoteRef/>
      </w:r>
      <w:r w:rsidR="00D06030">
        <w:rPr>
          <w:bCs/>
          <w:sz w:val="26"/>
        </w:rPr>
        <w:t xml:space="preserve"> </w:t>
      </w:r>
      <w:r w:rsidRPr="008361A3">
        <w:rPr>
          <w:bCs/>
          <w:sz w:val="26"/>
        </w:rPr>
        <w:t>The Commission staff estimates that the industry’s hourly cost for wages plus benefits is similar to the Commission’s $</w:t>
      </w:r>
      <w:r>
        <w:rPr>
          <w:bCs/>
          <w:sz w:val="26"/>
        </w:rPr>
        <w:t>102</w:t>
      </w:r>
      <w:r w:rsidRPr="008361A3">
        <w:rPr>
          <w:bCs/>
          <w:sz w:val="26"/>
        </w:rPr>
        <w:t>.00</w:t>
      </w:r>
      <w:r>
        <w:rPr>
          <w:bCs/>
          <w:sz w:val="26"/>
        </w:rPr>
        <w:t xml:space="preserve"> ($</w:t>
      </w:r>
      <w:r w:rsidRPr="002639C2">
        <w:rPr>
          <w:sz w:val="26"/>
        </w:rPr>
        <w:t>213,003 annually)</w:t>
      </w:r>
      <w:r w:rsidRPr="008361A3">
        <w:rPr>
          <w:bCs/>
          <w:sz w:val="26"/>
        </w:rPr>
        <w:t xml:space="preserve"> FY 202</w:t>
      </w:r>
      <w:r>
        <w:rPr>
          <w:bCs/>
          <w:sz w:val="26"/>
        </w:rPr>
        <w:t>6</w:t>
      </w:r>
      <w:r w:rsidRPr="008361A3">
        <w:rPr>
          <w:bCs/>
          <w:sz w:val="26"/>
        </w:rPr>
        <w:t xml:space="preserve"> average hourly cost for wages and benefits.</w:t>
      </w:r>
    </w:p>
    <w:p w:rsidR="00AA3872" w:rsidRPr="003233A0" w:rsidP="00AA3872" w14:paraId="2E0E08CA" w14:textId="77777777">
      <w:pPr>
        <w:pStyle w:val="FootnoteText"/>
        <w:rPr>
          <w:b/>
          <w:bCs/>
        </w:rPr>
      </w:pPr>
    </w:p>
  </w:footnote>
  <w:footnote w:id="8">
    <w:p w:rsidR="007F48DD" w:rsidRPr="005F51CB" w:rsidP="007F48DD" w14:paraId="2854DD1F" w14:textId="446813A4">
      <w:pPr>
        <w:pStyle w:val="FootnoteText"/>
        <w:ind w:left="14" w:hanging="14"/>
        <w:rPr>
          <w:sz w:val="26"/>
        </w:rPr>
      </w:pPr>
      <w:r w:rsidRPr="00C26A47">
        <w:rPr>
          <w:rStyle w:val="FootnoteReference"/>
          <w:b w:val="0"/>
          <w:bCs/>
        </w:rPr>
        <w:footnoteRef/>
      </w:r>
      <w:bookmarkStart w:id="0" w:name="_Hlk26540040"/>
      <w:r w:rsidRPr="005F51CB" w:rsidR="00FA1634">
        <w:rPr>
          <w:sz w:val="26"/>
        </w:rPr>
        <w:t xml:space="preserve"> </w:t>
      </w:r>
      <w:r w:rsidRPr="005F51CB" w:rsidR="00C302A5">
        <w:rPr>
          <w:sz w:val="26"/>
        </w:rPr>
        <w:t>The FERC 202</w:t>
      </w:r>
      <w:r w:rsidR="009A2E3D">
        <w:rPr>
          <w:sz w:val="26"/>
        </w:rPr>
        <w:t>6</w:t>
      </w:r>
      <w:r w:rsidRPr="005F51CB" w:rsidR="00C302A5">
        <w:rPr>
          <w:sz w:val="26"/>
        </w:rPr>
        <w:t xml:space="preserve"> average salary plus benefits for one FERC full-time equivalent (FTE) is $</w:t>
      </w:r>
      <w:r w:rsidR="009A2E3D">
        <w:rPr>
          <w:sz w:val="26"/>
        </w:rPr>
        <w:t>213,003</w:t>
      </w:r>
      <w:r w:rsidRPr="005F51CB" w:rsidR="00C302A5">
        <w:rPr>
          <w:sz w:val="26"/>
        </w:rPr>
        <w:t>/year (or $</w:t>
      </w:r>
      <w:r w:rsidR="009A2E3D">
        <w:rPr>
          <w:sz w:val="26"/>
        </w:rPr>
        <w:t>102</w:t>
      </w:r>
      <w:r w:rsidRPr="005F51CB" w:rsidR="00C302A5">
        <w:rPr>
          <w:sz w:val="26"/>
        </w:rPr>
        <w:t>.00/hour).</w:t>
      </w:r>
      <w:bookmarkEnd w:id="0"/>
    </w:p>
  </w:footnote>
  <w:footnote w:id="9">
    <w:p w:rsidR="00DD755B" w:rsidRPr="005F51CB" w14:paraId="259CE66A" w14:textId="77777777">
      <w:pPr>
        <w:pStyle w:val="FootnoteText"/>
        <w:ind w:left="90" w:hanging="90"/>
        <w:rPr>
          <w:sz w:val="26"/>
          <w:szCs w:val="26"/>
        </w:rPr>
      </w:pPr>
      <w:r w:rsidRPr="00C26A47">
        <w:rPr>
          <w:rStyle w:val="FootnoteReference"/>
          <w:b w:val="0"/>
          <w:bCs/>
          <w:szCs w:val="24"/>
        </w:rPr>
        <w:footnoteRef/>
      </w:r>
      <w:r w:rsidRPr="005F51CB">
        <w:rPr>
          <w:sz w:val="26"/>
          <w:szCs w:val="24"/>
          <w:vertAlign w:val="superscript"/>
        </w:rPr>
        <w:t xml:space="preserve"> </w:t>
      </w:r>
      <w:r w:rsidRPr="005F51CB">
        <w:rPr>
          <w:sz w:val="26"/>
          <w:szCs w:val="24"/>
        </w:rPr>
        <w:t>Paperwork Reduction Act of 1995 (PRA).</w:t>
      </w:r>
    </w:p>
  </w:footnote>
  <w:footnote w:id="10">
    <w:p w:rsidR="008E2669" w:rsidRPr="005F51CB" w:rsidP="008E2669" w14:paraId="4376A3E9" w14:textId="77777777">
      <w:pPr>
        <w:pStyle w:val="FootnoteText"/>
        <w:ind w:left="14" w:hanging="14"/>
        <w:rPr>
          <w:sz w:val="26"/>
        </w:rPr>
      </w:pPr>
      <w:r w:rsidRPr="00C26A47">
        <w:rPr>
          <w:rStyle w:val="FootnoteReference"/>
          <w:b w:val="0"/>
          <w:bCs/>
        </w:rPr>
        <w:footnoteRef/>
      </w:r>
      <w:r w:rsidRPr="005F51CB">
        <w:rPr>
          <w:sz w:val="26"/>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00EE70D0" w14:paraId="532C8ABB" w14:textId="397B0D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5B" w14:paraId="7616DC79" w14:textId="77777777">
    <w:pPr>
      <w:spacing w:after="0" w:line="259" w:lineRule="auto"/>
      <w:ind w:left="360" w:firstLine="0"/>
    </w:pPr>
    <w:r>
      <w:t xml:space="preserve">FERC-516 &amp; FERC-730 (OMB Control Nos. 1902-0096 and 1902-0239)  </w:t>
    </w:r>
  </w:p>
  <w:p w:rsidR="00DD755B" w14:paraId="66150936" w14:textId="77777777">
    <w:pPr>
      <w:spacing w:after="0" w:line="259" w:lineRule="auto"/>
      <w:ind w:left="360" w:firstLine="0"/>
    </w:pPr>
    <w:r>
      <w:t xml:space="preserve">Proposed Rule, issued </w:t>
    </w:r>
    <w:r>
      <w:rPr>
        <w:shd w:val="clear" w:color="auto" w:fill="FFFF00"/>
      </w:rPr>
      <w:t>DATE</w:t>
    </w:r>
    <w:r>
      <w:t xml:space="preserve">),  Docket RM20-10-000 </w:t>
    </w:r>
  </w:p>
  <w:p w:rsidR="00DD755B" w14:paraId="500F552D" w14:textId="77777777">
    <w:pPr>
      <w:spacing w:after="0" w:line="259" w:lineRule="auto"/>
      <w:ind w:left="360" w:firstLine="0"/>
    </w:pPr>
    <w:r>
      <w:t>RIN: 1902-</w:t>
    </w:r>
    <w:r>
      <w:rPr>
        <w:shd w:val="clear" w:color="auto" w:fill="FFFF00"/>
      </w:rPr>
      <w:t>XXXX</w:t>
    </w:r>
    <w:r>
      <w:t xml:space="preserve"> </w:t>
    </w:r>
  </w:p>
  <w:p w:rsidR="00DD755B" w14:paraId="77438326" w14:textId="77777777">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5B" w14:paraId="6FAC2718" w14:textId="71A6AFFF">
    <w:pPr>
      <w:spacing w:after="0" w:line="259" w:lineRule="auto"/>
      <w:ind w:left="0" w:firstLine="0"/>
    </w:pPr>
    <w:r>
      <w:t>FERC-</w:t>
    </w:r>
    <w:r w:rsidR="00E71DAD">
      <w:t xml:space="preserve">730 </w:t>
    </w:r>
    <w:r>
      <w:t xml:space="preserve">OMB Control No. </w:t>
    </w:r>
    <w:r w:rsidR="00366597">
      <w:t>1</w:t>
    </w:r>
    <w:r>
      <w:t>902-0239)</w:t>
    </w:r>
  </w:p>
  <w:p w:rsidR="00790BAB" w14:paraId="75127487" w14:textId="1CDF05E8">
    <w:pPr>
      <w:spacing w:after="0" w:line="259" w:lineRule="auto"/>
      <w:ind w:left="0" w:firstLine="0"/>
    </w:pPr>
    <w:r>
      <w:t>Docket No. IC2</w:t>
    </w:r>
    <w:r w:rsidR="00744FF8">
      <w:t>6-</w:t>
    </w:r>
    <w:r w:rsidR="00120897">
      <w:t>12-000</w:t>
    </w:r>
  </w:p>
  <w:p w:rsidR="004F08C6" w14:paraId="75B82D33" w14:textId="2423D79E">
    <w:pPr>
      <w:spacing w:after="0" w:line="259" w:lineRule="auto"/>
      <w:ind w:left="0" w:firstLine="0"/>
    </w:pPr>
  </w:p>
  <w:p w:rsidR="00AD238D" w14:paraId="7D6B51EA"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55B" w14:paraId="79F1CFF0" w14:textId="77777777">
    <w:pPr>
      <w:spacing w:after="0" w:line="259" w:lineRule="auto"/>
      <w:ind w:left="360" w:firstLine="0"/>
    </w:pPr>
    <w:r>
      <w:t xml:space="preserve">FERC-516 &amp; FERC-730 (OMB Control Nos. 1902-0096 and 1902-0239)  </w:t>
    </w:r>
  </w:p>
  <w:p w:rsidR="00DD755B" w14:paraId="4CC330AF" w14:textId="77777777">
    <w:pPr>
      <w:spacing w:after="0" w:line="259" w:lineRule="auto"/>
      <w:ind w:left="360" w:firstLine="0"/>
    </w:pPr>
    <w:r>
      <w:t xml:space="preserve">Proposed Rule, issued </w:t>
    </w:r>
    <w:r>
      <w:rPr>
        <w:shd w:val="clear" w:color="auto" w:fill="FFFF00"/>
      </w:rPr>
      <w:t>DATE</w:t>
    </w:r>
    <w:r>
      <w:t xml:space="preserve">),  Docket RM20-10-000 </w:t>
    </w:r>
  </w:p>
  <w:p w:rsidR="00DD755B" w14:paraId="772F8535" w14:textId="77777777">
    <w:pPr>
      <w:spacing w:after="0" w:line="259" w:lineRule="auto"/>
      <w:ind w:left="360" w:firstLine="0"/>
    </w:pPr>
    <w:r>
      <w:t>RIN: 1902-</w:t>
    </w:r>
    <w:r>
      <w:rPr>
        <w:shd w:val="clear" w:color="auto" w:fill="FFFF00"/>
      </w:rPr>
      <w:t>XXXX</w:t>
    </w:r>
    <w:r>
      <w:t xml:space="preserve"> </w:t>
    </w:r>
  </w:p>
  <w:p w:rsidR="00DD755B" w14:paraId="75164813" w14:textId="77777777">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960B5"/>
    <w:multiLevelType w:val="hybridMultilevel"/>
    <w:tmpl w:val="AAA61D7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1ABF37B7"/>
    <w:multiLevelType w:val="hybridMultilevel"/>
    <w:tmpl w:val="70E8D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6B7C92"/>
    <w:multiLevelType w:val="hybridMultilevel"/>
    <w:tmpl w:val="754A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870FF6"/>
    <w:multiLevelType w:val="hybridMultilevel"/>
    <w:tmpl w:val="F594C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E07DD"/>
    <w:multiLevelType w:val="hybridMultilevel"/>
    <w:tmpl w:val="18F48BE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5FE0957"/>
    <w:multiLevelType w:val="hybridMultilevel"/>
    <w:tmpl w:val="4E5ED6B4"/>
    <w:lvl w:ilvl="0">
      <w:start w:val="3"/>
      <w:numFmt w:val="decimal"/>
      <w:lvlText w:val="%1."/>
      <w:lvlJc w:val="left"/>
      <w:pPr>
        <w:ind w:left="716" w:hanging="360"/>
      </w:pPr>
      <w:rPr>
        <w:rFonts w:hint="default"/>
        <w:b/>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6">
    <w:nsid w:val="360A6A08"/>
    <w:multiLevelType w:val="hybridMultilevel"/>
    <w:tmpl w:val="F4842288"/>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975499"/>
    <w:multiLevelType w:val="hybridMultilevel"/>
    <w:tmpl w:val="8458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5C2D27"/>
    <w:multiLevelType w:val="hybridMultilevel"/>
    <w:tmpl w:val="14C2B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49836C1"/>
    <w:multiLevelType w:val="hybridMultilevel"/>
    <w:tmpl w:val="7B54AC36"/>
    <w:lvl w:ilvl="0">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45CC78B3"/>
    <w:multiLevelType w:val="hybridMultilevel"/>
    <w:tmpl w:val="98C64E7C"/>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11">
    <w:nsid w:val="465C6DB2"/>
    <w:multiLevelType w:val="hybridMultilevel"/>
    <w:tmpl w:val="5A668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3E3710"/>
    <w:multiLevelType w:val="hybridMultilevel"/>
    <w:tmpl w:val="E1506C12"/>
    <w:lvl w:ilvl="0">
      <w:start w:val="2"/>
      <w:numFmt w:val="decimal"/>
      <w:lvlText w:val="%1)"/>
      <w:lvlJc w:val="left"/>
      <w:pPr>
        <w:ind w:left="2516" w:hanging="360"/>
      </w:pPr>
      <w:rPr>
        <w:rFonts w:hint="default"/>
      </w:rPr>
    </w:lvl>
    <w:lvl w:ilvl="1" w:tentative="1">
      <w:start w:val="1"/>
      <w:numFmt w:val="lowerLetter"/>
      <w:lvlText w:val="%2."/>
      <w:lvlJc w:val="left"/>
      <w:pPr>
        <w:ind w:left="3236" w:hanging="360"/>
      </w:pPr>
    </w:lvl>
    <w:lvl w:ilvl="2" w:tentative="1">
      <w:start w:val="1"/>
      <w:numFmt w:val="lowerRoman"/>
      <w:lvlText w:val="%3."/>
      <w:lvlJc w:val="right"/>
      <w:pPr>
        <w:ind w:left="3956" w:hanging="180"/>
      </w:pPr>
    </w:lvl>
    <w:lvl w:ilvl="3" w:tentative="1">
      <w:start w:val="1"/>
      <w:numFmt w:val="decimal"/>
      <w:lvlText w:val="%4."/>
      <w:lvlJc w:val="left"/>
      <w:pPr>
        <w:ind w:left="4676" w:hanging="360"/>
      </w:pPr>
    </w:lvl>
    <w:lvl w:ilvl="4" w:tentative="1">
      <w:start w:val="1"/>
      <w:numFmt w:val="lowerLetter"/>
      <w:lvlText w:val="%5."/>
      <w:lvlJc w:val="left"/>
      <w:pPr>
        <w:ind w:left="5396" w:hanging="360"/>
      </w:pPr>
    </w:lvl>
    <w:lvl w:ilvl="5" w:tentative="1">
      <w:start w:val="1"/>
      <w:numFmt w:val="lowerRoman"/>
      <w:lvlText w:val="%6."/>
      <w:lvlJc w:val="right"/>
      <w:pPr>
        <w:ind w:left="6116" w:hanging="180"/>
      </w:pPr>
    </w:lvl>
    <w:lvl w:ilvl="6" w:tentative="1">
      <w:start w:val="1"/>
      <w:numFmt w:val="decimal"/>
      <w:lvlText w:val="%7."/>
      <w:lvlJc w:val="left"/>
      <w:pPr>
        <w:ind w:left="6836" w:hanging="360"/>
      </w:pPr>
    </w:lvl>
    <w:lvl w:ilvl="7" w:tentative="1">
      <w:start w:val="1"/>
      <w:numFmt w:val="lowerLetter"/>
      <w:lvlText w:val="%8."/>
      <w:lvlJc w:val="left"/>
      <w:pPr>
        <w:ind w:left="7556" w:hanging="360"/>
      </w:pPr>
    </w:lvl>
    <w:lvl w:ilvl="8" w:tentative="1">
      <w:start w:val="1"/>
      <w:numFmt w:val="lowerRoman"/>
      <w:lvlText w:val="%9."/>
      <w:lvlJc w:val="right"/>
      <w:pPr>
        <w:ind w:left="8276" w:hanging="180"/>
      </w:pPr>
    </w:lvl>
  </w:abstractNum>
  <w:abstractNum w:abstractNumId="13">
    <w:nsid w:val="4BDD1B71"/>
    <w:multiLevelType w:val="hybridMultilevel"/>
    <w:tmpl w:val="C4C203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4A79D9"/>
    <w:multiLevelType w:val="hybridMultilevel"/>
    <w:tmpl w:val="0B341360"/>
    <w:lvl w:ilvl="0">
      <w:start w:val="1"/>
      <w:numFmt w:val="low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15">
    <w:nsid w:val="5A4270E3"/>
    <w:multiLevelType w:val="hybridMultilevel"/>
    <w:tmpl w:val="2114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F56119"/>
    <w:multiLevelType w:val="hybridMultilevel"/>
    <w:tmpl w:val="940E59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11E11E7"/>
    <w:multiLevelType w:val="hybridMultilevel"/>
    <w:tmpl w:val="009A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361D7B"/>
    <w:multiLevelType w:val="hybridMultilevel"/>
    <w:tmpl w:val="5F9E928A"/>
    <w:lvl w:ilvl="0">
      <w:start w:val="1"/>
      <w:numFmt w:val="decimal"/>
      <w:lvlText w:val="%1."/>
      <w:lvlJc w:val="left"/>
      <w:pPr>
        <w:ind w:left="1076" w:hanging="360"/>
      </w:pPr>
    </w:lvl>
    <w:lvl w:ilvl="1" w:tentative="1">
      <w:start w:val="1"/>
      <w:numFmt w:val="lowerLetter"/>
      <w:lvlText w:val="%2."/>
      <w:lvlJc w:val="left"/>
      <w:pPr>
        <w:ind w:left="1796" w:hanging="360"/>
      </w:pPr>
    </w:lvl>
    <w:lvl w:ilvl="2" w:tentative="1">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19">
    <w:nsid w:val="6E9B7C6F"/>
    <w:multiLevelType w:val="hybridMultilevel"/>
    <w:tmpl w:val="139803C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6FF72274"/>
    <w:multiLevelType w:val="hybridMultilevel"/>
    <w:tmpl w:val="C9D22D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nsid w:val="70D85F1B"/>
    <w:multiLevelType w:val="hybridMultilevel"/>
    <w:tmpl w:val="BB66AD9A"/>
    <w:lvl w:ilvl="0">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nsid w:val="75227796"/>
    <w:multiLevelType w:val="hybridMultilevel"/>
    <w:tmpl w:val="2FD21864"/>
    <w:lvl w:ilvl="0">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3">
    <w:nsid w:val="7AF729A4"/>
    <w:multiLevelType w:val="hybridMultilevel"/>
    <w:tmpl w:val="F3C09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3B09D3"/>
    <w:multiLevelType w:val="hybridMultilevel"/>
    <w:tmpl w:val="18B42A12"/>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5044575">
    <w:abstractNumId w:val="20"/>
  </w:num>
  <w:num w:numId="2" w16cid:durableId="439030661">
    <w:abstractNumId w:val="4"/>
  </w:num>
  <w:num w:numId="3" w16cid:durableId="744688277">
    <w:abstractNumId w:val="22"/>
  </w:num>
  <w:num w:numId="4" w16cid:durableId="388649091">
    <w:abstractNumId w:val="19"/>
  </w:num>
  <w:num w:numId="5" w16cid:durableId="1692219426">
    <w:abstractNumId w:val="16"/>
  </w:num>
  <w:num w:numId="6" w16cid:durableId="5078677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8699391">
    <w:abstractNumId w:val="11"/>
  </w:num>
  <w:num w:numId="8" w16cid:durableId="925770355">
    <w:abstractNumId w:val="9"/>
  </w:num>
  <w:num w:numId="9" w16cid:durableId="105001476">
    <w:abstractNumId w:val="0"/>
  </w:num>
  <w:num w:numId="10" w16cid:durableId="168449561">
    <w:abstractNumId w:val="2"/>
  </w:num>
  <w:num w:numId="11" w16cid:durableId="1852795890">
    <w:abstractNumId w:val="14"/>
  </w:num>
  <w:num w:numId="12" w16cid:durableId="1019741975">
    <w:abstractNumId w:val="1"/>
  </w:num>
  <w:num w:numId="13" w16cid:durableId="29762970">
    <w:abstractNumId w:val="10"/>
  </w:num>
  <w:num w:numId="14" w16cid:durableId="1877816759">
    <w:abstractNumId w:val="6"/>
  </w:num>
  <w:num w:numId="15" w16cid:durableId="1905752514">
    <w:abstractNumId w:val="23"/>
  </w:num>
  <w:num w:numId="16" w16cid:durableId="133915301">
    <w:abstractNumId w:val="13"/>
  </w:num>
  <w:num w:numId="17" w16cid:durableId="472606083">
    <w:abstractNumId w:val="24"/>
  </w:num>
  <w:num w:numId="18" w16cid:durableId="10886492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1999026">
    <w:abstractNumId w:val="8"/>
  </w:num>
  <w:num w:numId="20" w16cid:durableId="842403622">
    <w:abstractNumId w:val="12"/>
  </w:num>
  <w:num w:numId="21" w16cid:durableId="1595285767">
    <w:abstractNumId w:val="7"/>
  </w:num>
  <w:num w:numId="22" w16cid:durableId="1011375057">
    <w:abstractNumId w:val="3"/>
  </w:num>
  <w:num w:numId="23" w16cid:durableId="1353804403">
    <w:abstractNumId w:val="17"/>
  </w:num>
  <w:num w:numId="24" w16cid:durableId="954795370">
    <w:abstractNumId w:val="18"/>
  </w:num>
  <w:num w:numId="25" w16cid:durableId="1335839636">
    <w:abstractNumId w:val="21"/>
  </w:num>
  <w:num w:numId="26" w16cid:durableId="929200154">
    <w:abstractNumId w:val="15"/>
  </w:num>
  <w:num w:numId="27" w16cid:durableId="193077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autoHyphenation/>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55B"/>
    <w:rsid w:val="00002176"/>
    <w:rsid w:val="00003E6B"/>
    <w:rsid w:val="0001535E"/>
    <w:rsid w:val="00052276"/>
    <w:rsid w:val="00067819"/>
    <w:rsid w:val="00076C85"/>
    <w:rsid w:val="00084783"/>
    <w:rsid w:val="00093F46"/>
    <w:rsid w:val="000A05E4"/>
    <w:rsid w:val="000C1731"/>
    <w:rsid w:val="000D1476"/>
    <w:rsid w:val="000F16FD"/>
    <w:rsid w:val="000F5466"/>
    <w:rsid w:val="001003A3"/>
    <w:rsid w:val="00105024"/>
    <w:rsid w:val="00120897"/>
    <w:rsid w:val="001219EC"/>
    <w:rsid w:val="00124E0D"/>
    <w:rsid w:val="00136AF4"/>
    <w:rsid w:val="0014681C"/>
    <w:rsid w:val="00175633"/>
    <w:rsid w:val="001A72E8"/>
    <w:rsid w:val="001D4203"/>
    <w:rsid w:val="00206868"/>
    <w:rsid w:val="00206A4F"/>
    <w:rsid w:val="0022273B"/>
    <w:rsid w:val="00235079"/>
    <w:rsid w:val="002418C8"/>
    <w:rsid w:val="00262DE0"/>
    <w:rsid w:val="002639C2"/>
    <w:rsid w:val="00277980"/>
    <w:rsid w:val="002A21B9"/>
    <w:rsid w:val="002D5D18"/>
    <w:rsid w:val="002E4DEE"/>
    <w:rsid w:val="002F6BEA"/>
    <w:rsid w:val="00304686"/>
    <w:rsid w:val="003233A0"/>
    <w:rsid w:val="00324B2F"/>
    <w:rsid w:val="003326AD"/>
    <w:rsid w:val="0033778C"/>
    <w:rsid w:val="0034749D"/>
    <w:rsid w:val="00366597"/>
    <w:rsid w:val="0037669D"/>
    <w:rsid w:val="0037705B"/>
    <w:rsid w:val="00382259"/>
    <w:rsid w:val="00383548"/>
    <w:rsid w:val="003836CC"/>
    <w:rsid w:val="00395D80"/>
    <w:rsid w:val="00397289"/>
    <w:rsid w:val="003B0E8F"/>
    <w:rsid w:val="00410303"/>
    <w:rsid w:val="00411096"/>
    <w:rsid w:val="004272D3"/>
    <w:rsid w:val="0042745C"/>
    <w:rsid w:val="0042752F"/>
    <w:rsid w:val="0044287E"/>
    <w:rsid w:val="00474956"/>
    <w:rsid w:val="00485DC6"/>
    <w:rsid w:val="004A6415"/>
    <w:rsid w:val="004D0AEB"/>
    <w:rsid w:val="004E1236"/>
    <w:rsid w:val="004E138D"/>
    <w:rsid w:val="004E70FE"/>
    <w:rsid w:val="004F08C6"/>
    <w:rsid w:val="005273AB"/>
    <w:rsid w:val="00555F85"/>
    <w:rsid w:val="005701E4"/>
    <w:rsid w:val="00570917"/>
    <w:rsid w:val="005932F9"/>
    <w:rsid w:val="005A2F69"/>
    <w:rsid w:val="005A2F6C"/>
    <w:rsid w:val="005A7812"/>
    <w:rsid w:val="005B2BD2"/>
    <w:rsid w:val="005B30B7"/>
    <w:rsid w:val="005B7699"/>
    <w:rsid w:val="005C5142"/>
    <w:rsid w:val="005F4B09"/>
    <w:rsid w:val="005F50F6"/>
    <w:rsid w:val="005F51CB"/>
    <w:rsid w:val="006250EF"/>
    <w:rsid w:val="00626D0B"/>
    <w:rsid w:val="00631870"/>
    <w:rsid w:val="00637ECD"/>
    <w:rsid w:val="006564C1"/>
    <w:rsid w:val="006631C7"/>
    <w:rsid w:val="006B4E3A"/>
    <w:rsid w:val="006C1801"/>
    <w:rsid w:val="006C2268"/>
    <w:rsid w:val="006C3460"/>
    <w:rsid w:val="006F3E26"/>
    <w:rsid w:val="006F6441"/>
    <w:rsid w:val="0070143C"/>
    <w:rsid w:val="00714126"/>
    <w:rsid w:val="00731B3D"/>
    <w:rsid w:val="00744FF8"/>
    <w:rsid w:val="007760A5"/>
    <w:rsid w:val="00790BAB"/>
    <w:rsid w:val="0079354C"/>
    <w:rsid w:val="007B2C49"/>
    <w:rsid w:val="007B535A"/>
    <w:rsid w:val="007B6B75"/>
    <w:rsid w:val="007C0759"/>
    <w:rsid w:val="007C7B8A"/>
    <w:rsid w:val="007D3184"/>
    <w:rsid w:val="007D7F40"/>
    <w:rsid w:val="007E3862"/>
    <w:rsid w:val="007E3A27"/>
    <w:rsid w:val="007E4792"/>
    <w:rsid w:val="007F48DD"/>
    <w:rsid w:val="008226B2"/>
    <w:rsid w:val="008361A3"/>
    <w:rsid w:val="008417BE"/>
    <w:rsid w:val="00842937"/>
    <w:rsid w:val="00857F23"/>
    <w:rsid w:val="008627C1"/>
    <w:rsid w:val="008B0A79"/>
    <w:rsid w:val="008B6338"/>
    <w:rsid w:val="008E2669"/>
    <w:rsid w:val="00910472"/>
    <w:rsid w:val="009277AA"/>
    <w:rsid w:val="009368D8"/>
    <w:rsid w:val="00975010"/>
    <w:rsid w:val="00977DFB"/>
    <w:rsid w:val="009A2E3D"/>
    <w:rsid w:val="009A6180"/>
    <w:rsid w:val="009B7D16"/>
    <w:rsid w:val="009D5403"/>
    <w:rsid w:val="009D6F8E"/>
    <w:rsid w:val="009E02E9"/>
    <w:rsid w:val="009E7AB5"/>
    <w:rsid w:val="00A00509"/>
    <w:rsid w:val="00A23740"/>
    <w:rsid w:val="00A56C6D"/>
    <w:rsid w:val="00A63EE7"/>
    <w:rsid w:val="00A717F2"/>
    <w:rsid w:val="00A81C20"/>
    <w:rsid w:val="00A84D48"/>
    <w:rsid w:val="00A95293"/>
    <w:rsid w:val="00A97B34"/>
    <w:rsid w:val="00AA3872"/>
    <w:rsid w:val="00AA6B3D"/>
    <w:rsid w:val="00AD238D"/>
    <w:rsid w:val="00AE5ECA"/>
    <w:rsid w:val="00B23336"/>
    <w:rsid w:val="00B3442F"/>
    <w:rsid w:val="00B40140"/>
    <w:rsid w:val="00BF4758"/>
    <w:rsid w:val="00C07AF5"/>
    <w:rsid w:val="00C13589"/>
    <w:rsid w:val="00C237DD"/>
    <w:rsid w:val="00C26A47"/>
    <w:rsid w:val="00C302A5"/>
    <w:rsid w:val="00C467AC"/>
    <w:rsid w:val="00C7437C"/>
    <w:rsid w:val="00C769D8"/>
    <w:rsid w:val="00C816DD"/>
    <w:rsid w:val="00C86488"/>
    <w:rsid w:val="00C97F37"/>
    <w:rsid w:val="00CB0C98"/>
    <w:rsid w:val="00CD130C"/>
    <w:rsid w:val="00CE7745"/>
    <w:rsid w:val="00CF49A8"/>
    <w:rsid w:val="00CF72AC"/>
    <w:rsid w:val="00D050D4"/>
    <w:rsid w:val="00D06030"/>
    <w:rsid w:val="00D1596A"/>
    <w:rsid w:val="00D305EB"/>
    <w:rsid w:val="00D463FB"/>
    <w:rsid w:val="00D542B5"/>
    <w:rsid w:val="00D70609"/>
    <w:rsid w:val="00D71A75"/>
    <w:rsid w:val="00D8276C"/>
    <w:rsid w:val="00D8626D"/>
    <w:rsid w:val="00D920E0"/>
    <w:rsid w:val="00D92E9B"/>
    <w:rsid w:val="00DA2C1D"/>
    <w:rsid w:val="00DB63A4"/>
    <w:rsid w:val="00DD68C1"/>
    <w:rsid w:val="00DD755B"/>
    <w:rsid w:val="00E24010"/>
    <w:rsid w:val="00E57B9F"/>
    <w:rsid w:val="00E634C2"/>
    <w:rsid w:val="00E71DAD"/>
    <w:rsid w:val="00E75073"/>
    <w:rsid w:val="00E762AA"/>
    <w:rsid w:val="00E83A0F"/>
    <w:rsid w:val="00E965FD"/>
    <w:rsid w:val="00EB7805"/>
    <w:rsid w:val="00EC718C"/>
    <w:rsid w:val="00EE70D0"/>
    <w:rsid w:val="00EF2C48"/>
    <w:rsid w:val="00EF55A4"/>
    <w:rsid w:val="00F01C4E"/>
    <w:rsid w:val="00F077F3"/>
    <w:rsid w:val="00F14169"/>
    <w:rsid w:val="00F2458A"/>
    <w:rsid w:val="00F2667E"/>
    <w:rsid w:val="00F336A8"/>
    <w:rsid w:val="00F34787"/>
    <w:rsid w:val="00F417B0"/>
    <w:rsid w:val="00F42D8F"/>
    <w:rsid w:val="00F5756E"/>
    <w:rsid w:val="00F65940"/>
    <w:rsid w:val="00F74CCE"/>
    <w:rsid w:val="00F91E1D"/>
    <w:rsid w:val="00FA1634"/>
    <w:rsid w:val="00FA5177"/>
    <w:rsid w:val="00FD6E44"/>
    <w:rsid w:val="00FF4B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98021"/>
  <w15:docId w15:val="{BE3C2549-7371-49DA-9257-90D65471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2115"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aliases w:val="Footnote Text Char Char,Footnote Text Char Char Char,Footnote Text Char Char1,Footnote Text Char1 Char,Footnote Text Char1 Char Char Char1,Footnote Text Char2 Char,Footnote Text Char3,Footnote Text MRP,c,f,fn,ft,ft Char"/>
    <w:basedOn w:val="Normal"/>
    <w:link w:val="FootnoteTextChar"/>
    <w:uiPriority w:val="99"/>
    <w:semiHidden/>
    <w:unhideWhenUsed/>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Footnote Text Char1 Char Char Char1 Char,Footnote Text Char2 Char Char,Footnote Text Char3 Char,c Char,f Char"/>
    <w:basedOn w:val="DefaultParagraphFont"/>
    <w:link w:val="FootnoteText"/>
    <w:uiPriority w:val="99"/>
    <w:semiHidden/>
    <w:rPr>
      <w:rFonts w:ascii="Times New Roman" w:eastAsia="Times New Roman" w:hAnsi="Times New Roman" w:cs="Times New Roman"/>
      <w:color w:val="000000"/>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semiHidden/>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hAnsi="Arial" w:eastAsiaTheme="minorHAnsi" w:cs="Arial"/>
      <w:color w:val="auto"/>
      <w:sz w:val="20"/>
      <w:szCs w:val="20"/>
    </w:rPr>
  </w:style>
  <w:style w:type="character" w:customStyle="1" w:styleId="CommentTextChar">
    <w:name w:val="Comment Text Char"/>
    <w:basedOn w:val="DefaultParagraphFont"/>
    <w:link w:val="CommentText"/>
    <w:uiPriority w:val="99"/>
    <w:rPr>
      <w:rFonts w:ascii="Arial" w:hAnsi="Arial" w:eastAsiaTheme="minorHAnsi"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basedOn w:val="TableNormal"/>
    <w:next w:val="TableGrid0"/>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4E7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www.ferc.gov/information-collection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2020-08-12T04:00:00+00:00</Date>
    <Status xmlns="d6eefc7d-9817-4fa6-84d5-3bc009be21b8" xmlns:xsi="http://www.w3.org/2001/XMLSchema-instance" xsi:nil="true"/>
    <_x0032__x002e__x0020_Docket_x0020_Number xmlns="d6eefc7d-9817-4fa6-84d5-3bc009be21b8" xsi:nil="true"/>
    <_x0032__x002e__x0020_Collection_x0020_Number xmlns="d6eefc7d-9817-4fa6-84d5-3bc009be21b8">730</_x0032__x002e__x0020_Collection_x0020_Number>
    <_x0031__x002e__x0020_Docket_x0020_Number xmlns="d6eefc7d-9817-4fa6-84d5-3bc009be21b8">RM20-10</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Props1.xml><?xml version="1.0" encoding="utf-8"?>
<ds:datastoreItem xmlns:ds="http://schemas.openxmlformats.org/officeDocument/2006/customXml" ds:itemID="{A48E0D15-0C22-468F-8E51-9AFA4F54F7DA}">
  <ds:schemaRefs>
    <ds:schemaRef ds:uri="http://schemas.openxmlformats.org/officeDocument/2006/bibliography"/>
  </ds:schemaRefs>
</ds:datastoreItem>
</file>

<file path=customXml/itemProps2.xml><?xml version="1.0" encoding="utf-8"?>
<ds:datastoreItem xmlns:ds="http://schemas.openxmlformats.org/officeDocument/2006/customXml" ds:itemID="{6681FE39-37CC-4D67-A921-E8BA7C41C015}">
  <ds:schemaRefs>
    <ds:schemaRef ds:uri="Microsoft.SharePoint.Taxonomy.ContentTypeSync"/>
  </ds:schemaRefs>
</ds:datastoreItem>
</file>

<file path=customXml/itemProps3.xml><?xml version="1.0" encoding="utf-8"?>
<ds:datastoreItem xmlns:ds="http://schemas.openxmlformats.org/officeDocument/2006/customXml" ds:itemID="{709BD5E9-6322-4225-8BCB-FF512B735564}">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5.xml><?xml version="1.0" encoding="utf-8"?>
<ds:datastoreItem xmlns:ds="http://schemas.openxmlformats.org/officeDocument/2006/customXml" ds:itemID="{626376D4-D74D-43DB-9A5C-5E765D5E0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88104B-6FCA-477B-A1F0-654026D903F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1190</Words>
  <Characters>6867</Characters>
  <Application>Microsoft Office Word</Application>
  <DocSecurity>0</DocSecurity>
  <Lines>236</Lines>
  <Paragraphs>93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anthony.may@ferc.gov</dc:creator>
  <cp:lastModifiedBy>Kayla Williams</cp:lastModifiedBy>
  <cp:revision>6</cp:revision>
  <dcterms:created xsi:type="dcterms:W3CDTF">2026-06-30T19:34:00Z</dcterms:created>
  <dcterms:modified xsi:type="dcterms:W3CDTF">2026-06-30T20:12:00Z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bd24d06a-0e85-4d57-b1e0-ba34b1abc708_ActionId">
    <vt:lpwstr>c4ab080d-d560-46ac-989a-e739c99de6a6</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2026-05-13T11:13:12Z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ies>
</file>