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0180" w:rsidP="00285D05" w14:paraId="3974F78E" w14:textId="77777777">
      <w:pPr>
        <w:spacing w:line="480" w:lineRule="auto"/>
        <w:contextualSpacing/>
        <w:jc w:val="right"/>
        <w:rPr>
          <w:sz w:val="24"/>
          <w:szCs w:val="24"/>
        </w:rPr>
      </w:pPr>
      <w:r w:rsidRPr="63F1524B">
        <w:rPr>
          <w:sz w:val="24"/>
          <w:szCs w:val="24"/>
        </w:rPr>
        <w:t>6560-50-P</w:t>
      </w:r>
    </w:p>
    <w:p w:rsidR="007E7A35" w:rsidP="00285D05" w14:paraId="19248E86" w14:textId="642F0048">
      <w:pPr>
        <w:spacing w:line="480" w:lineRule="auto"/>
        <w:contextualSpacing/>
        <w:rPr>
          <w:sz w:val="24"/>
          <w:szCs w:val="24"/>
        </w:rPr>
      </w:pPr>
      <w:r w:rsidRPr="63F1524B">
        <w:rPr>
          <w:b/>
          <w:bCs/>
          <w:sz w:val="24"/>
          <w:szCs w:val="24"/>
        </w:rPr>
        <w:t>ENVIRONMENTAL PROTECTION AGENCY</w:t>
      </w:r>
    </w:p>
    <w:p w:rsidR="00B45F53" w:rsidRPr="00B9022F" w:rsidP="00285D05" w14:paraId="66229717" w14:textId="76581F5A">
      <w:pPr>
        <w:spacing w:line="480" w:lineRule="auto"/>
        <w:contextualSpacing/>
        <w:rPr>
          <w:b/>
          <w:bCs/>
          <w:sz w:val="24"/>
          <w:szCs w:val="24"/>
        </w:rPr>
      </w:pPr>
      <w:r w:rsidRPr="00B9022F">
        <w:rPr>
          <w:b/>
          <w:bCs/>
          <w:sz w:val="24"/>
          <w:szCs w:val="24"/>
        </w:rPr>
        <w:t>[</w:t>
      </w:r>
      <w:r w:rsidRPr="00B9022F" w:rsidR="00BA17F1">
        <w:rPr>
          <w:b/>
          <w:bCs/>
          <w:sz w:val="24"/>
          <w:szCs w:val="24"/>
        </w:rPr>
        <w:t>EPA-HQ–SFUND–2006–0361</w:t>
      </w:r>
      <w:r w:rsidRPr="00B9022F">
        <w:rPr>
          <w:b/>
          <w:bCs/>
          <w:sz w:val="24"/>
          <w:szCs w:val="24"/>
        </w:rPr>
        <w:t>; FRL</w:t>
      </w:r>
      <w:r w:rsidR="00633BB5">
        <w:rPr>
          <w:b/>
          <w:bCs/>
          <w:sz w:val="24"/>
          <w:szCs w:val="24"/>
        </w:rPr>
        <w:t>-</w:t>
      </w:r>
      <w:r w:rsidRPr="00633BB5" w:rsidR="00633BB5">
        <w:rPr>
          <w:b/>
          <w:bCs/>
          <w:sz w:val="24"/>
          <w:szCs w:val="24"/>
        </w:rPr>
        <w:t>13465-01-OFA</w:t>
      </w:r>
      <w:r w:rsidRPr="00B9022F">
        <w:rPr>
          <w:b/>
          <w:bCs/>
          <w:sz w:val="24"/>
          <w:szCs w:val="24"/>
        </w:rPr>
        <w:t>]</w:t>
      </w:r>
    </w:p>
    <w:p w:rsidR="00B60CF6" w:rsidRPr="00270BA9" w:rsidP="00285D05" w14:paraId="2AB0D937" w14:textId="513EF8D8">
      <w:pPr>
        <w:spacing w:line="480" w:lineRule="auto"/>
        <w:contextualSpacing/>
        <w:rPr>
          <w:b/>
          <w:bCs/>
          <w:color w:val="3366FF"/>
          <w:sz w:val="24"/>
          <w:szCs w:val="24"/>
        </w:rPr>
      </w:pPr>
      <w:r>
        <w:rPr>
          <w:b/>
          <w:bCs/>
          <w:sz w:val="24"/>
          <w:szCs w:val="24"/>
        </w:rPr>
        <w:t>Agency Information Collection Activities;</w:t>
      </w:r>
      <w:r w:rsidRPr="63F1524B" w:rsidR="63F1524B">
        <w:rPr>
          <w:b/>
          <w:bCs/>
          <w:sz w:val="24"/>
          <w:szCs w:val="24"/>
        </w:rPr>
        <w:t xml:space="preserve"> </w:t>
      </w:r>
      <w:r w:rsidR="00511B8A">
        <w:rPr>
          <w:b/>
          <w:bCs/>
          <w:sz w:val="24"/>
          <w:szCs w:val="24"/>
        </w:rPr>
        <w:t xml:space="preserve">Submission </w:t>
      </w:r>
      <w:r w:rsidRPr="63F1524B" w:rsidR="63F1524B">
        <w:rPr>
          <w:b/>
          <w:bCs/>
          <w:sz w:val="24"/>
          <w:szCs w:val="24"/>
        </w:rPr>
        <w:t xml:space="preserve">to </w:t>
      </w:r>
      <w:r>
        <w:rPr>
          <w:b/>
          <w:bCs/>
          <w:sz w:val="24"/>
          <w:szCs w:val="24"/>
        </w:rPr>
        <w:t xml:space="preserve">the Office of Management and Budget </w:t>
      </w:r>
      <w:r w:rsidRPr="63F1524B" w:rsidR="63F1524B">
        <w:rPr>
          <w:b/>
          <w:bCs/>
          <w:sz w:val="24"/>
          <w:szCs w:val="24"/>
        </w:rPr>
        <w:t>for Review and Approval; Comment Request;</w:t>
      </w:r>
      <w:r w:rsidRPr="63F1524B" w:rsidR="63F1524B">
        <w:rPr>
          <w:sz w:val="24"/>
          <w:szCs w:val="24"/>
        </w:rPr>
        <w:t xml:space="preserve"> </w:t>
      </w:r>
      <w:r w:rsidRPr="00EF051A" w:rsidR="00EF051A">
        <w:rPr>
          <w:b/>
          <w:sz w:val="24"/>
          <w:szCs w:val="24"/>
        </w:rPr>
        <w:t>Trade Secret Claims for Community Right-to-Know and Emergency Planning (Renewal)</w:t>
      </w:r>
    </w:p>
    <w:p w:rsidR="007E7A35" w:rsidP="00285D05" w14:paraId="14494E12" w14:textId="77777777">
      <w:pPr>
        <w:spacing w:line="480" w:lineRule="auto"/>
        <w:contextualSpacing/>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285D05" w14:paraId="1918BBA3" w14:textId="77777777">
      <w:pPr>
        <w:spacing w:line="480" w:lineRule="auto"/>
        <w:contextualSpacing/>
        <w:rPr>
          <w:sz w:val="24"/>
          <w:szCs w:val="24"/>
        </w:rPr>
      </w:pPr>
      <w:r>
        <w:rPr>
          <w:b/>
          <w:bCs/>
          <w:sz w:val="24"/>
          <w:szCs w:val="24"/>
        </w:rPr>
        <w:t>ACTION</w:t>
      </w:r>
      <w:r>
        <w:rPr>
          <w:sz w:val="24"/>
          <w:szCs w:val="24"/>
        </w:rPr>
        <w:t>:</w:t>
      </w:r>
      <w:r>
        <w:rPr>
          <w:sz w:val="24"/>
          <w:szCs w:val="24"/>
        </w:rPr>
        <w:tab/>
        <w:t>Notice.</w:t>
      </w:r>
    </w:p>
    <w:p w:rsidR="007E7A35" w:rsidP="00285D05" w14:paraId="62E3663A" w14:textId="0BB93EF6">
      <w:pPr>
        <w:spacing w:line="480" w:lineRule="auto"/>
        <w:contextualSpacing/>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4A6B">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xml:space="preserve">, </w:t>
      </w:r>
      <w:r w:rsidRPr="00C92F66" w:rsidR="00C92F66">
        <w:rPr>
          <w:sz w:val="24"/>
          <w:szCs w:val="24"/>
        </w:rPr>
        <w:t>Emergency Planning and Community Right-to-Know Act (EPCRA) Trade Secret Claims</w:t>
      </w:r>
      <w:r w:rsidR="00552A73">
        <w:rPr>
          <w:sz w:val="24"/>
          <w:szCs w:val="24"/>
        </w:rPr>
        <w:t xml:space="preserve"> (EPA ICR N</w:t>
      </w:r>
      <w:r w:rsidR="00554A6B">
        <w:rPr>
          <w:sz w:val="24"/>
          <w:szCs w:val="24"/>
        </w:rPr>
        <w:t>umber</w:t>
      </w:r>
      <w:r w:rsidR="00552A73">
        <w:rPr>
          <w:sz w:val="24"/>
          <w:szCs w:val="24"/>
        </w:rPr>
        <w:t xml:space="preserve"> </w:t>
      </w:r>
      <w:r w:rsidR="009109D0">
        <w:rPr>
          <w:sz w:val="24"/>
          <w:szCs w:val="24"/>
        </w:rPr>
        <w:t>1428.13</w:t>
      </w:r>
      <w:r w:rsidR="00552A73">
        <w:rPr>
          <w:sz w:val="24"/>
          <w:szCs w:val="24"/>
        </w:rPr>
        <w:t>, OMB Control N</w:t>
      </w:r>
      <w:r w:rsidR="00554A6B">
        <w:rPr>
          <w:sz w:val="24"/>
          <w:szCs w:val="24"/>
        </w:rPr>
        <w:t>umber</w:t>
      </w:r>
      <w:r w:rsidR="00552A73">
        <w:rPr>
          <w:sz w:val="24"/>
          <w:szCs w:val="24"/>
        </w:rPr>
        <w:t xml:space="preserve"> </w:t>
      </w:r>
      <w:r w:rsidR="008C350E">
        <w:rPr>
          <w:sz w:val="24"/>
          <w:szCs w:val="24"/>
        </w:rPr>
        <w:t>2050-0078</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 </w:t>
      </w:r>
      <w:r w:rsidR="008C350E">
        <w:rPr>
          <w:sz w:val="24"/>
          <w:szCs w:val="24"/>
        </w:rPr>
        <w:t>June 30, 2026</w:t>
      </w:r>
      <w:r w:rsidR="00552A73">
        <w:rPr>
          <w:sz w:val="24"/>
          <w:szCs w:val="24"/>
        </w:rPr>
        <w:t>. 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 </w:t>
      </w:r>
      <w:r w:rsidR="00285D05">
        <w:rPr>
          <w:sz w:val="24"/>
          <w:szCs w:val="24"/>
        </w:rPr>
        <w:t>December 11, 2025, d</w:t>
      </w:r>
      <w:r w:rsidR="00FF7A1C">
        <w:rPr>
          <w:sz w:val="24"/>
          <w:szCs w:val="24"/>
        </w:rPr>
        <w:t xml:space="preserve">uring </w:t>
      </w:r>
      <w:r w:rsidRPr="00BA10F0" w:rsidR="00BA10F0">
        <w:rPr>
          <w:sz w:val="24"/>
          <w:szCs w:val="24"/>
        </w:rPr>
        <w:t xml:space="preserve">a 60-day comment period. This notice allows for an additional 30 days for public comments. </w:t>
      </w:r>
    </w:p>
    <w:p w:rsidR="00B60CF6" w:rsidRPr="003E549D" w:rsidP="63F1524B" w14:paraId="3EC694DF" w14:textId="19768290">
      <w:pPr>
        <w:spacing w:line="480" w:lineRule="auto"/>
        <w:rPr>
          <w:color w:val="3366FF"/>
          <w:sz w:val="24"/>
          <w:szCs w:val="24"/>
        </w:rPr>
      </w:pPr>
      <w:r w:rsidRPr="63F1524B">
        <w:rPr>
          <w:b/>
          <w:bCs/>
          <w:sz w:val="24"/>
          <w:szCs w:val="24"/>
        </w:rPr>
        <w:t>DATES</w:t>
      </w:r>
      <w:r w:rsidRPr="63F1524B">
        <w:rPr>
          <w:sz w:val="24"/>
          <w:szCs w:val="24"/>
        </w:rPr>
        <w:t xml:space="preserve">: </w:t>
      </w:r>
      <w:r w:rsidR="00E40140">
        <w:rPr>
          <w:sz w:val="24"/>
          <w:szCs w:val="24"/>
        </w:rPr>
        <w:t>C</w:t>
      </w:r>
      <w:r w:rsidRPr="63F1524B">
        <w:rPr>
          <w:sz w:val="24"/>
          <w:szCs w:val="24"/>
        </w:rPr>
        <w:t xml:space="preserve">omments may be submitted on or before </w:t>
      </w:r>
      <w:bookmarkStart w:id="0" w:name="_Hlk124503776"/>
      <w:r w:rsidRPr="63F1524B">
        <w:rPr>
          <w:sz w:val="24"/>
          <w:szCs w:val="24"/>
        </w:rPr>
        <w:t>[</w:t>
      </w:r>
      <w:r w:rsidRPr="0062343F">
        <w:rPr>
          <w:b/>
          <w:caps/>
          <w:sz w:val="24"/>
          <w:szCs w:val="24"/>
          <w:u w:val="single"/>
        </w:rPr>
        <w:t>insert date 30</w:t>
      </w:r>
      <w:r w:rsidRPr="0062343F">
        <w:rPr>
          <w:b/>
          <w:caps/>
          <w:color w:val="0000FF"/>
          <w:sz w:val="24"/>
          <w:szCs w:val="24"/>
          <w:u w:val="single"/>
        </w:rPr>
        <w:t xml:space="preserve"> </w:t>
      </w:r>
      <w:r w:rsidRPr="0062343F">
        <w:rPr>
          <w:b/>
          <w:caps/>
          <w:sz w:val="24"/>
          <w:szCs w:val="24"/>
          <w:u w:val="single"/>
        </w:rPr>
        <w:t>days after</w:t>
      </w:r>
      <w:r w:rsidR="00554A6B">
        <w:rPr>
          <w:b/>
          <w:caps/>
          <w:sz w:val="24"/>
          <w:szCs w:val="24"/>
          <w:u w:val="single"/>
        </w:rPr>
        <w:t xml:space="preserve"> DATE OF</w:t>
      </w:r>
      <w:r w:rsidRPr="0062343F">
        <w:rPr>
          <w:b/>
          <w:caps/>
          <w:sz w:val="24"/>
          <w:szCs w:val="24"/>
          <w:u w:val="single"/>
        </w:rPr>
        <w:t xml:space="preserve"> publication in the </w:t>
      </w:r>
      <w:r w:rsidRPr="00733CC0">
        <w:rPr>
          <w:b/>
          <w:i/>
          <w:iCs/>
          <w:caps/>
          <w:sz w:val="24"/>
          <w:szCs w:val="24"/>
          <w:u w:val="single"/>
        </w:rPr>
        <w:t>Federal Register</w:t>
      </w:r>
      <w:r w:rsidRPr="63F1524B">
        <w:rPr>
          <w:sz w:val="24"/>
          <w:szCs w:val="24"/>
        </w:rPr>
        <w:t>].</w:t>
      </w:r>
      <w:bookmarkEnd w:id="0"/>
    </w:p>
    <w:p w:rsidR="00D1312F" w:rsidP="58991936" w14:paraId="065DF932" w14:textId="78B2EE57">
      <w:pPr>
        <w:spacing w:line="480" w:lineRule="auto"/>
        <w:rPr>
          <w:sz w:val="24"/>
          <w:szCs w:val="24"/>
        </w:rPr>
      </w:pPr>
      <w:r w:rsidRPr="58991936">
        <w:rPr>
          <w:b/>
          <w:bCs/>
          <w:sz w:val="24"/>
          <w:szCs w:val="24"/>
        </w:rPr>
        <w:t>ADDRESSES</w:t>
      </w:r>
      <w:r w:rsidRPr="58991936">
        <w:rPr>
          <w:sz w:val="24"/>
          <w:szCs w:val="24"/>
        </w:rPr>
        <w:t xml:space="preserve">: Submit your comments, referencing Docket ID Number </w:t>
      </w:r>
      <w:r w:rsidRPr="001C03F3" w:rsidR="008C350E">
        <w:rPr>
          <w:sz w:val="24"/>
          <w:szCs w:val="24"/>
        </w:rPr>
        <w:t>EPA-HQ</w:t>
      </w:r>
      <w:r w:rsidR="00285D05">
        <w:rPr>
          <w:sz w:val="24"/>
          <w:szCs w:val="24"/>
        </w:rPr>
        <w:t>-</w:t>
      </w:r>
      <w:r w:rsidRPr="001C03F3" w:rsidR="008C350E">
        <w:rPr>
          <w:sz w:val="24"/>
          <w:szCs w:val="24"/>
        </w:rPr>
        <w:t>SFUND</w:t>
      </w:r>
      <w:r w:rsidR="00285D05">
        <w:rPr>
          <w:sz w:val="24"/>
          <w:szCs w:val="24"/>
        </w:rPr>
        <w:t>-</w:t>
      </w:r>
      <w:r w:rsidRPr="001C03F3" w:rsidR="008C350E">
        <w:rPr>
          <w:sz w:val="24"/>
          <w:szCs w:val="24"/>
        </w:rPr>
        <w:t>2006</w:t>
      </w:r>
      <w:r w:rsidR="00285D05">
        <w:rPr>
          <w:sz w:val="24"/>
          <w:szCs w:val="24"/>
        </w:rPr>
        <w:t>-</w:t>
      </w:r>
      <w:r w:rsidRPr="001C03F3" w:rsidR="008C350E">
        <w:rPr>
          <w:sz w:val="24"/>
          <w:szCs w:val="24"/>
        </w:rPr>
        <w:t>0361</w:t>
      </w:r>
      <w:r w:rsidRPr="58991936">
        <w:rPr>
          <w:sz w:val="24"/>
          <w:szCs w:val="24"/>
        </w:rPr>
        <w:t>, to EPA online using www.regulations.gov (our preferred method) or by mail to: EPA Docket Center, Environmental Protection Agency,</w:t>
      </w:r>
      <w:r w:rsidRPr="58991936">
        <w:rPr>
          <w:color w:val="008000"/>
          <w:sz w:val="24"/>
          <w:szCs w:val="24"/>
        </w:rPr>
        <w:t xml:space="preserve"> </w:t>
      </w:r>
      <w:r w:rsidRPr="58991936">
        <w:rPr>
          <w:sz w:val="24"/>
          <w:szCs w:val="24"/>
        </w:rPr>
        <w:t>Mail Code 28221T, 1200 Pennsylvania Ave., NW, Washington, DC 20460</w:t>
      </w:r>
      <w:r w:rsidRPr="58991936" w:rsidR="00ED4A8E">
        <w:rPr>
          <w:sz w:val="24"/>
          <w:szCs w:val="24"/>
        </w:rPr>
        <w:t xml:space="preserve">. </w:t>
      </w:r>
    </w:p>
    <w:p w:rsidR="00D1312F" w:rsidP="58991936" w14:paraId="68BC8FFE" w14:textId="11EA43F2">
      <w:pPr>
        <w:spacing w:line="480" w:lineRule="auto"/>
        <w:ind w:firstLine="720"/>
        <w:rPr>
          <w:sz w:val="24"/>
          <w:szCs w:val="24"/>
        </w:rPr>
      </w:pPr>
      <w:r w:rsidRPr="58991936">
        <w:rPr>
          <w:sz w:val="24"/>
          <w:szCs w:val="24"/>
        </w:rPr>
        <w:t xml:space="preserve">EPA's policy is that all comments received will be included in the public docket without change including any personal information provided, unless the comment includes </w:t>
      </w:r>
      <w:r w:rsidRPr="58991936" w:rsidR="00E44FAA">
        <w:rPr>
          <w:sz w:val="24"/>
          <w:szCs w:val="24"/>
        </w:rPr>
        <w:t xml:space="preserve">profanity, </w:t>
      </w:r>
      <w:r w:rsidRPr="58991936" w:rsidR="00E44FAA">
        <w:rPr>
          <w:sz w:val="24"/>
          <w:szCs w:val="24"/>
        </w:rPr>
        <w:t xml:space="preserve">threats, </w:t>
      </w:r>
      <w:r w:rsidRPr="58991936">
        <w:rPr>
          <w:sz w:val="24"/>
          <w:szCs w:val="24"/>
        </w:rPr>
        <w:t>information claimed to be Confidential Business Information (CBI) or other information whose disclosure is restricted by statute.</w:t>
      </w:r>
    </w:p>
    <w:p w:rsidR="00ED4A8E" w:rsidP="63F1524B" w14:paraId="63B8D294" w14:textId="392BB397">
      <w:pPr>
        <w:spacing w:line="480" w:lineRule="auto"/>
        <w:rPr>
          <w:sz w:val="24"/>
          <w:szCs w:val="24"/>
        </w:rPr>
      </w:pPr>
      <w:r>
        <w:rPr>
          <w:sz w:val="24"/>
          <w:szCs w:val="24"/>
        </w:rPr>
        <w:tab/>
      </w:r>
      <w:bookmarkStart w:id="1" w:name="_Hlk124503881"/>
      <w:r w:rsidRPr="00ED4A8E">
        <w:rPr>
          <w:sz w:val="24"/>
          <w:szCs w:val="24"/>
        </w:rPr>
        <w:t xml:space="preserve">Submit written comments and recommendations to OMB for the proposed information collection within 30 days of publication of this notice to www.reginfo.gov/public/do/PRAMain. Find this </w:t>
      </w:r>
      <w:r w:rsidRPr="00ED4A8E">
        <w:rPr>
          <w:sz w:val="24"/>
          <w:szCs w:val="24"/>
        </w:rPr>
        <w:t>particular information</w:t>
      </w:r>
      <w:r w:rsidRPr="00ED4A8E">
        <w:rPr>
          <w:sz w:val="24"/>
          <w:szCs w:val="24"/>
        </w:rPr>
        <w:t xml:space="preserve"> collection by selecting "Currently under 30-day Review - Open for Public Comments" or by using the search function.</w:t>
      </w:r>
      <w:bookmarkEnd w:id="1"/>
    </w:p>
    <w:p w:rsidR="00B3747E" w:rsidRPr="00252820" w:rsidP="63F1524B" w14:paraId="6718238A" w14:textId="0318D7B5">
      <w:pPr>
        <w:spacing w:line="480" w:lineRule="auto"/>
        <w:rPr>
          <w:sz w:val="24"/>
          <w:szCs w:val="24"/>
        </w:rPr>
      </w:pPr>
      <w:r w:rsidRPr="7BF5AD37">
        <w:rPr>
          <w:b/>
          <w:bCs/>
          <w:sz w:val="24"/>
          <w:szCs w:val="24"/>
        </w:rPr>
        <w:t>FOR FURTHER INFORMATION CONTACT</w:t>
      </w:r>
      <w:r w:rsidRPr="7BF5AD37">
        <w:rPr>
          <w:sz w:val="24"/>
          <w:szCs w:val="24"/>
        </w:rPr>
        <w:t xml:space="preserve">: </w:t>
      </w:r>
      <w:r w:rsidR="00B9022F">
        <w:rPr>
          <w:sz w:val="24"/>
          <w:szCs w:val="24"/>
        </w:rPr>
        <w:t>Jennifer Barre</w:t>
      </w:r>
      <w:r w:rsidRPr="001843D4" w:rsidR="001843D4">
        <w:rPr>
          <w:sz w:val="24"/>
          <w:szCs w:val="24"/>
        </w:rPr>
        <w:t>, Environmental Protection Agency, Waste and Chemical Implementation Division (WCID), Office of Resource Conservation and Recovery (ORCR), Mail Code 5101T</w:t>
      </w:r>
      <w:r w:rsidRPr="7BF5AD37">
        <w:rPr>
          <w:sz w:val="24"/>
          <w:szCs w:val="24"/>
        </w:rPr>
        <w:t>, Environmental Protection Agency,</w:t>
      </w:r>
      <w:r w:rsidRPr="7BF5AD37">
        <w:rPr>
          <w:color w:val="0000FF"/>
          <w:sz w:val="24"/>
          <w:szCs w:val="24"/>
        </w:rPr>
        <w:t xml:space="preserve"> </w:t>
      </w:r>
      <w:r w:rsidRPr="7BF5AD37">
        <w:rPr>
          <w:sz w:val="24"/>
          <w:szCs w:val="24"/>
        </w:rPr>
        <w:t>1200 Pennsylvania Ave., NW, Washington, DC 20460; telephone number:</w:t>
      </w:r>
      <w:r w:rsidRPr="7BF5AD37">
        <w:rPr>
          <w:color w:val="3366FF"/>
          <w:sz w:val="24"/>
          <w:szCs w:val="24"/>
        </w:rPr>
        <w:t xml:space="preserve"> </w:t>
      </w:r>
      <w:r w:rsidRPr="00252820" w:rsidR="00252820">
        <w:rPr>
          <w:sz w:val="24"/>
          <w:szCs w:val="24"/>
        </w:rPr>
        <w:t>(202) 56</w:t>
      </w:r>
      <w:r w:rsidR="00B9022F">
        <w:rPr>
          <w:sz w:val="24"/>
          <w:szCs w:val="24"/>
        </w:rPr>
        <w:t>4</w:t>
      </w:r>
      <w:r w:rsidRPr="00252820" w:rsidR="00252820">
        <w:rPr>
          <w:sz w:val="24"/>
          <w:szCs w:val="24"/>
        </w:rPr>
        <w:t>–</w:t>
      </w:r>
      <w:r w:rsidR="00B9022F">
        <w:rPr>
          <w:sz w:val="24"/>
          <w:szCs w:val="24"/>
        </w:rPr>
        <w:t>9026</w:t>
      </w:r>
      <w:r w:rsidRPr="00252820" w:rsidR="00252820">
        <w:rPr>
          <w:sz w:val="24"/>
          <w:szCs w:val="24"/>
        </w:rPr>
        <w:t xml:space="preserve">; email address: </w:t>
      </w:r>
      <w:r w:rsidR="00B9022F">
        <w:rPr>
          <w:sz w:val="24"/>
          <w:szCs w:val="24"/>
        </w:rPr>
        <w:t>barre.jennifer</w:t>
      </w:r>
      <w:r w:rsidRPr="00252820" w:rsidR="00252820">
        <w:rPr>
          <w:sz w:val="24"/>
          <w:szCs w:val="24"/>
        </w:rPr>
        <w:t>@epa.gov</w:t>
      </w:r>
      <w:r w:rsidRPr="00252820">
        <w:rPr>
          <w:sz w:val="24"/>
          <w:szCs w:val="24"/>
        </w:rPr>
        <w:t xml:space="preserve">. </w:t>
      </w:r>
    </w:p>
    <w:p w:rsidR="009744AC" w:rsidP="63F1524B" w14:paraId="7EC7ABC3" w14:textId="1C9A8874">
      <w:pPr>
        <w:spacing w:line="480" w:lineRule="auto"/>
        <w:rPr>
          <w:sz w:val="24"/>
          <w:szCs w:val="24"/>
        </w:rPr>
      </w:pPr>
      <w:r w:rsidRPr="63F1524B">
        <w:rPr>
          <w:b/>
          <w:bCs/>
          <w:sz w:val="24"/>
          <w:szCs w:val="24"/>
        </w:rPr>
        <w:t>SUPPLEMENTARY INFORMATION</w:t>
      </w:r>
      <w:r w:rsidRPr="63F1524B">
        <w:rPr>
          <w:sz w:val="24"/>
          <w:szCs w:val="24"/>
        </w:rPr>
        <w:t xml:space="preserve">: </w:t>
      </w:r>
      <w:bookmarkStart w:id="2" w:name="_Hlk124500312"/>
      <w:r w:rsidRPr="00BA10F0" w:rsidR="00554A6B">
        <w:rPr>
          <w:sz w:val="24"/>
          <w:szCs w:val="24"/>
        </w:rPr>
        <w:t xml:space="preserve">This is </w:t>
      </w:r>
      <w:r w:rsidR="00554A6B">
        <w:rPr>
          <w:sz w:val="24"/>
          <w:szCs w:val="24"/>
        </w:rPr>
        <w:t xml:space="preserve">a </w:t>
      </w:r>
      <w:r w:rsidRPr="00BA10F0" w:rsidR="00554A6B">
        <w:rPr>
          <w:sz w:val="24"/>
          <w:szCs w:val="24"/>
        </w:rPr>
        <w:t>proposed extension of</w:t>
      </w:r>
      <w:r w:rsidR="00554A6B">
        <w:rPr>
          <w:sz w:val="24"/>
          <w:szCs w:val="24"/>
        </w:rPr>
        <w:t xml:space="preserve"> the ICR, which is currently approved </w:t>
      </w:r>
      <w:r w:rsidR="00554A6B">
        <w:rPr>
          <w:sz w:val="24"/>
          <w:szCs w:val="24"/>
        </w:rPr>
        <w:t>through</w:t>
      </w:r>
      <w:r w:rsidR="005455DD">
        <w:rPr>
          <w:sz w:val="24"/>
          <w:szCs w:val="24"/>
        </w:rPr>
        <w:t xml:space="preserve"> June 30, 2026</w:t>
      </w:r>
      <w:r w:rsidR="00554A6B">
        <w:rPr>
          <w:sz w:val="24"/>
          <w:szCs w:val="24"/>
        </w:rPr>
        <w:t xml:space="preserve">. </w:t>
      </w:r>
      <w:r>
        <w:rPr>
          <w:sz w:val="24"/>
          <w:szCs w:val="24"/>
        </w:rPr>
        <w:t xml:space="preserve">An agency may not </w:t>
      </w:r>
      <w:r>
        <w:rPr>
          <w:sz w:val="24"/>
          <w:szCs w:val="24"/>
        </w:rPr>
        <w:t>conduct</w:t>
      </w:r>
      <w:r>
        <w:rPr>
          <w:sz w:val="24"/>
          <w:szCs w:val="24"/>
        </w:rPr>
        <w:t xml:space="preserve"> or sponsor and a person is not required to respond to a collection of information unless it displays a currently valid OMB control number.</w:t>
      </w:r>
    </w:p>
    <w:p w:rsidR="000F1673" w:rsidP="0062343F" w14:paraId="7E7B2D01" w14:textId="2B84CD65">
      <w:pPr>
        <w:spacing w:line="480" w:lineRule="auto"/>
        <w:ind w:firstLine="720"/>
        <w:rPr>
          <w:sz w:val="24"/>
          <w:szCs w:val="24"/>
        </w:rPr>
      </w:pPr>
      <w:r w:rsidRPr="265B3F71">
        <w:rPr>
          <w:sz w:val="24"/>
          <w:szCs w:val="24"/>
        </w:rPr>
        <w:t xml:space="preserve">Public comments were previously requested via the </w:t>
      </w:r>
      <w:r w:rsidRPr="265B3F71">
        <w:rPr>
          <w:i/>
          <w:iCs/>
          <w:sz w:val="24"/>
          <w:szCs w:val="24"/>
        </w:rPr>
        <w:t>Federal Register</w:t>
      </w:r>
      <w:r w:rsidRPr="265B3F71">
        <w:rPr>
          <w:sz w:val="24"/>
          <w:szCs w:val="24"/>
        </w:rPr>
        <w:t xml:space="preserve"> on</w:t>
      </w:r>
      <w:r w:rsidR="00B9022F">
        <w:rPr>
          <w:sz w:val="24"/>
          <w:szCs w:val="24"/>
        </w:rPr>
        <w:t xml:space="preserve"> December 11, 2025, </w:t>
      </w:r>
      <w:r w:rsidRPr="265B3F71">
        <w:rPr>
          <w:sz w:val="24"/>
          <w:szCs w:val="24"/>
        </w:rPr>
        <w:t>during a 60-day comment period</w:t>
      </w:r>
      <w:r w:rsidRPr="265B3F71" w:rsidR="0062343F">
        <w:rPr>
          <w:sz w:val="24"/>
          <w:szCs w:val="24"/>
        </w:rPr>
        <w:t xml:space="preserve"> </w:t>
      </w:r>
      <w:r w:rsidR="00B9022F">
        <w:rPr>
          <w:sz w:val="24"/>
          <w:szCs w:val="24"/>
        </w:rPr>
        <w:t>(90 FR 57462).</w:t>
      </w:r>
      <w:r w:rsidRPr="265B3F71">
        <w:rPr>
          <w:sz w:val="24"/>
          <w:szCs w:val="24"/>
        </w:rPr>
        <w:t xml:space="preserve"> This notice allows for an additional 30 days for public comments. </w:t>
      </w:r>
      <w:bookmarkEnd w:id="2"/>
      <w:r w:rsidRPr="265B3F71" w:rsidR="0066431E">
        <w:rPr>
          <w:sz w:val="24"/>
          <w:szCs w:val="24"/>
        </w:rPr>
        <w:t>Supporting documents</w:t>
      </w:r>
      <w:r w:rsidRPr="265B3F71" w:rsidR="00ED4A8E">
        <w:rPr>
          <w:sz w:val="24"/>
          <w:szCs w:val="24"/>
        </w:rPr>
        <w:t>,</w:t>
      </w:r>
      <w:r w:rsidRPr="265B3F71" w:rsidR="0066431E">
        <w:rPr>
          <w:sz w:val="24"/>
          <w:szCs w:val="24"/>
        </w:rPr>
        <w:t xml:space="preserve"> which explain in detail the information that the EPA will be collecting</w:t>
      </w:r>
      <w:r w:rsidRPr="265B3F71" w:rsidR="00ED4A8E">
        <w:rPr>
          <w:sz w:val="24"/>
          <w:szCs w:val="24"/>
        </w:rPr>
        <w:t>,</w:t>
      </w:r>
      <w:r w:rsidRPr="265B3F71" w:rsidR="0066431E">
        <w:rPr>
          <w:sz w:val="24"/>
          <w:szCs w:val="24"/>
        </w:rPr>
        <w:t xml:space="preserve"> are available </w:t>
      </w:r>
      <w:r w:rsidRPr="265B3F71" w:rsidR="0066431E">
        <w:rPr>
          <w:sz w:val="24"/>
          <w:szCs w:val="24"/>
        </w:rPr>
        <w:t>in</w:t>
      </w:r>
      <w:r w:rsidRPr="265B3F71" w:rsidR="0066431E">
        <w:rPr>
          <w:sz w:val="24"/>
          <w:szCs w:val="24"/>
        </w:rPr>
        <w:t xml:space="preserve"> the public docket for this ICR. The docket can be viewed online at www.regulations.gov or in person at the EPA Docket Center, </w:t>
      </w:r>
      <w:r w:rsidRPr="265B3F71" w:rsidR="008973A2">
        <w:rPr>
          <w:sz w:val="24"/>
          <w:szCs w:val="24"/>
        </w:rPr>
        <w:t>WJC</w:t>
      </w:r>
      <w:r w:rsidRPr="265B3F71" w:rsidR="0066431E">
        <w:rPr>
          <w:sz w:val="24"/>
          <w:szCs w:val="24"/>
        </w:rPr>
        <w:t xml:space="preserve"> West, Room 3334, 1301 Constitution Ave., NW, Washington, DC. The telephone number for the Docket Center is 202-566-1744.  For additional information about EPA’s public docket, visit </w:t>
      </w:r>
      <w:r w:rsidRPr="265B3F71" w:rsidR="009744AC">
        <w:rPr>
          <w:rStyle w:val="Hyperlink"/>
          <w:color w:val="auto"/>
          <w:sz w:val="24"/>
          <w:szCs w:val="24"/>
          <w:u w:val="none"/>
        </w:rPr>
        <w:t>http://www.epa.gov/dockets</w:t>
      </w:r>
      <w:r w:rsidRPr="265B3F71" w:rsidR="0066431E">
        <w:rPr>
          <w:sz w:val="24"/>
          <w:szCs w:val="24"/>
        </w:rPr>
        <w:t>.</w:t>
      </w:r>
    </w:p>
    <w:p w:rsidR="0051131E" w:rsidRPr="0051131E" w:rsidP="0051131E" w14:paraId="398A5621" w14:textId="77777777">
      <w:pPr>
        <w:spacing w:line="480" w:lineRule="auto"/>
        <w:rPr>
          <w:sz w:val="24"/>
          <w:szCs w:val="24"/>
        </w:rPr>
      </w:pPr>
      <w:r w:rsidRPr="0051131E">
        <w:rPr>
          <w:i/>
          <w:iCs/>
          <w:sz w:val="24"/>
          <w:szCs w:val="24"/>
        </w:rPr>
        <w:t>Abstract: </w:t>
      </w:r>
      <w:r w:rsidRPr="0051131E">
        <w:rPr>
          <w:sz w:val="24"/>
          <w:szCs w:val="24"/>
        </w:rPr>
        <w:t xml:space="preserve">This information collection request pertains to trade secrecy claims submitted under </w:t>
      </w:r>
      <w:r w:rsidRPr="0051131E">
        <w:rPr>
          <w:sz w:val="24"/>
          <w:szCs w:val="24"/>
        </w:rPr>
        <w:t xml:space="preserve">section 322 of the Emergency Planning and Community Right-to-Know Act of 1986 (EPCRA). EPCRA contains provisions requiring facilities to report to state and local authorities, and EPA, the presence of extremely hazardous substances (section 302), inventory of hazardous chemicals (sections 311 and 312) and manufacture, process and use of toxic chemicals (section 313). Section 322 of EPCRA allows a facility to withhold the specific chemical identity from these EPCRA reports if the facility asserts a </w:t>
      </w:r>
      <w:r w:rsidRPr="0051131E">
        <w:rPr>
          <w:sz w:val="24"/>
          <w:szCs w:val="24"/>
        </w:rPr>
        <w:t>trade secret</w:t>
      </w:r>
      <w:r w:rsidRPr="0051131E">
        <w:rPr>
          <w:sz w:val="24"/>
          <w:szCs w:val="24"/>
        </w:rPr>
        <w:t xml:space="preserve"> claim for that chemical identity. The provisions in section 322 establish the requirements and procedures that facilities must follow to request trade secret treatment of chemical identities, as well as the procedures for submitting public petitions to the Agency for review of the “sufficiency” of trade secret claims.</w:t>
      </w:r>
    </w:p>
    <w:p w:rsidR="0051131E" w:rsidRPr="0051131E" w:rsidP="0051131E" w14:paraId="0F39CC2C" w14:textId="6573301E">
      <w:pPr>
        <w:spacing w:line="480" w:lineRule="auto"/>
        <w:ind w:firstLine="720"/>
        <w:rPr>
          <w:sz w:val="24"/>
          <w:szCs w:val="24"/>
        </w:rPr>
      </w:pPr>
      <w:r w:rsidRPr="0051131E">
        <w:rPr>
          <w:sz w:val="24"/>
          <w:szCs w:val="24"/>
        </w:rPr>
        <w:t>Trade secret protection is provided for specific chemical identities contained in reports submitted under each of the following sections of EPCRA: (1) Section 303(d)(2)—Facility notification of changes that have or are about to occur; (2) section 303(d)(3)—Local Emergency Planning Committee (LEPC) requests for facility information to develop or implement emergency plans; (3) section 311—Safety Data Sheets (SDSs) submitted by facilities, or lists of those chemicals submitted in place of the SDSs; (4) section 312—Emergency and Hazardous Chemical Inventory forms (Tier I and Tier II); and (5) section 313—Toxic Chemical Release Inventory form.</w:t>
      </w:r>
    </w:p>
    <w:p w:rsidR="00114A4C" w:rsidP="63F1524B" w14:paraId="1A4B6952" w14:textId="0E90EA47">
      <w:pPr>
        <w:spacing w:line="480" w:lineRule="auto"/>
        <w:rPr>
          <w:b/>
          <w:bCs/>
          <w:sz w:val="24"/>
          <w:szCs w:val="24"/>
        </w:rPr>
      </w:pPr>
      <w:r w:rsidRPr="63F1524B">
        <w:rPr>
          <w:i/>
          <w:iCs/>
          <w:sz w:val="24"/>
          <w:szCs w:val="24"/>
        </w:rPr>
        <w:t>Form Numbers:</w:t>
      </w:r>
      <w:r w:rsidRPr="63F1524B">
        <w:rPr>
          <w:b/>
          <w:bCs/>
          <w:sz w:val="24"/>
          <w:szCs w:val="24"/>
        </w:rPr>
        <w:t xml:space="preserve"> </w:t>
      </w:r>
      <w:r w:rsidRPr="009D1283" w:rsidR="00847630">
        <w:rPr>
          <w:sz w:val="24"/>
          <w:szCs w:val="24"/>
        </w:rPr>
        <w:t>EPA Form 9510–1</w:t>
      </w:r>
      <w:r w:rsidRPr="00554A6B" w:rsidR="00554A6B">
        <w:rPr>
          <w:color w:val="0000FF"/>
          <w:sz w:val="24"/>
          <w:szCs w:val="24"/>
        </w:rPr>
        <w:t>.</w:t>
      </w:r>
    </w:p>
    <w:p w:rsidR="00EC0180" w:rsidP="63F1524B" w14:paraId="3D92B14A" w14:textId="3960712F">
      <w:pPr>
        <w:spacing w:line="480" w:lineRule="auto"/>
        <w:rPr>
          <w:sz w:val="24"/>
          <w:szCs w:val="24"/>
        </w:rPr>
      </w:pPr>
      <w:r w:rsidRPr="63F1524B">
        <w:rPr>
          <w:i/>
          <w:iCs/>
          <w:sz w:val="24"/>
          <w:szCs w:val="24"/>
        </w:rPr>
        <w:t>Respondents/affected entities:</w:t>
      </w:r>
      <w:r w:rsidRPr="63F1524B">
        <w:rPr>
          <w:sz w:val="24"/>
          <w:szCs w:val="24"/>
        </w:rPr>
        <w:t xml:space="preserve"> </w:t>
      </w:r>
      <w:r w:rsidRPr="009367E4" w:rsidR="00322AE3">
        <w:rPr>
          <w:sz w:val="24"/>
          <w:szCs w:val="24"/>
        </w:rPr>
        <w:t>Entities potentially affected by this action are manufacturer and non-manufacturer facilities subject to reporting under sections 303, 311, 312 or 313 of the Emergency Planning and Community Right-to-Know Act (EPCRA)</w:t>
      </w:r>
      <w:r w:rsidRPr="00554A6B" w:rsidR="00554A6B">
        <w:rPr>
          <w:color w:val="0000FF"/>
          <w:sz w:val="24"/>
          <w:szCs w:val="24"/>
        </w:rPr>
        <w:t>.</w:t>
      </w:r>
      <w:r w:rsidRPr="63F1524B">
        <w:rPr>
          <w:color w:val="0080FF"/>
          <w:sz w:val="24"/>
          <w:szCs w:val="24"/>
        </w:rPr>
        <w:t xml:space="preserve"> </w:t>
      </w:r>
    </w:p>
    <w:p w:rsidR="000B2475" w:rsidP="63F1524B" w14:paraId="246FBD50" w14:textId="5756E6A9">
      <w:pPr>
        <w:spacing w:line="480" w:lineRule="auto"/>
        <w:rPr>
          <w:sz w:val="24"/>
          <w:szCs w:val="24"/>
        </w:rPr>
      </w:pPr>
      <w:r w:rsidRPr="63F1524B">
        <w:rPr>
          <w:i/>
          <w:iCs/>
          <w:sz w:val="24"/>
          <w:szCs w:val="24"/>
        </w:rPr>
        <w:t>Respondent’s obligation to respond:</w:t>
      </w:r>
      <w:r w:rsidRPr="63F1524B">
        <w:rPr>
          <w:sz w:val="24"/>
          <w:szCs w:val="24"/>
        </w:rPr>
        <w:t xml:space="preserve"> </w:t>
      </w:r>
      <w:r w:rsidRPr="009367E4" w:rsidR="003236ED">
        <w:rPr>
          <w:sz w:val="24"/>
          <w:szCs w:val="24"/>
        </w:rPr>
        <w:t>Mandatory if a respondent decides to make a trade secret claim for the chemical identity for any of the chemicals in any of the reports the</w:t>
      </w:r>
      <w:r w:rsidR="003236ED">
        <w:rPr>
          <w:sz w:val="24"/>
          <w:szCs w:val="24"/>
        </w:rPr>
        <w:t xml:space="preserve"> </w:t>
      </w:r>
      <w:r w:rsidRPr="009367E4" w:rsidR="003236ED">
        <w:rPr>
          <w:sz w:val="24"/>
          <w:szCs w:val="24"/>
        </w:rPr>
        <w:t>respondent is required to submit under EPCRA sections 303, 311, 312 or 313</w:t>
      </w:r>
      <w:r w:rsidRPr="003236ED" w:rsidR="00554A6B">
        <w:rPr>
          <w:sz w:val="24"/>
          <w:szCs w:val="24"/>
        </w:rPr>
        <w:t>.</w:t>
      </w:r>
    </w:p>
    <w:p w:rsidR="007E7A35" w:rsidP="63F1524B" w14:paraId="78055CA9" w14:textId="09A3AA46">
      <w:pPr>
        <w:spacing w:line="480" w:lineRule="auto"/>
        <w:rPr>
          <w:sz w:val="24"/>
          <w:szCs w:val="24"/>
        </w:rPr>
      </w:pPr>
      <w:r w:rsidRPr="265B3F71">
        <w:rPr>
          <w:i/>
          <w:iCs/>
          <w:sz w:val="24"/>
          <w:szCs w:val="24"/>
        </w:rPr>
        <w:t>Estimated number of respondents:</w:t>
      </w:r>
      <w:r w:rsidRPr="265B3F71">
        <w:rPr>
          <w:sz w:val="24"/>
          <w:szCs w:val="24"/>
        </w:rPr>
        <w:t xml:space="preserve"> </w:t>
      </w:r>
      <w:r w:rsidR="001E0DFF">
        <w:rPr>
          <w:sz w:val="24"/>
          <w:szCs w:val="24"/>
        </w:rPr>
        <w:t>55 facilities</w:t>
      </w:r>
      <w:r w:rsidRPr="00D26453" w:rsidR="009E6867">
        <w:rPr>
          <w:sz w:val="24"/>
          <w:szCs w:val="24"/>
        </w:rPr>
        <w:t xml:space="preserve"> </w:t>
      </w:r>
      <w:r w:rsidRPr="63F1524B" w:rsidR="009E6867">
        <w:rPr>
          <w:sz w:val="24"/>
          <w:szCs w:val="24"/>
        </w:rPr>
        <w:t>(total)</w:t>
      </w:r>
      <w:r w:rsidRPr="265B3F71">
        <w:rPr>
          <w:sz w:val="24"/>
          <w:szCs w:val="24"/>
        </w:rPr>
        <w:t>.</w:t>
      </w:r>
    </w:p>
    <w:p w:rsidR="007E7A35" w:rsidP="63F1524B" w14:paraId="1F8160D5" w14:textId="1A24183E">
      <w:pPr>
        <w:spacing w:line="480" w:lineRule="auto"/>
        <w:rPr>
          <w:sz w:val="24"/>
          <w:szCs w:val="24"/>
        </w:rPr>
      </w:pPr>
      <w:r w:rsidRPr="265B3F71">
        <w:rPr>
          <w:i/>
          <w:iCs/>
          <w:sz w:val="24"/>
          <w:szCs w:val="24"/>
        </w:rPr>
        <w:t>Frequency of response:</w:t>
      </w:r>
      <w:r w:rsidRPr="265B3F71">
        <w:rPr>
          <w:sz w:val="24"/>
          <w:szCs w:val="24"/>
        </w:rPr>
        <w:t xml:space="preserve"> </w:t>
      </w:r>
      <w:r w:rsidRPr="00D26453" w:rsidR="00CB67A8">
        <w:rPr>
          <w:sz w:val="24"/>
          <w:szCs w:val="24"/>
        </w:rPr>
        <w:t>Annual, with reports submitted under sections 312 and 313</w:t>
      </w:r>
      <w:r w:rsidRPr="265B3F71" w:rsidR="00554A6B">
        <w:rPr>
          <w:color w:val="0000FF"/>
          <w:sz w:val="24"/>
          <w:szCs w:val="24"/>
        </w:rPr>
        <w:t>.</w:t>
      </w:r>
      <w:r w:rsidRPr="265B3F71">
        <w:rPr>
          <w:b/>
          <w:bCs/>
          <w:color w:val="0000FF"/>
          <w:sz w:val="24"/>
          <w:szCs w:val="24"/>
        </w:rPr>
        <w:t xml:space="preserve"> </w:t>
      </w:r>
    </w:p>
    <w:p w:rsidR="007E7A35" w:rsidP="63F1524B" w14:paraId="5E56D61B" w14:textId="73073A24">
      <w:pPr>
        <w:spacing w:line="480" w:lineRule="auto"/>
        <w:rPr>
          <w:color w:val="0080FF"/>
          <w:sz w:val="24"/>
          <w:szCs w:val="24"/>
        </w:rPr>
      </w:pPr>
      <w:r w:rsidRPr="265B3F71">
        <w:rPr>
          <w:i/>
          <w:iCs/>
          <w:sz w:val="24"/>
          <w:szCs w:val="24"/>
        </w:rPr>
        <w:t>Total estimated burden:</w:t>
      </w:r>
      <w:r w:rsidRPr="265B3F71">
        <w:rPr>
          <w:sz w:val="24"/>
          <w:szCs w:val="24"/>
        </w:rPr>
        <w:t xml:space="preserve"> </w:t>
      </w:r>
      <w:r w:rsidRPr="009576B7" w:rsidR="00E73135">
        <w:rPr>
          <w:sz w:val="24"/>
          <w:szCs w:val="24"/>
        </w:rPr>
        <w:t>7,021</w:t>
      </w:r>
      <w:r w:rsidRPr="009576B7" w:rsidR="00E73135">
        <w:rPr>
          <w:b/>
          <w:bCs/>
          <w:sz w:val="24"/>
          <w:szCs w:val="24"/>
        </w:rPr>
        <w:t xml:space="preserve"> </w:t>
      </w:r>
      <w:r w:rsidRPr="63F1524B" w:rsidR="00E73135">
        <w:rPr>
          <w:sz w:val="24"/>
          <w:szCs w:val="24"/>
        </w:rPr>
        <w:t>hours (per year)</w:t>
      </w:r>
      <w:r w:rsidRPr="265B3F71">
        <w:rPr>
          <w:sz w:val="24"/>
          <w:szCs w:val="24"/>
        </w:rPr>
        <w:t xml:space="preserve">. </w:t>
      </w:r>
      <w:r w:rsidRPr="265B3F71">
        <w:rPr>
          <w:color w:val="0080FF"/>
          <w:sz w:val="24"/>
          <w:szCs w:val="24"/>
        </w:rPr>
        <w:t xml:space="preserve"> </w:t>
      </w:r>
      <w:r w:rsidRPr="265B3F71">
        <w:rPr>
          <w:sz w:val="24"/>
          <w:szCs w:val="24"/>
        </w:rPr>
        <w:t>Burden is defined at 5 CFR 1320.03(b)</w:t>
      </w:r>
      <w:r w:rsidRPr="265B3F71" w:rsidR="00ED4A8E">
        <w:rPr>
          <w:sz w:val="24"/>
          <w:szCs w:val="24"/>
        </w:rPr>
        <w:t>.</w:t>
      </w:r>
    </w:p>
    <w:p w:rsidR="007E7A35" w:rsidP="63F1524B" w14:paraId="06EF0C32" w14:textId="1FB8B0DD">
      <w:pPr>
        <w:spacing w:line="480" w:lineRule="auto"/>
        <w:rPr>
          <w:color w:val="0080FF"/>
          <w:sz w:val="24"/>
          <w:szCs w:val="24"/>
        </w:rPr>
      </w:pPr>
      <w:r w:rsidRPr="265B3F71">
        <w:rPr>
          <w:i/>
          <w:iCs/>
          <w:sz w:val="24"/>
          <w:szCs w:val="24"/>
        </w:rPr>
        <w:t>Total estimated cost:</w:t>
      </w:r>
      <w:r w:rsidRPr="265B3F71">
        <w:rPr>
          <w:sz w:val="24"/>
          <w:szCs w:val="24"/>
        </w:rPr>
        <w:t xml:space="preserve"> </w:t>
      </w:r>
      <w:r w:rsidRPr="63F1524B" w:rsidR="001F7E67">
        <w:rPr>
          <w:sz w:val="24"/>
          <w:szCs w:val="24"/>
        </w:rPr>
        <w:t>$</w:t>
      </w:r>
      <w:r w:rsidR="001F7E67">
        <w:rPr>
          <w:sz w:val="24"/>
          <w:szCs w:val="24"/>
        </w:rPr>
        <w:t>527,092</w:t>
      </w:r>
      <w:r w:rsidRPr="63F1524B" w:rsidR="001F7E67">
        <w:rPr>
          <w:b/>
          <w:bCs/>
          <w:color w:val="0000FF"/>
          <w:sz w:val="24"/>
          <w:szCs w:val="24"/>
        </w:rPr>
        <w:t xml:space="preserve"> </w:t>
      </w:r>
      <w:r w:rsidRPr="63F1524B" w:rsidR="001F7E67">
        <w:rPr>
          <w:sz w:val="24"/>
          <w:szCs w:val="24"/>
        </w:rPr>
        <w:t>(per year</w:t>
      </w:r>
      <w:r w:rsidR="001F7E67">
        <w:rPr>
          <w:sz w:val="24"/>
          <w:szCs w:val="24"/>
        </w:rPr>
        <w:t xml:space="preserve">). </w:t>
      </w:r>
      <w:r w:rsidRPr="00AA16AF" w:rsidR="001F7E67">
        <w:rPr>
          <w:sz w:val="24"/>
          <w:szCs w:val="24"/>
        </w:rPr>
        <w:t>There are no capital or operation</w:t>
      </w:r>
      <w:r w:rsidR="001F7E67">
        <w:rPr>
          <w:sz w:val="24"/>
          <w:szCs w:val="24"/>
        </w:rPr>
        <w:t xml:space="preserve"> </w:t>
      </w:r>
      <w:r w:rsidRPr="00AA16AF" w:rsidR="001F7E67">
        <w:rPr>
          <w:sz w:val="24"/>
          <w:szCs w:val="24"/>
        </w:rPr>
        <w:t>and maintenance costs associated with</w:t>
      </w:r>
      <w:r w:rsidR="001F7E67">
        <w:rPr>
          <w:sz w:val="24"/>
          <w:szCs w:val="24"/>
        </w:rPr>
        <w:t xml:space="preserve"> </w:t>
      </w:r>
      <w:r w:rsidRPr="00AA16AF" w:rsidR="001F7E67">
        <w:rPr>
          <w:sz w:val="24"/>
          <w:szCs w:val="24"/>
        </w:rPr>
        <w:t>this ICR</w:t>
      </w:r>
      <w:r w:rsidR="001F7E67">
        <w:rPr>
          <w:sz w:val="24"/>
          <w:szCs w:val="24"/>
        </w:rPr>
        <w:t>.</w:t>
      </w:r>
      <w:r w:rsidRPr="265B3F71">
        <w:rPr>
          <w:b/>
          <w:bCs/>
          <w:color w:val="0000FF"/>
          <w:sz w:val="24"/>
          <w:szCs w:val="24"/>
        </w:rPr>
        <w:t xml:space="preserve"> </w:t>
      </w:r>
    </w:p>
    <w:p w:rsidR="007E7A35" w:rsidP="63F1524B" w14:paraId="49754A22" w14:textId="5CB109BB">
      <w:pPr>
        <w:spacing w:line="480" w:lineRule="auto"/>
        <w:rPr>
          <w:color w:val="0080FF"/>
          <w:sz w:val="24"/>
          <w:szCs w:val="24"/>
        </w:rPr>
      </w:pPr>
      <w:r w:rsidRPr="63F1524B">
        <w:rPr>
          <w:i/>
          <w:iCs/>
          <w:sz w:val="24"/>
          <w:szCs w:val="24"/>
        </w:rPr>
        <w:t>Changes in the Estimates:</w:t>
      </w:r>
      <w:r w:rsidRPr="63F1524B">
        <w:rPr>
          <w:sz w:val="24"/>
          <w:szCs w:val="24"/>
        </w:rPr>
        <w:t xml:space="preserve"> </w:t>
      </w:r>
      <w:r w:rsidRPr="63F1524B" w:rsidR="00CF27F5">
        <w:rPr>
          <w:sz w:val="24"/>
          <w:szCs w:val="24"/>
        </w:rPr>
        <w:t xml:space="preserve">There is </w:t>
      </w:r>
      <w:r w:rsidRPr="0058074D" w:rsidR="00CF27F5">
        <w:rPr>
          <w:sz w:val="24"/>
          <w:szCs w:val="24"/>
        </w:rPr>
        <w:t>an increase of 4,332 hours in the total estimated respondent burden compared with the ICR currently approved by OMB. This increase is due to an increase in the actual number of claims submitted in RY 2023 and RY 2024 compared to the prior ICR period. EPA’s assumed labor burden per facility – 9.5 hours – is unchanged from the previous ICR</w:t>
      </w:r>
      <w:r w:rsidRPr="00CF27F5">
        <w:rPr>
          <w:sz w:val="24"/>
          <w:szCs w:val="24"/>
        </w:rPr>
        <w:t>.</w:t>
      </w:r>
    </w:p>
    <w:p w:rsidR="008956DF" w:rsidP="00B9022F" w14:paraId="10060889" w14:textId="0D264D57">
      <w:pPr>
        <w:spacing w:line="480" w:lineRule="auto"/>
        <w:rPr>
          <w:sz w:val="24"/>
          <w:szCs w:val="24"/>
          <w:lang w:val="en-CA"/>
        </w:rPr>
      </w:pPr>
      <w:r w:rsidRPr="4942CF5B">
        <w:rPr>
          <w:b/>
          <w:bCs/>
          <w:sz w:val="24"/>
          <w:szCs w:val="24"/>
        </w:rPr>
        <w:t>Courtney Kerwin,</w:t>
      </w:r>
      <w:r>
        <w:br/>
      </w:r>
      <w:r w:rsidRPr="002514C4">
        <w:rPr>
          <w:i/>
          <w:iCs/>
          <w:sz w:val="24"/>
          <w:szCs w:val="24"/>
        </w:rPr>
        <w:t xml:space="preserve">Deputy Director, Data </w:t>
      </w:r>
      <w:r w:rsidR="00633BB5">
        <w:rPr>
          <w:i/>
          <w:iCs/>
          <w:sz w:val="24"/>
          <w:szCs w:val="24"/>
        </w:rPr>
        <w:t>and</w:t>
      </w:r>
      <w:r w:rsidRPr="002514C4">
        <w:rPr>
          <w:i/>
          <w:iCs/>
          <w:sz w:val="24"/>
          <w:szCs w:val="24"/>
        </w:rPr>
        <w:t xml:space="preserve"> Enterprise Programs Division</w:t>
      </w:r>
      <w:r w:rsidR="00633BB5">
        <w:rPr>
          <w:i/>
          <w:iCs/>
          <w:sz w:val="24"/>
          <w:szCs w:val="24"/>
        </w:rPr>
        <w:t>.</w:t>
      </w:r>
    </w:p>
    <w:sectPr w:rsidSect="00B60CF6">
      <w:type w:val="continuous"/>
      <w:pgSz w:w="12240" w:h="15840"/>
      <w:pgMar w:top="1260" w:right="1440" w:bottom="1440" w:left="1440" w:header="720" w:footer="52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24C6DD4"/>
    <w:lvl w:ilvl="0">
      <w:start w:val="0"/>
      <w:numFmt w:val="bullet"/>
      <w:lvlText w:val="*"/>
      <w:lvlJc w:val="left"/>
    </w:lvl>
  </w:abstractNum>
  <w:abstractNum w:abstractNumId="1">
    <w:nsid w:val="24C97363"/>
    <w:multiLevelType w:val="hybridMultilevel"/>
    <w:tmpl w:val="9D7C10BE"/>
    <w:lvl w:ilvl="0">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start w:val="1"/>
      <w:numFmt w:val="bullet"/>
      <w:lvlText w:val=""/>
      <w:lvlJc w:val="left"/>
      <w:pPr>
        <w:tabs>
          <w:tab w:val="num" w:pos="720"/>
        </w:tabs>
        <w:ind w:left="720" w:hanging="360"/>
      </w:pPr>
      <w:rPr>
        <w:rFonts w:ascii="Symbol" w:hAnsi="Symbol" w:hint="default"/>
      </w:rPr>
    </w:lvl>
    <w:lvl w:ilvl="1">
      <w:start w:val="40"/>
      <w:numFmt w:val="bullet"/>
      <w:lvlText w:val=""/>
      <w:lvlJc w:val="left"/>
      <w:pPr>
        <w:tabs>
          <w:tab w:val="num" w:pos="1440"/>
        </w:tabs>
        <w:ind w:left="1440" w:hanging="360"/>
      </w:pPr>
      <w:rPr>
        <w:rFonts w:ascii="Wingdings" w:eastAsia="MS Mincho"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6761820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836531797">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16cid:durableId="707726653">
    <w:abstractNumId w:val="2"/>
  </w:num>
  <w:num w:numId="4" w16cid:durableId="1891725235">
    <w:abstractNumId w:val="1"/>
  </w:num>
  <w:num w:numId="5" w16cid:durableId="100224242">
    <w:abstractNumId w:val="4"/>
  </w:num>
  <w:num w:numId="6" w16cid:durableId="1099328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9AB"/>
    <w:rsid w:val="000561BA"/>
    <w:rsid w:val="000631AA"/>
    <w:rsid w:val="0006418A"/>
    <w:rsid w:val="000744B3"/>
    <w:rsid w:val="0008640A"/>
    <w:rsid w:val="000B175F"/>
    <w:rsid w:val="000B2475"/>
    <w:rsid w:val="000F1673"/>
    <w:rsid w:val="00114A4C"/>
    <w:rsid w:val="00123FB3"/>
    <w:rsid w:val="00126F3A"/>
    <w:rsid w:val="00142542"/>
    <w:rsid w:val="0014412E"/>
    <w:rsid w:val="0015385C"/>
    <w:rsid w:val="00165C26"/>
    <w:rsid w:val="001808C4"/>
    <w:rsid w:val="001843D4"/>
    <w:rsid w:val="001B1E04"/>
    <w:rsid w:val="001B4BC2"/>
    <w:rsid w:val="001C03F3"/>
    <w:rsid w:val="001D5A6C"/>
    <w:rsid w:val="001E0DFF"/>
    <w:rsid w:val="001E46F0"/>
    <w:rsid w:val="001F7E67"/>
    <w:rsid w:val="002148C3"/>
    <w:rsid w:val="00220BB4"/>
    <w:rsid w:val="00222DFE"/>
    <w:rsid w:val="0023624C"/>
    <w:rsid w:val="002514C4"/>
    <w:rsid w:val="00252820"/>
    <w:rsid w:val="00270BA9"/>
    <w:rsid w:val="00285D05"/>
    <w:rsid w:val="002A6B35"/>
    <w:rsid w:val="002E0B51"/>
    <w:rsid w:val="002E2C1F"/>
    <w:rsid w:val="002F2293"/>
    <w:rsid w:val="00322AE3"/>
    <w:rsid w:val="003236ED"/>
    <w:rsid w:val="0032784D"/>
    <w:rsid w:val="00345EAA"/>
    <w:rsid w:val="003649AA"/>
    <w:rsid w:val="0036517C"/>
    <w:rsid w:val="00372C19"/>
    <w:rsid w:val="00380D28"/>
    <w:rsid w:val="00386B83"/>
    <w:rsid w:val="00393477"/>
    <w:rsid w:val="003C3861"/>
    <w:rsid w:val="003D0894"/>
    <w:rsid w:val="003E549D"/>
    <w:rsid w:val="00437310"/>
    <w:rsid w:val="00440ACC"/>
    <w:rsid w:val="004573E7"/>
    <w:rsid w:val="00462E9F"/>
    <w:rsid w:val="004B057E"/>
    <w:rsid w:val="004C35C9"/>
    <w:rsid w:val="004D54D8"/>
    <w:rsid w:val="005074CD"/>
    <w:rsid w:val="0051131E"/>
    <w:rsid w:val="00511B8A"/>
    <w:rsid w:val="00515B4B"/>
    <w:rsid w:val="005228CB"/>
    <w:rsid w:val="00540CB0"/>
    <w:rsid w:val="005455DD"/>
    <w:rsid w:val="00552A73"/>
    <w:rsid w:val="00554A6B"/>
    <w:rsid w:val="0058074D"/>
    <w:rsid w:val="00594CDE"/>
    <w:rsid w:val="005E281C"/>
    <w:rsid w:val="005E4694"/>
    <w:rsid w:val="0060005C"/>
    <w:rsid w:val="0062343F"/>
    <w:rsid w:val="00633BB5"/>
    <w:rsid w:val="00645336"/>
    <w:rsid w:val="0066165E"/>
    <w:rsid w:val="0066431E"/>
    <w:rsid w:val="0066537A"/>
    <w:rsid w:val="0067259F"/>
    <w:rsid w:val="006845D6"/>
    <w:rsid w:val="0069201E"/>
    <w:rsid w:val="00694854"/>
    <w:rsid w:val="006B1F02"/>
    <w:rsid w:val="006D14B0"/>
    <w:rsid w:val="006D2582"/>
    <w:rsid w:val="006E4818"/>
    <w:rsid w:val="006F28BD"/>
    <w:rsid w:val="0070735E"/>
    <w:rsid w:val="00713DAB"/>
    <w:rsid w:val="0072234D"/>
    <w:rsid w:val="00725701"/>
    <w:rsid w:val="00727254"/>
    <w:rsid w:val="00730E04"/>
    <w:rsid w:val="007328F6"/>
    <w:rsid w:val="00733CC0"/>
    <w:rsid w:val="007752B3"/>
    <w:rsid w:val="00793E8A"/>
    <w:rsid w:val="007B27FA"/>
    <w:rsid w:val="007C1576"/>
    <w:rsid w:val="007D343F"/>
    <w:rsid w:val="007D4CD2"/>
    <w:rsid w:val="007D7739"/>
    <w:rsid w:val="007E772D"/>
    <w:rsid w:val="007E7A35"/>
    <w:rsid w:val="00803922"/>
    <w:rsid w:val="00815506"/>
    <w:rsid w:val="008212C2"/>
    <w:rsid w:val="00822304"/>
    <w:rsid w:val="00847630"/>
    <w:rsid w:val="008956DF"/>
    <w:rsid w:val="00896240"/>
    <w:rsid w:val="008973A2"/>
    <w:rsid w:val="008B54F8"/>
    <w:rsid w:val="008C350E"/>
    <w:rsid w:val="008E021F"/>
    <w:rsid w:val="008E2C17"/>
    <w:rsid w:val="008E7034"/>
    <w:rsid w:val="009109D0"/>
    <w:rsid w:val="009367E4"/>
    <w:rsid w:val="009576B7"/>
    <w:rsid w:val="00964DD3"/>
    <w:rsid w:val="009744AC"/>
    <w:rsid w:val="009751F1"/>
    <w:rsid w:val="009926D8"/>
    <w:rsid w:val="009B4F18"/>
    <w:rsid w:val="009C7086"/>
    <w:rsid w:val="009D1283"/>
    <w:rsid w:val="009D3155"/>
    <w:rsid w:val="009D375F"/>
    <w:rsid w:val="009E6867"/>
    <w:rsid w:val="009E6C75"/>
    <w:rsid w:val="00A006EA"/>
    <w:rsid w:val="00A12FE6"/>
    <w:rsid w:val="00A14F5D"/>
    <w:rsid w:val="00A437AC"/>
    <w:rsid w:val="00A5381D"/>
    <w:rsid w:val="00A876AA"/>
    <w:rsid w:val="00AA16AF"/>
    <w:rsid w:val="00AA35A1"/>
    <w:rsid w:val="00AD623B"/>
    <w:rsid w:val="00AE2029"/>
    <w:rsid w:val="00B3747E"/>
    <w:rsid w:val="00B434F1"/>
    <w:rsid w:val="00B45F53"/>
    <w:rsid w:val="00B47A0F"/>
    <w:rsid w:val="00B55F25"/>
    <w:rsid w:val="00B60CF6"/>
    <w:rsid w:val="00B65DB1"/>
    <w:rsid w:val="00B9022F"/>
    <w:rsid w:val="00BA10F0"/>
    <w:rsid w:val="00BA17F1"/>
    <w:rsid w:val="00BA27EA"/>
    <w:rsid w:val="00BB3A71"/>
    <w:rsid w:val="00BB425E"/>
    <w:rsid w:val="00BD67EA"/>
    <w:rsid w:val="00C44E22"/>
    <w:rsid w:val="00C61979"/>
    <w:rsid w:val="00C92F66"/>
    <w:rsid w:val="00C970E8"/>
    <w:rsid w:val="00CB3752"/>
    <w:rsid w:val="00CB67A8"/>
    <w:rsid w:val="00CD610F"/>
    <w:rsid w:val="00CE0E89"/>
    <w:rsid w:val="00CF27F5"/>
    <w:rsid w:val="00D05149"/>
    <w:rsid w:val="00D1312F"/>
    <w:rsid w:val="00D26453"/>
    <w:rsid w:val="00D50966"/>
    <w:rsid w:val="00D61AC6"/>
    <w:rsid w:val="00DA19C3"/>
    <w:rsid w:val="00DB3A33"/>
    <w:rsid w:val="00DC47B6"/>
    <w:rsid w:val="00DF34E6"/>
    <w:rsid w:val="00E06CAC"/>
    <w:rsid w:val="00E152E1"/>
    <w:rsid w:val="00E40140"/>
    <w:rsid w:val="00E44FAA"/>
    <w:rsid w:val="00E71AAA"/>
    <w:rsid w:val="00E73135"/>
    <w:rsid w:val="00EA5595"/>
    <w:rsid w:val="00EB1D08"/>
    <w:rsid w:val="00EC0180"/>
    <w:rsid w:val="00EC2E76"/>
    <w:rsid w:val="00ED0168"/>
    <w:rsid w:val="00ED4701"/>
    <w:rsid w:val="00ED4A8E"/>
    <w:rsid w:val="00EF051A"/>
    <w:rsid w:val="00EF3799"/>
    <w:rsid w:val="00F14D24"/>
    <w:rsid w:val="00F25772"/>
    <w:rsid w:val="00F45658"/>
    <w:rsid w:val="00F478CB"/>
    <w:rsid w:val="00FD4930"/>
    <w:rsid w:val="00FF7A1C"/>
    <w:rsid w:val="075BF0FE"/>
    <w:rsid w:val="0AF2F819"/>
    <w:rsid w:val="1C3A5BBD"/>
    <w:rsid w:val="2639D335"/>
    <w:rsid w:val="265B3F71"/>
    <w:rsid w:val="2B350D93"/>
    <w:rsid w:val="442B43B2"/>
    <w:rsid w:val="4603753B"/>
    <w:rsid w:val="4942CF5B"/>
    <w:rsid w:val="56D7F045"/>
    <w:rsid w:val="58991936"/>
    <w:rsid w:val="590EEBF7"/>
    <w:rsid w:val="5C5B5C5C"/>
    <w:rsid w:val="63F1524B"/>
    <w:rsid w:val="779B195D"/>
    <w:rsid w:val="7BF5AD3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F64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554A6B"/>
    <w:rPr>
      <w:color w:val="605E5C"/>
      <w:shd w:val="clear" w:color="auto" w:fill="E1DFDD"/>
    </w:rPr>
  </w:style>
  <w:style w:type="character" w:customStyle="1" w:styleId="normaltextrun">
    <w:name w:val="normaltextrun"/>
    <w:basedOn w:val="DefaultParagraphFont"/>
    <w:rsid w:val="00ED4A8E"/>
  </w:style>
  <w:style w:type="character" w:customStyle="1" w:styleId="advancedproofingissue">
    <w:name w:val="advancedproofingissue"/>
    <w:basedOn w:val="DefaultParagraphFont"/>
    <w:rsid w:val="00ED4A8E"/>
  </w:style>
  <w:style w:type="paragraph" w:styleId="Revision">
    <w:name w:val="Revision"/>
    <w:hidden/>
    <w:uiPriority w:val="99"/>
    <w:semiHidden/>
    <w:rsid w:val="0062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2026-05-29T21:52:00Z</dcterms:created>
  <dcterms:modified xsi:type="dcterms:W3CDTF">2026-06-11T09:19:00Z</dcterms:modified>
</cp:coreProperties>
</file>