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63B366FE" w:rsidRPr="00585FF1" w:rsidP="11AB4B38" w14:paraId="45D37654" w14:textId="77777777">
      <w:pPr>
        <w:spacing w:after="0"/>
        <w:jc w:val="center"/>
        <w:rPr>
          <w:rFonts w:cstheme="minorHAnsi"/>
        </w:rPr>
      </w:pPr>
      <w:bookmarkStart w:id="0" w:name="_Toc49148152"/>
      <w:r w:rsidRPr="00585FF1">
        <w:rPr>
          <w:rFonts w:cstheme="minorHAnsi"/>
        </w:rPr>
        <w:t>U.S. Environmental Protection Agency</w:t>
      </w:r>
    </w:p>
    <w:p w:rsidR="00DE4E0C" w:rsidRPr="00585FF1" w:rsidP="11AB4B38" w14:paraId="5C6F43DD" w14:textId="77777777">
      <w:pPr>
        <w:jc w:val="center"/>
        <w:rPr>
          <w:rFonts w:cstheme="minorHAnsi"/>
        </w:rPr>
      </w:pPr>
      <w:r w:rsidRPr="00585FF1">
        <w:rPr>
          <w:rFonts w:cstheme="minorHAnsi"/>
        </w:rPr>
        <w:t>Information Collection Request</w:t>
      </w:r>
    </w:p>
    <w:p w:rsidR="00EA0D20" w:rsidRPr="00585FF1" w:rsidP="00BB432F" w14:paraId="338B5CD6" w14:textId="77777777">
      <w:pPr>
        <w:rPr>
          <w:rFonts w:cstheme="minorHAnsi"/>
          <w:b/>
          <w:bCs/>
        </w:rPr>
      </w:pPr>
    </w:p>
    <w:p w:rsidR="00BB432F" w:rsidRPr="00585FF1" w:rsidP="00FB1410" w14:paraId="047558A2" w14:textId="0ABE90FF">
      <w:pPr>
        <w:tabs>
          <w:tab w:val="center" w:pos="4680"/>
        </w:tabs>
        <w:rPr>
          <w:rFonts w:cstheme="minorHAnsi"/>
          <w:bCs/>
        </w:rPr>
      </w:pPr>
      <w:r w:rsidRPr="00585FF1">
        <w:rPr>
          <w:rFonts w:cstheme="minorHAnsi"/>
          <w:b/>
          <w:bCs/>
        </w:rPr>
        <w:t>Title:</w:t>
      </w:r>
      <w:r w:rsidRPr="00585FF1" w:rsidR="001F34A5">
        <w:rPr>
          <w:rFonts w:cstheme="minorHAnsi"/>
        </w:rPr>
        <w:t xml:space="preserve"> </w:t>
      </w:r>
      <w:r w:rsidR="00966E00">
        <w:t xml:space="preserve">RCRA </w:t>
      </w:r>
      <w:r w:rsidRPr="00990BF5" w:rsidR="00966E00">
        <w:t>Definition of Solid Waste</w:t>
      </w:r>
      <w:r w:rsidR="00966E00">
        <w:t xml:space="preserve"> (Renewal)</w:t>
      </w:r>
    </w:p>
    <w:p w:rsidR="00EE2403" w:rsidRPr="00585FF1" w:rsidP="00BB432F" w14:paraId="24D5FEFE" w14:textId="7A21373F">
      <w:pPr>
        <w:spacing w:line="240" w:lineRule="auto"/>
        <w:rPr>
          <w:rFonts w:cstheme="minorHAnsi"/>
        </w:rPr>
      </w:pPr>
      <w:r w:rsidRPr="00585FF1">
        <w:rPr>
          <w:rFonts w:cstheme="minorHAnsi"/>
          <w:b/>
          <w:bCs/>
        </w:rPr>
        <w:t>OMB Control Number:</w:t>
      </w:r>
      <w:r w:rsidRPr="00585FF1" w:rsidR="00BB432F">
        <w:rPr>
          <w:rFonts w:cstheme="minorHAnsi"/>
        </w:rPr>
        <w:t xml:space="preserve"> </w:t>
      </w:r>
      <w:r w:rsidRPr="00585FF1" w:rsidR="00FB1410">
        <w:rPr>
          <w:rFonts w:cstheme="minorHAnsi"/>
        </w:rPr>
        <w:t>2050-0</w:t>
      </w:r>
      <w:r w:rsidR="00966E00">
        <w:rPr>
          <w:rFonts w:cstheme="minorHAnsi"/>
        </w:rPr>
        <w:t>202</w:t>
      </w:r>
    </w:p>
    <w:p w:rsidR="00EE2403" w:rsidRPr="00585FF1" w:rsidP="00ED57A4" w14:paraId="40A41C55" w14:textId="7CC35F81">
      <w:pPr>
        <w:spacing w:before="240" w:line="240" w:lineRule="auto"/>
        <w:rPr>
          <w:rFonts w:cstheme="minorHAnsi"/>
        </w:rPr>
      </w:pPr>
      <w:r w:rsidRPr="00585FF1">
        <w:rPr>
          <w:rFonts w:cstheme="minorHAnsi"/>
          <w:b/>
          <w:bCs/>
        </w:rPr>
        <w:t>EPA ICR Number:</w:t>
      </w:r>
      <w:r w:rsidRPr="00585FF1" w:rsidR="00BB432F">
        <w:rPr>
          <w:rFonts w:cstheme="minorHAnsi"/>
        </w:rPr>
        <w:t xml:space="preserve"> </w:t>
      </w:r>
      <w:r w:rsidR="00966E00">
        <w:rPr>
          <w:rFonts w:cstheme="minorHAnsi"/>
        </w:rPr>
        <w:t>2310.08</w:t>
      </w:r>
    </w:p>
    <w:p w:rsidR="00581958" w:rsidRPr="00581958" w:rsidP="00581958" w14:paraId="102A1D0C" w14:textId="5B339DBF">
      <w:pPr>
        <w:pStyle w:val="BodyTextDSW"/>
        <w:ind w:firstLine="0"/>
        <w:rPr>
          <w:rFonts w:asciiTheme="minorHAnsi" w:hAnsiTheme="minorHAnsi" w:cstheme="minorHAnsi"/>
          <w:sz w:val="22"/>
          <w:szCs w:val="22"/>
        </w:rPr>
      </w:pPr>
      <w:r w:rsidRPr="00581958">
        <w:rPr>
          <w:rFonts w:asciiTheme="minorHAnsi" w:hAnsiTheme="minorHAnsi" w:cstheme="minorHAnsi"/>
          <w:b/>
          <w:bCs/>
          <w:sz w:val="22"/>
          <w:szCs w:val="22"/>
        </w:rPr>
        <w:t>Abstract:</w:t>
      </w:r>
      <w:r w:rsidRPr="00581958" w:rsidR="00BB432F">
        <w:rPr>
          <w:rFonts w:asciiTheme="minorHAnsi" w:hAnsiTheme="minorHAnsi" w:cstheme="minorHAnsi"/>
          <w:sz w:val="22"/>
          <w:szCs w:val="22"/>
        </w:rPr>
        <w:t xml:space="preserve"> </w:t>
      </w:r>
      <w:r>
        <w:rPr>
          <w:rFonts w:asciiTheme="minorHAnsi" w:hAnsiTheme="minorHAnsi" w:cstheme="minorHAnsi"/>
          <w:sz w:val="22"/>
          <w:szCs w:val="22"/>
        </w:rPr>
        <w:t>In 2008, 2015, and 2018,</w:t>
      </w:r>
      <w:r w:rsidRPr="00581958">
        <w:rPr>
          <w:rFonts w:asciiTheme="minorHAnsi" w:hAnsiTheme="minorHAnsi" w:cstheme="minorHAnsi"/>
          <w:sz w:val="22"/>
          <w:szCs w:val="22"/>
        </w:rPr>
        <w:t xml:space="preserve"> the U.S. Environmental Protection Agency (EPA) published revisions to the “definition of solid waste” (DSW) that exclude certain industrial hazardous secondary materials from regulation as “solid waste” and “hazardous waste” under Subtitle C of the Resource Conservation and Recovery Act (RCRA). Specifically, EPA amended 40 CFR Part 261 to provide that hazardous secondary materials reclaimed under the control of the generator are not solid </w:t>
      </w:r>
      <w:r w:rsidRPr="00581958">
        <w:rPr>
          <w:rFonts w:asciiTheme="minorHAnsi" w:hAnsiTheme="minorHAnsi" w:cstheme="minorHAnsi"/>
          <w:sz w:val="22"/>
          <w:szCs w:val="22"/>
        </w:rPr>
        <w:t>wastes</w:t>
      </w:r>
      <w:r w:rsidRPr="00581958">
        <w:rPr>
          <w:rFonts w:asciiTheme="minorHAnsi" w:hAnsiTheme="minorHAnsi" w:cstheme="minorHAnsi"/>
          <w:sz w:val="22"/>
          <w:szCs w:val="22"/>
        </w:rPr>
        <w:t xml:space="preserve"> if specified conditions are met. EPA also amended Part 261 to provide that hazardous secondary materials that are generated and then transferred to another person for the purpose of reclamation are not solid waste, provided that specified conditions are met. Finally, EPA finalized other amendments to address </w:t>
      </w:r>
      <w:r w:rsidRPr="00581958">
        <w:rPr>
          <w:rFonts w:asciiTheme="minorHAnsi" w:hAnsiTheme="minorHAnsi" w:cstheme="minorHAnsi"/>
          <w:sz w:val="22"/>
          <w:szCs w:val="22"/>
        </w:rPr>
        <w:t>particular issues</w:t>
      </w:r>
      <w:r w:rsidRPr="00581958">
        <w:rPr>
          <w:rFonts w:asciiTheme="minorHAnsi" w:hAnsiTheme="minorHAnsi" w:cstheme="minorHAnsi"/>
          <w:sz w:val="22"/>
          <w:szCs w:val="22"/>
        </w:rPr>
        <w:t>, including standards in Part 260 to enable a person to apply to EPA for a formal determination that a material is not discarded and therefore not a solid waste and to codify the RCRA concept of “legitimate recycling”.</w:t>
      </w:r>
    </w:p>
    <w:p w:rsidR="00843BB6" w:rsidRPr="00581958" w:rsidP="00843BB6" w14:paraId="5144BF75" w14:textId="5CCE5F62">
      <w:pPr>
        <w:pStyle w:val="BodyTextDSW"/>
        <w:rPr>
          <w:rFonts w:asciiTheme="minorHAnsi" w:hAnsiTheme="minorHAnsi" w:cstheme="minorHAnsi"/>
          <w:sz w:val="22"/>
          <w:szCs w:val="22"/>
        </w:rPr>
      </w:pPr>
      <w:r w:rsidRPr="00581958">
        <w:rPr>
          <w:rFonts w:asciiTheme="minorHAnsi" w:hAnsiTheme="minorHAnsi" w:cstheme="minorHAnsi"/>
          <w:sz w:val="22"/>
          <w:szCs w:val="22"/>
        </w:rPr>
        <w:t>The RCRA DSW exclusions are currently organized around six requirements:</w:t>
      </w:r>
    </w:p>
    <w:p w:rsidR="00843BB6" w:rsidRPr="00581958" w:rsidP="00843BB6" w14:paraId="5571D2D4" w14:textId="77777777">
      <w:pPr>
        <w:pStyle w:val="BodyTextDSW"/>
        <w:ind w:left="1440" w:firstLine="0"/>
        <w:rPr>
          <w:rFonts w:asciiTheme="minorHAnsi" w:hAnsiTheme="minorHAnsi" w:cstheme="minorHAnsi"/>
          <w:sz w:val="22"/>
          <w:szCs w:val="22"/>
        </w:rPr>
      </w:pPr>
      <w:r w:rsidRPr="00581958">
        <w:rPr>
          <w:rFonts w:asciiTheme="minorHAnsi" w:hAnsiTheme="minorHAnsi" w:cstheme="minorHAnsi"/>
          <w:sz w:val="22"/>
          <w:szCs w:val="22"/>
        </w:rPr>
        <w:t xml:space="preserve">Requirement 1: DSW off-site transfer-based </w:t>
      </w:r>
      <w:r w:rsidRPr="00581958">
        <w:rPr>
          <w:rFonts w:asciiTheme="minorHAnsi" w:hAnsiTheme="minorHAnsi" w:cstheme="minorHAnsi"/>
          <w:sz w:val="22"/>
          <w:szCs w:val="22"/>
        </w:rPr>
        <w:t>exclusion;</w:t>
      </w:r>
    </w:p>
    <w:p w:rsidR="00843BB6" w:rsidRPr="00581958" w:rsidP="00843BB6" w14:paraId="0AB1FB5E" w14:textId="77777777">
      <w:pPr>
        <w:pStyle w:val="BodyTextDSW"/>
        <w:ind w:left="1440" w:firstLine="0"/>
        <w:rPr>
          <w:rFonts w:asciiTheme="minorHAnsi" w:hAnsiTheme="minorHAnsi" w:cstheme="minorHAnsi"/>
          <w:sz w:val="22"/>
          <w:szCs w:val="22"/>
        </w:rPr>
      </w:pPr>
      <w:r w:rsidRPr="00581958">
        <w:rPr>
          <w:rFonts w:asciiTheme="minorHAnsi" w:hAnsiTheme="minorHAnsi" w:cstheme="minorHAnsi"/>
          <w:sz w:val="22"/>
          <w:szCs w:val="22"/>
        </w:rPr>
        <w:t xml:space="preserve">Requirement 2: DSW generator-controlled </w:t>
      </w:r>
      <w:r w:rsidRPr="00581958">
        <w:rPr>
          <w:rFonts w:asciiTheme="minorHAnsi" w:hAnsiTheme="minorHAnsi" w:cstheme="minorHAnsi"/>
          <w:sz w:val="22"/>
          <w:szCs w:val="22"/>
        </w:rPr>
        <w:t>exclusion;</w:t>
      </w:r>
    </w:p>
    <w:p w:rsidR="00843BB6" w:rsidRPr="00581958" w:rsidP="00843BB6" w14:paraId="6904EB49" w14:textId="77777777">
      <w:pPr>
        <w:pStyle w:val="BodyTextDSW"/>
        <w:ind w:left="1440" w:firstLine="0"/>
        <w:rPr>
          <w:rFonts w:asciiTheme="minorHAnsi" w:hAnsiTheme="minorHAnsi" w:cstheme="minorHAnsi"/>
          <w:sz w:val="22"/>
          <w:szCs w:val="22"/>
        </w:rPr>
      </w:pPr>
      <w:r w:rsidRPr="00581958">
        <w:rPr>
          <w:rFonts w:asciiTheme="minorHAnsi" w:hAnsiTheme="minorHAnsi" w:cstheme="minorHAnsi"/>
          <w:sz w:val="22"/>
          <w:szCs w:val="22"/>
        </w:rPr>
        <w:t>Requirement 3: Solid waste variances and non-waste determinations</w:t>
      </w:r>
    </w:p>
    <w:p w:rsidR="00843BB6" w:rsidRPr="00581958" w:rsidP="00843BB6" w14:paraId="7CC33AD0" w14:textId="77777777">
      <w:pPr>
        <w:pStyle w:val="BodyTextDSW"/>
        <w:ind w:left="1440" w:firstLine="0"/>
        <w:rPr>
          <w:rFonts w:asciiTheme="minorHAnsi" w:hAnsiTheme="minorHAnsi" w:cstheme="minorHAnsi"/>
          <w:sz w:val="22"/>
          <w:szCs w:val="22"/>
        </w:rPr>
      </w:pPr>
      <w:r w:rsidRPr="00581958">
        <w:rPr>
          <w:rFonts w:asciiTheme="minorHAnsi" w:hAnsiTheme="minorHAnsi" w:cstheme="minorHAnsi"/>
          <w:sz w:val="22"/>
          <w:szCs w:val="22"/>
        </w:rPr>
        <w:t xml:space="preserve">Requirement 4: DSW “remanufacturing” </w:t>
      </w:r>
      <w:r w:rsidRPr="00581958">
        <w:rPr>
          <w:rFonts w:asciiTheme="minorHAnsi" w:hAnsiTheme="minorHAnsi" w:cstheme="minorHAnsi"/>
          <w:sz w:val="22"/>
          <w:szCs w:val="22"/>
        </w:rPr>
        <w:t>exclusion;</w:t>
      </w:r>
      <w:r w:rsidRPr="00581958">
        <w:rPr>
          <w:rFonts w:asciiTheme="minorHAnsi" w:hAnsiTheme="minorHAnsi" w:cstheme="minorHAnsi"/>
          <w:sz w:val="22"/>
          <w:szCs w:val="22"/>
        </w:rPr>
        <w:t xml:space="preserve"> </w:t>
      </w:r>
    </w:p>
    <w:p w:rsidR="00843BB6" w:rsidRPr="00581958" w:rsidP="00843BB6" w14:paraId="68B441F5" w14:textId="77777777">
      <w:pPr>
        <w:pStyle w:val="BodyTextDSW"/>
        <w:ind w:left="1440" w:firstLine="0"/>
        <w:rPr>
          <w:rFonts w:asciiTheme="minorHAnsi" w:hAnsiTheme="minorHAnsi" w:cstheme="minorHAnsi"/>
          <w:sz w:val="22"/>
          <w:szCs w:val="22"/>
        </w:rPr>
      </w:pPr>
      <w:r w:rsidRPr="00581958">
        <w:rPr>
          <w:rFonts w:asciiTheme="minorHAnsi" w:hAnsiTheme="minorHAnsi" w:cstheme="minorHAnsi"/>
          <w:sz w:val="22"/>
          <w:szCs w:val="22"/>
        </w:rPr>
        <w:t>Requirement 5: Required recordkeeping for speculative accumulation.</w:t>
      </w:r>
    </w:p>
    <w:p w:rsidR="00843BB6" w:rsidRPr="00581958" w:rsidP="00843BB6" w14:paraId="665352B5" w14:textId="77777777">
      <w:pPr>
        <w:pStyle w:val="BodyTextDSW"/>
        <w:ind w:left="1440" w:firstLine="0"/>
        <w:rPr>
          <w:rFonts w:asciiTheme="minorHAnsi" w:hAnsiTheme="minorHAnsi" w:cstheme="minorHAnsi"/>
          <w:sz w:val="22"/>
          <w:szCs w:val="22"/>
        </w:rPr>
      </w:pPr>
      <w:r w:rsidRPr="00581958">
        <w:rPr>
          <w:rFonts w:asciiTheme="minorHAnsi" w:hAnsiTheme="minorHAnsi" w:cstheme="minorHAnsi"/>
          <w:sz w:val="22"/>
          <w:szCs w:val="22"/>
        </w:rPr>
        <w:t>Requirement 6: Export requirements</w:t>
      </w:r>
    </w:p>
    <w:p w:rsidR="00DE4E0C" w:rsidRPr="00585FF1" w:rsidP="00843BB6" w14:paraId="0C498983" w14:textId="2598C984">
      <w:pPr>
        <w:tabs>
          <w:tab w:val="left" w:pos="720"/>
          <w:tab w:val="left" w:pos="1080"/>
        </w:tabs>
        <w:rPr>
          <w:rFonts w:cstheme="minorHAnsi"/>
          <w:b/>
          <w:bCs/>
          <w:u w:val="single"/>
        </w:rPr>
      </w:pPr>
      <w:r w:rsidRPr="00585FF1">
        <w:rPr>
          <w:rFonts w:cstheme="minorHAnsi"/>
          <w:b/>
          <w:bCs/>
          <w:u w:val="single"/>
        </w:rPr>
        <w:t>Supporting Statement A</w:t>
      </w:r>
      <w:bookmarkEnd w:id="0"/>
    </w:p>
    <w:p w:rsidR="00D47CB3" w:rsidRPr="00585FF1" w:rsidP="006A7810" w14:paraId="7C2D1EB5" w14:textId="77777777">
      <w:pPr>
        <w:pStyle w:val="ListParagraph"/>
        <w:numPr>
          <w:ilvl w:val="0"/>
          <w:numId w:val="2"/>
        </w:numPr>
        <w:pBdr>
          <w:bottom w:val="single" w:sz="4" w:space="1" w:color="auto"/>
        </w:pBdr>
        <w:spacing w:before="240" w:after="0"/>
        <w:rPr>
          <w:rFonts w:cstheme="minorHAnsi"/>
          <w:b/>
          <w:bCs/>
        </w:rPr>
      </w:pPr>
      <w:bookmarkStart w:id="1" w:name="_Toc156593368"/>
      <w:r w:rsidRPr="00585FF1">
        <w:rPr>
          <w:rFonts w:cstheme="minorHAnsi"/>
          <w:b/>
          <w:bCs/>
        </w:rPr>
        <w:t>NEED AND AUTHORITY FOR THE COLLECTION</w:t>
      </w:r>
      <w:bookmarkEnd w:id="1"/>
    </w:p>
    <w:p w:rsidR="000C52BF" w:rsidRPr="000C52BF" w:rsidP="000C52BF" w14:paraId="40B46D23" w14:textId="77777777">
      <w:pPr>
        <w:pBdr>
          <w:bottom w:val="single" w:sz="4" w:space="1" w:color="auto"/>
        </w:pBdr>
        <w:spacing w:before="60"/>
        <w:rPr>
          <w:rFonts w:cstheme="minorHAnsi"/>
          <w:i/>
          <w:iCs/>
        </w:rPr>
      </w:pPr>
      <w:r w:rsidRPr="000C52BF">
        <w:rPr>
          <w:rFonts w:cstheme="minorHAnsi"/>
          <w:i/>
          <w:iCs/>
          <w:color w:val="000000"/>
          <w:shd w:val="clear" w:color="auto" w:fill="FFFFFF"/>
        </w:rPr>
        <w:t>Explain the circumstances that make the collection of information necessary. Identify any legal or administrative requirements that necessitate the collection.</w:t>
      </w:r>
    </w:p>
    <w:p w:rsidR="00DC7EA8" w:rsidP="00DC7EA8" w14:paraId="2E7B1CD4" w14:textId="7A600506">
      <w:pPr>
        <w:pStyle w:val="pf0"/>
        <w:ind w:firstLine="720"/>
        <w:rPr>
          <w:rFonts w:asciiTheme="minorHAnsi" w:hAnsiTheme="minorHAnsi" w:cstheme="minorHAnsi"/>
          <w:sz w:val="22"/>
          <w:szCs w:val="22"/>
        </w:rPr>
      </w:pPr>
      <w:r w:rsidRPr="00DC7EA8">
        <w:rPr>
          <w:rFonts w:asciiTheme="minorHAnsi" w:hAnsiTheme="minorHAnsi" w:cstheme="minorHAnsi"/>
          <w:sz w:val="22"/>
          <w:szCs w:val="22"/>
        </w:rPr>
        <w:t>EPA promulgated the DSW regulations under the authority of Sections 2002, 3001, 3002, 3003, 3004, 3007, 3010, and 3017 of the Solid Waste Disposal Act of 1970, as amended by RCRA, and as amended by the Hazardous and Solid Waste Amendments of 1984 (HSWA), 42 U.S.C. 6921, 6922, 6923, and 6924.</w:t>
      </w:r>
      <w:r w:rsidRPr="00DC7EA8">
        <w:rPr>
          <w:rFonts w:asciiTheme="minorHAnsi" w:hAnsiTheme="minorHAnsi" w:cstheme="minorHAnsi"/>
          <w:sz w:val="22"/>
          <w:szCs w:val="22"/>
        </w:rPr>
        <w:t xml:space="preserve">  And codified in 40 CFR Parts 26</w:t>
      </w:r>
      <w:r>
        <w:rPr>
          <w:rFonts w:asciiTheme="minorHAnsi" w:hAnsiTheme="minorHAnsi" w:cstheme="minorHAnsi"/>
          <w:sz w:val="22"/>
          <w:szCs w:val="22"/>
        </w:rPr>
        <w:t>0</w:t>
      </w:r>
      <w:r w:rsidRPr="00DC7EA8">
        <w:rPr>
          <w:rFonts w:asciiTheme="minorHAnsi" w:hAnsiTheme="minorHAnsi" w:cstheme="minorHAnsi"/>
          <w:sz w:val="22"/>
          <w:szCs w:val="22"/>
        </w:rPr>
        <w:t>, 26</w:t>
      </w:r>
      <w:r>
        <w:rPr>
          <w:rFonts w:asciiTheme="minorHAnsi" w:hAnsiTheme="minorHAnsi" w:cstheme="minorHAnsi"/>
          <w:sz w:val="22"/>
          <w:szCs w:val="22"/>
        </w:rPr>
        <w:t>1</w:t>
      </w:r>
      <w:r w:rsidRPr="00DC7EA8">
        <w:rPr>
          <w:rFonts w:asciiTheme="minorHAnsi" w:hAnsiTheme="minorHAnsi" w:cstheme="minorHAnsi"/>
          <w:sz w:val="22"/>
          <w:szCs w:val="22"/>
        </w:rPr>
        <w:t>, and 2</w:t>
      </w:r>
      <w:r>
        <w:rPr>
          <w:rFonts w:asciiTheme="minorHAnsi" w:hAnsiTheme="minorHAnsi" w:cstheme="minorHAnsi"/>
          <w:sz w:val="22"/>
          <w:szCs w:val="22"/>
        </w:rPr>
        <w:t>65</w:t>
      </w:r>
      <w:r w:rsidRPr="00DC7EA8">
        <w:rPr>
          <w:rFonts w:asciiTheme="minorHAnsi" w:hAnsiTheme="minorHAnsi" w:cstheme="minorHAnsi"/>
          <w:sz w:val="22"/>
          <w:szCs w:val="22"/>
        </w:rPr>
        <w:t xml:space="preserve"> as described in the table below.</w:t>
      </w:r>
    </w:p>
    <w:p w:rsidR="00EC2DEA" w:rsidP="00DC7EA8" w14:paraId="0CDE1C4E" w14:textId="77777777">
      <w:pPr>
        <w:pStyle w:val="pf0"/>
        <w:ind w:firstLine="720"/>
        <w:rPr>
          <w:rFonts w:asciiTheme="minorHAnsi" w:hAnsiTheme="minorHAnsi" w:cstheme="minorHAnsi"/>
          <w:sz w:val="22"/>
          <w:szCs w:val="22"/>
        </w:rPr>
      </w:pPr>
    </w:p>
    <w:p w:rsidR="00EC2DEA" w:rsidRPr="00DC7EA8" w:rsidP="00DC7EA8" w14:paraId="0BC404FD" w14:textId="77777777">
      <w:pPr>
        <w:pStyle w:val="pf0"/>
        <w:ind w:firstLine="720"/>
        <w:rPr>
          <w:rFonts w:asciiTheme="minorHAnsi" w:hAnsiTheme="minorHAnsi" w:cstheme="minorHAnsi"/>
          <w:sz w:val="22"/>
          <w:szCs w:val="22"/>
        </w:rPr>
      </w:pPr>
    </w:p>
    <w:tbl>
      <w:tblPr>
        <w:tblStyle w:val="TableGrid"/>
        <w:tblW w:w="0" w:type="auto"/>
        <w:tblLook w:val="04A0"/>
      </w:tblPr>
      <w:tblGrid>
        <w:gridCol w:w="3116"/>
        <w:gridCol w:w="6149"/>
      </w:tblGrid>
      <w:tr w14:paraId="20D73EE6" w14:textId="77777777" w:rsidTr="00ED3618">
        <w:tblPrEx>
          <w:tblW w:w="0" w:type="auto"/>
          <w:tblLook w:val="04A0"/>
        </w:tblPrEx>
        <w:tc>
          <w:tcPr>
            <w:tcW w:w="3116" w:type="dxa"/>
          </w:tcPr>
          <w:p w:rsidR="00DC7EA8" w:rsidRPr="00585FF1" w:rsidP="00DC7EA8" w14:paraId="0B2A10CB" w14:textId="5F7AF72A">
            <w:pPr>
              <w:rPr>
                <w:rFonts w:cstheme="minorHAnsi"/>
                <w:b/>
                <w:bCs/>
              </w:rPr>
            </w:pPr>
            <w:bookmarkStart w:id="2" w:name="_Toc156593369"/>
            <w:r w:rsidRPr="00EB6D36">
              <w:rPr>
                <w:rFonts w:cstheme="minorHAnsi"/>
                <w:b/>
                <w:bCs/>
              </w:rPr>
              <w:t>CFR citation (40 CFR Part)</w:t>
            </w:r>
          </w:p>
        </w:tc>
        <w:tc>
          <w:tcPr>
            <w:tcW w:w="6149" w:type="dxa"/>
          </w:tcPr>
          <w:p w:rsidR="00DC7EA8" w:rsidRPr="00585FF1" w:rsidP="00DC7EA8" w14:paraId="67D2E63A" w14:textId="0B68FC33">
            <w:pPr>
              <w:rPr>
                <w:rFonts w:cstheme="minorHAnsi"/>
                <w:b/>
                <w:bCs/>
              </w:rPr>
            </w:pPr>
            <w:r w:rsidRPr="00EB6D36">
              <w:rPr>
                <w:rFonts w:cstheme="minorHAnsi"/>
                <w:b/>
                <w:bCs/>
              </w:rPr>
              <w:t>Brief Description of Requirements</w:t>
            </w:r>
          </w:p>
        </w:tc>
      </w:tr>
      <w:tr w14:paraId="020496F5" w14:textId="77777777" w:rsidTr="00ED3618">
        <w:tblPrEx>
          <w:tblW w:w="0" w:type="auto"/>
          <w:tblLook w:val="04A0"/>
        </w:tblPrEx>
        <w:tc>
          <w:tcPr>
            <w:tcW w:w="3116" w:type="dxa"/>
          </w:tcPr>
          <w:p w:rsidR="009A5631" w:rsidRPr="00585FF1" w:rsidP="00ED3618" w14:paraId="7C94D2BF" w14:textId="3B6291EE">
            <w:pPr>
              <w:rPr>
                <w:rFonts w:cstheme="minorHAnsi"/>
              </w:rPr>
            </w:pPr>
            <w:r>
              <w:rPr>
                <w:rFonts w:cstheme="minorHAnsi"/>
              </w:rPr>
              <w:t>260</w:t>
            </w:r>
          </w:p>
        </w:tc>
        <w:tc>
          <w:tcPr>
            <w:tcW w:w="6149" w:type="dxa"/>
          </w:tcPr>
          <w:p w:rsidR="00077342" w:rsidP="00ED3618" w14:paraId="4D503C4A" w14:textId="77777777">
            <w:r>
              <w:t>For petitioners wishing to receive a formal determination that their material is not a solid waste, the following requirements apply:</w:t>
            </w:r>
          </w:p>
          <w:p w:rsidR="009A5631" w:rsidRPr="00585FF1" w:rsidP="00ED3618" w14:paraId="7465D761" w14:textId="42087ABC">
            <w:pPr>
              <w:rPr>
                <w:rFonts w:cstheme="minorHAnsi"/>
              </w:rPr>
            </w:pPr>
            <w:r>
              <w:t xml:space="preserve">(1) facilities send notice to the Administrator and potentially </w:t>
            </w:r>
            <w:r w:rsidRPr="0094400E">
              <w:t>re-apply for a variance</w:t>
            </w:r>
            <w:r>
              <w:t xml:space="preserve"> i</w:t>
            </w:r>
            <w:r w:rsidRPr="00215C2A">
              <w:t>n the event of a change in circumstances that affect how a hazardous secondary material meets the criteria upon which a variance or non-waste determination has been based</w:t>
            </w:r>
            <w:r>
              <w:t>; (2)</w:t>
            </w:r>
            <w:r w:rsidRPr="009B515C">
              <w:t xml:space="preserve"> </w:t>
            </w:r>
            <w:r>
              <w:t>establish a fixed term not to exceed ten years for variance and non-waste determinations, at the end of which facilities must re-apply for a variance or non-waste determination; (3</w:t>
            </w:r>
            <w:r w:rsidRPr="009879E6">
              <w:t xml:space="preserve">) </w:t>
            </w:r>
            <w:r>
              <w:t>all the criteria for a partial reclamation variance must be met</w:t>
            </w:r>
            <w:r w:rsidRPr="009879E6">
              <w:t xml:space="preserve">; </w:t>
            </w:r>
            <w:r w:rsidRPr="004656BF">
              <w:t>and (</w:t>
            </w:r>
            <w:r>
              <w:t>4</w:t>
            </w:r>
            <w:r w:rsidRPr="009879E6">
              <w:t xml:space="preserve">) petitioners demonstrate why they cannot meet, or should not have to meet, existing solid waste exclusions under </w:t>
            </w:r>
            <w:r>
              <w:t xml:space="preserve">40 CFR </w:t>
            </w:r>
            <w:r w:rsidRPr="009879E6">
              <w:t>261.2 or 261.4</w:t>
            </w:r>
            <w:r>
              <w:t>. [Requirement 3 above]</w:t>
            </w:r>
          </w:p>
        </w:tc>
      </w:tr>
      <w:tr w14:paraId="727DD631" w14:textId="77777777" w:rsidTr="00ED3618">
        <w:tblPrEx>
          <w:tblW w:w="0" w:type="auto"/>
          <w:tblLook w:val="04A0"/>
        </w:tblPrEx>
        <w:tc>
          <w:tcPr>
            <w:tcW w:w="3116" w:type="dxa"/>
          </w:tcPr>
          <w:p w:rsidR="009A5631" w:rsidRPr="00585FF1" w:rsidP="00ED3618" w14:paraId="051FEC15" w14:textId="4549C6E5">
            <w:pPr>
              <w:rPr>
                <w:rFonts w:cstheme="minorHAnsi"/>
              </w:rPr>
            </w:pPr>
            <w:r>
              <w:t>261.1(c)(8)</w:t>
            </w:r>
          </w:p>
        </w:tc>
        <w:tc>
          <w:tcPr>
            <w:tcW w:w="6149" w:type="dxa"/>
          </w:tcPr>
          <w:p w:rsidR="009A5631" w:rsidRPr="00585FF1" w:rsidP="00ED3618" w14:paraId="34B08227" w14:textId="3B0152FE">
            <w:pPr>
              <w:rPr>
                <w:rFonts w:cstheme="minorHAnsi"/>
              </w:rPr>
            </w:pPr>
            <w:r>
              <w:rPr>
                <w:rFonts w:cstheme="minorHAnsi"/>
              </w:rPr>
              <w:t>Requires owners and operators subject to the speculative accumulation requirements to label the storage unit indicating the date the accumulation of material began</w:t>
            </w:r>
            <w:r w:rsidR="009A77E6">
              <w:rPr>
                <w:rFonts w:cstheme="minorHAnsi"/>
              </w:rPr>
              <w:t>.</w:t>
            </w:r>
            <w:r w:rsidR="006C35BE">
              <w:rPr>
                <w:rFonts w:cstheme="minorHAnsi"/>
              </w:rPr>
              <w:t xml:space="preserve"> [Requirement 5 above]</w:t>
            </w:r>
          </w:p>
        </w:tc>
      </w:tr>
      <w:tr w14:paraId="0E4BEFC9" w14:textId="77777777" w:rsidTr="00ED3618">
        <w:tblPrEx>
          <w:tblW w:w="0" w:type="auto"/>
          <w:tblLook w:val="04A0"/>
        </w:tblPrEx>
        <w:tc>
          <w:tcPr>
            <w:tcW w:w="3116" w:type="dxa"/>
          </w:tcPr>
          <w:p w:rsidR="009A5631" w:rsidRPr="00585FF1" w:rsidP="00ED3618" w14:paraId="608F040E" w14:textId="48C93D33">
            <w:pPr>
              <w:rPr>
                <w:rFonts w:cstheme="minorHAnsi"/>
              </w:rPr>
            </w:pPr>
            <w:r>
              <w:t>261.4(a)(23)</w:t>
            </w:r>
          </w:p>
        </w:tc>
        <w:tc>
          <w:tcPr>
            <w:tcW w:w="6149" w:type="dxa"/>
          </w:tcPr>
          <w:p w:rsidR="009A5631" w:rsidRPr="00585FF1" w:rsidP="00ED3618" w14:paraId="699B850B" w14:textId="3AA688AB">
            <w:pPr>
              <w:rPr>
                <w:rFonts w:cstheme="minorHAnsi"/>
              </w:rPr>
            </w:pPr>
            <w:r>
              <w:t>Requires t</w:t>
            </w:r>
            <w:r w:rsidRPr="009F2747">
              <w:t xml:space="preserve">he tolling contractor </w:t>
            </w:r>
            <w:r>
              <w:t xml:space="preserve">to </w:t>
            </w:r>
            <w:r w:rsidRPr="009F2747">
              <w:t>maintain at its facility for no less than three years records of hazardous secondary materials received pursuant to its written contract with the tolling manufacturer, and the tolling manufacturer must maintain at its facility for no less than three years records of hazardous secondary materials shipped pursuant to its written contract with the tolling contractor. In both cases, the records must contain the name of the transporter, the date of the shipment, and the type and quantity of the hazardous secondary material shipped or received pursuant to the written contract.</w:t>
            </w:r>
            <w:r w:rsidR="006C35BE">
              <w:t xml:space="preserve">  [Requirement 2 above] </w:t>
            </w:r>
          </w:p>
        </w:tc>
      </w:tr>
      <w:tr w14:paraId="534EE386" w14:textId="77777777" w:rsidTr="00ED3618">
        <w:tblPrEx>
          <w:tblW w:w="0" w:type="auto"/>
          <w:tblLook w:val="04A0"/>
        </w:tblPrEx>
        <w:tc>
          <w:tcPr>
            <w:tcW w:w="3116" w:type="dxa"/>
          </w:tcPr>
          <w:p w:rsidR="009A5631" w:rsidRPr="00585FF1" w:rsidP="00ED3618" w14:paraId="123A9E01" w14:textId="7DCDBC59">
            <w:pPr>
              <w:rPr>
                <w:rFonts w:cstheme="minorHAnsi"/>
              </w:rPr>
            </w:pPr>
            <w:r>
              <w:t>261.4(a)(2</w:t>
            </w:r>
            <w:r w:rsidR="002A7581">
              <w:t>5</w:t>
            </w:r>
            <w:r>
              <w:t>)</w:t>
            </w:r>
          </w:p>
        </w:tc>
        <w:tc>
          <w:tcPr>
            <w:tcW w:w="6149" w:type="dxa"/>
          </w:tcPr>
          <w:p w:rsidR="009A5631" w:rsidRPr="00585FF1" w:rsidP="00ED3618" w14:paraId="6DCC57BD" w14:textId="7BD39A9D">
            <w:pPr>
              <w:rPr>
                <w:rFonts w:cstheme="minorHAnsi"/>
              </w:rPr>
            </w:pPr>
            <w:r>
              <w:t>Requires</w:t>
            </w:r>
            <w:r w:rsidR="002A7581">
              <w:t xml:space="preserve"> generators that export their hazardous waste secondary materials under the transfer-based exclusion to provide notice and obtain consent of the receiving </w:t>
            </w:r>
            <w:r w:rsidR="002A7581">
              <w:t>country, and</w:t>
            </w:r>
            <w:r w:rsidR="002A7581">
              <w:t xml:space="preserve"> file an annual report</w:t>
            </w:r>
            <w:r>
              <w:t xml:space="preserve">. [Requirement </w:t>
            </w:r>
            <w:r w:rsidR="002A7581">
              <w:t>6</w:t>
            </w:r>
            <w:r>
              <w:t xml:space="preserve"> above]</w:t>
            </w:r>
          </w:p>
        </w:tc>
      </w:tr>
      <w:tr w14:paraId="2BCC13B8" w14:textId="77777777" w:rsidTr="00ED3618">
        <w:tblPrEx>
          <w:tblW w:w="0" w:type="auto"/>
          <w:tblLook w:val="04A0"/>
        </w:tblPrEx>
        <w:tc>
          <w:tcPr>
            <w:tcW w:w="3116" w:type="dxa"/>
          </w:tcPr>
          <w:p w:rsidR="002A7581" w:rsidP="002A7581" w14:paraId="660504B3" w14:textId="2EF0DDD7">
            <w:pPr>
              <w:rPr>
                <w:rFonts w:cstheme="minorHAnsi"/>
              </w:rPr>
            </w:pPr>
            <w:r>
              <w:t>261.4(a)(27)</w:t>
            </w:r>
          </w:p>
        </w:tc>
        <w:tc>
          <w:tcPr>
            <w:tcW w:w="6149" w:type="dxa"/>
          </w:tcPr>
          <w:p w:rsidR="002A7581" w:rsidRPr="00585FF1" w:rsidP="002A7581" w14:paraId="69924774" w14:textId="697B5326">
            <w:pPr>
              <w:rPr>
                <w:rFonts w:cstheme="minorHAnsi"/>
              </w:rPr>
            </w:pPr>
            <w:r>
              <w:t>Requires hazardous secondary material generators and the remanufacturer to m</w:t>
            </w:r>
            <w:r w:rsidRPr="009F2747">
              <w:t>aintain records of shipments and confirmations of receipts for a period of three years from the dates of the shipments</w:t>
            </w:r>
            <w:r>
              <w:t>. [Requirement 4 above]</w:t>
            </w:r>
          </w:p>
        </w:tc>
      </w:tr>
      <w:tr w14:paraId="7696F44E" w14:textId="77777777" w:rsidTr="00ED3618">
        <w:tblPrEx>
          <w:tblW w:w="0" w:type="auto"/>
          <w:tblLook w:val="04A0"/>
        </w:tblPrEx>
        <w:tc>
          <w:tcPr>
            <w:tcW w:w="3116" w:type="dxa"/>
          </w:tcPr>
          <w:p w:rsidR="002A7581" w:rsidRPr="00585FF1" w:rsidP="002A7581" w14:paraId="7B4B617C" w14:textId="6A305006">
            <w:pPr>
              <w:rPr>
                <w:rFonts w:cstheme="minorHAnsi"/>
              </w:rPr>
            </w:pPr>
            <w:r>
              <w:rPr>
                <w:rFonts w:cstheme="minorHAnsi"/>
              </w:rPr>
              <w:t>265</w:t>
            </w:r>
          </w:p>
        </w:tc>
        <w:tc>
          <w:tcPr>
            <w:tcW w:w="6149" w:type="dxa"/>
          </w:tcPr>
          <w:p w:rsidR="002A7581" w:rsidRPr="00585FF1" w:rsidP="002A7581" w14:paraId="15E7BEFF" w14:textId="56F8F213">
            <w:pPr>
              <w:rPr>
                <w:rFonts w:cstheme="minorHAnsi"/>
              </w:rPr>
            </w:pPr>
            <w:r>
              <w:rPr>
                <w:rFonts w:cstheme="minorHAnsi"/>
              </w:rPr>
              <w:t xml:space="preserve">Requires </w:t>
            </w:r>
            <w:r w:rsidR="0074733D">
              <w:rPr>
                <w:rFonts w:cstheme="minorHAnsi"/>
              </w:rPr>
              <w:t>g</w:t>
            </w:r>
            <w:r w:rsidR="0074733D">
              <w:t xml:space="preserve">enerators that send their hazardous secondary materials to facilities that do not have a permit to conduct a “reasonable efforts” environmental audit of the receiving facilities. EPA requires </w:t>
            </w:r>
            <w:r w:rsidRPr="00E03D61" w:rsidR="0074733D">
              <w:t xml:space="preserve">generators </w:t>
            </w:r>
            <w:r w:rsidR="0074733D">
              <w:t>to</w:t>
            </w:r>
            <w:r w:rsidRPr="00E03D61" w:rsidR="0074733D">
              <w:t xml:space="preserve"> follow certain emergency preparedness and response regulations </w:t>
            </w:r>
            <w:r w:rsidR="0074733D">
              <w:t xml:space="preserve">as </w:t>
            </w:r>
            <w:r w:rsidRPr="00E03D61" w:rsidR="0074733D">
              <w:t xml:space="preserve">a condition </w:t>
            </w:r>
            <w:r w:rsidR="0074733D">
              <w:t>of the transfer-based exclusion. G</w:t>
            </w:r>
            <w:r w:rsidRPr="00E03D61" w:rsidR="0074733D">
              <w:t xml:space="preserve">enerators that accumulate less than 6,000 </w:t>
            </w:r>
            <w:r w:rsidR="0074733D">
              <w:t>kilograms (</w:t>
            </w:r>
            <w:r w:rsidRPr="00E03D61" w:rsidR="0074733D">
              <w:t>kg</w:t>
            </w:r>
            <w:r w:rsidR="0074733D">
              <w:t>)</w:t>
            </w:r>
            <w:r w:rsidRPr="00E03D61" w:rsidR="0074733D">
              <w:t xml:space="preserve"> of hazardous secondary material on site must </w:t>
            </w:r>
            <w:r w:rsidR="0074733D">
              <w:t>comply with the emergency preparedness and response requirements in 40 CFR Part 265, Subpart C, while g</w:t>
            </w:r>
            <w:r w:rsidRPr="00E03D61" w:rsidR="0074733D">
              <w:t xml:space="preserve">enerators </w:t>
            </w:r>
            <w:r w:rsidR="0074733D">
              <w:t>accumulating</w:t>
            </w:r>
            <w:r w:rsidRPr="00E03D61" w:rsidR="0074733D">
              <w:t xml:space="preserve"> more </w:t>
            </w:r>
            <w:r w:rsidRPr="00955B7F" w:rsidR="0074733D">
              <w:t xml:space="preserve">than 6,000 kg of hazardous secondary material on site must comply with </w:t>
            </w:r>
            <w:r w:rsidR="0074733D">
              <w:t>40 CFR P</w:t>
            </w:r>
            <w:r w:rsidRPr="00955B7F" w:rsidR="0074733D">
              <w:t>art 265</w:t>
            </w:r>
            <w:r w:rsidR="0074733D">
              <w:t>,</w:t>
            </w:r>
            <w:r w:rsidRPr="00955B7F" w:rsidR="0074733D">
              <w:t xml:space="preserve"> </w:t>
            </w:r>
            <w:r w:rsidR="0074733D">
              <w:t>S</w:t>
            </w:r>
            <w:r w:rsidRPr="00955B7F" w:rsidR="0074733D">
              <w:t>ubparts C and D.</w:t>
            </w:r>
            <w:r w:rsidRPr="00955B7F" w:rsidR="008257BD">
              <w:t xml:space="preserve"> These emergency preparedness and response conditions include recordkeeping requirements for personnel training, as well as recordkeeping and reporting requirements for contingency planning and emergency procedures. </w:t>
            </w:r>
            <w:r w:rsidR="0074733D">
              <w:rPr>
                <w:rFonts w:cstheme="minorHAnsi"/>
              </w:rPr>
              <w:t xml:space="preserve"> </w:t>
            </w:r>
            <w:r>
              <w:rPr>
                <w:rFonts w:cstheme="minorHAnsi"/>
              </w:rPr>
              <w:t>[Requirement 1 above]</w:t>
            </w:r>
          </w:p>
        </w:tc>
      </w:tr>
    </w:tbl>
    <w:p w:rsidR="00D47CB3" w:rsidRPr="00585FF1" w:rsidP="006A7810" w14:paraId="13EA7282" w14:textId="0F9C6871">
      <w:pPr>
        <w:pStyle w:val="ListParagraph"/>
        <w:numPr>
          <w:ilvl w:val="0"/>
          <w:numId w:val="2"/>
        </w:numPr>
        <w:pBdr>
          <w:bottom w:val="single" w:sz="4" w:space="1" w:color="auto"/>
        </w:pBdr>
        <w:spacing w:before="240" w:after="0"/>
        <w:rPr>
          <w:rFonts w:cstheme="minorHAnsi"/>
          <w:b/>
          <w:bCs/>
        </w:rPr>
      </w:pPr>
      <w:r w:rsidRPr="00585FF1">
        <w:rPr>
          <w:rFonts w:cstheme="minorHAnsi"/>
          <w:b/>
          <w:bCs/>
        </w:rPr>
        <w:t>PRACTICAL UTILITY/USERS OF THE DATA</w:t>
      </w:r>
      <w:bookmarkEnd w:id="2"/>
    </w:p>
    <w:p w:rsidR="004252C1" w:rsidRPr="00585FF1" w:rsidP="00854AAE" w14:paraId="24379675" w14:textId="77777777">
      <w:pPr>
        <w:pBdr>
          <w:bottom w:val="single" w:sz="4" w:space="1" w:color="auto"/>
        </w:pBdr>
        <w:spacing w:before="60"/>
        <w:rPr>
          <w:rFonts w:cstheme="minorHAnsi"/>
          <w:i/>
          <w:iCs/>
          <w:color w:val="000000"/>
          <w:shd w:val="clear" w:color="auto" w:fill="FFFFFF"/>
        </w:rPr>
      </w:pPr>
      <w:r w:rsidRPr="00585FF1">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411027" w:rsidRPr="00411027" w:rsidP="00411027" w14:paraId="5F126829" w14:textId="7E485398">
      <w:pPr>
        <w:pStyle w:val="BodyTextDSW"/>
        <w:ind w:firstLine="0"/>
        <w:rPr>
          <w:rFonts w:asciiTheme="minorHAnsi" w:hAnsiTheme="minorHAnsi" w:cstheme="minorHAnsi"/>
          <w:b/>
          <w:sz w:val="22"/>
          <w:szCs w:val="22"/>
        </w:rPr>
      </w:pPr>
      <w:bookmarkStart w:id="3" w:name="_Toc156593370"/>
      <w:r w:rsidRPr="00411027">
        <w:rPr>
          <w:rFonts w:asciiTheme="minorHAnsi" w:hAnsiTheme="minorHAnsi" w:cstheme="minorHAnsi"/>
          <w:b/>
          <w:bCs/>
          <w:sz w:val="22"/>
          <w:szCs w:val="22"/>
        </w:rPr>
        <w:t>Requirement 1:</w:t>
      </w:r>
      <w:r w:rsidRPr="00411027" w:rsidR="001D00F6">
        <w:rPr>
          <w:rFonts w:asciiTheme="minorHAnsi" w:hAnsiTheme="minorHAnsi" w:cstheme="minorHAnsi"/>
          <w:b/>
          <w:bCs/>
          <w:sz w:val="22"/>
          <w:szCs w:val="22"/>
        </w:rPr>
        <w:tab/>
      </w:r>
      <w:r w:rsidRPr="00411027">
        <w:rPr>
          <w:rFonts w:asciiTheme="minorHAnsi" w:hAnsiTheme="minorHAnsi" w:cstheme="minorHAnsi"/>
          <w:b/>
          <w:sz w:val="22"/>
          <w:szCs w:val="22"/>
        </w:rPr>
        <w:t>Off-Site Transfer Based Exclusion for Hazardous Secondary Material</w:t>
      </w:r>
    </w:p>
    <w:p w:rsidR="00411027" w:rsidRPr="00411027" w:rsidP="00411027" w14:paraId="6032CF59" w14:textId="77777777">
      <w:pPr>
        <w:pStyle w:val="BodyTextDSW"/>
        <w:rPr>
          <w:rFonts w:asciiTheme="minorHAnsi" w:hAnsiTheme="minorHAnsi" w:cstheme="minorHAnsi"/>
          <w:sz w:val="22"/>
          <w:szCs w:val="22"/>
        </w:rPr>
      </w:pPr>
      <w:r w:rsidRPr="00411027">
        <w:rPr>
          <w:rFonts w:asciiTheme="minorHAnsi" w:hAnsiTheme="minorHAnsi" w:cstheme="minorHAnsi"/>
          <w:sz w:val="22"/>
          <w:szCs w:val="22"/>
        </w:rPr>
        <w:t xml:space="preserve">Generators that send their hazardous secondary materials to facilities that do not have a permit are required to conduct a “reasonable efforts” environmental audit of the receiving facilities. This information will be made available upon request by a regulatory authority to ensure generators </w:t>
      </w:r>
      <w:r w:rsidRPr="00411027">
        <w:rPr>
          <w:rFonts w:asciiTheme="minorHAnsi" w:hAnsiTheme="minorHAnsi" w:cstheme="minorHAnsi"/>
          <w:sz w:val="22"/>
          <w:szCs w:val="22"/>
        </w:rPr>
        <w:t>conducted</w:t>
      </w:r>
      <w:r w:rsidRPr="00411027">
        <w:rPr>
          <w:rFonts w:asciiTheme="minorHAnsi" w:hAnsiTheme="minorHAnsi" w:cstheme="minorHAnsi"/>
          <w:sz w:val="22"/>
          <w:szCs w:val="22"/>
        </w:rPr>
        <w:t xml:space="preserve"> a creditable audit of the receiving facility. The emergency preparedness and response conditions include recordkeeping requirements for personnel training. This information will be used by both EPA and generators to determine whether employees have acquired the necessary expertise to </w:t>
      </w:r>
      <w:r w:rsidRPr="00411027">
        <w:rPr>
          <w:rFonts w:asciiTheme="minorHAnsi" w:hAnsiTheme="minorHAnsi" w:cstheme="minorHAnsi"/>
          <w:sz w:val="22"/>
          <w:szCs w:val="22"/>
        </w:rPr>
        <w:t>perform</w:t>
      </w:r>
      <w:r w:rsidRPr="00411027">
        <w:rPr>
          <w:rFonts w:asciiTheme="minorHAnsi" w:hAnsiTheme="minorHAnsi" w:cstheme="minorHAnsi"/>
          <w:sz w:val="22"/>
          <w:szCs w:val="22"/>
        </w:rPr>
        <w:t xml:space="preserve"> their jobs. EPA also needs this information to review personnel records to determine whether employees are receiving a level of training that is commensurate with their duties and responsibilities as well as their ability to respond to any emergency situations at the facility. In addition, the contingency plans may be reviewed by EPA inspectors to determine whether generators have developed adequate procedures to respond to unplanned sudden or non-sudden releases of hazardous waste or hazardous constituents to air, soil, or surface water. EPA also has financial assurance requirements as a condition of exclusion. The associated paperwork requirements will be used by EPA to ensure owners/operators use a financial mechanism.</w:t>
      </w:r>
    </w:p>
    <w:p w:rsidR="00411027" w:rsidRPr="00411027" w:rsidP="00411027" w14:paraId="18497D19" w14:textId="7D8847BC">
      <w:pPr>
        <w:pStyle w:val="BodyTextDSW"/>
        <w:ind w:firstLine="0"/>
        <w:rPr>
          <w:rFonts w:asciiTheme="minorHAnsi" w:hAnsiTheme="minorHAnsi" w:cstheme="minorHAnsi"/>
          <w:b/>
          <w:sz w:val="22"/>
          <w:szCs w:val="22"/>
        </w:rPr>
      </w:pPr>
      <w:r>
        <w:rPr>
          <w:rFonts w:asciiTheme="minorHAnsi" w:hAnsiTheme="minorHAnsi" w:cstheme="minorHAnsi"/>
          <w:b/>
          <w:sz w:val="22"/>
          <w:szCs w:val="22"/>
        </w:rPr>
        <w:t xml:space="preserve">Requirement 2: </w:t>
      </w:r>
      <w:r w:rsidRPr="00411027">
        <w:rPr>
          <w:rFonts w:asciiTheme="minorHAnsi" w:hAnsiTheme="minorHAnsi" w:cstheme="minorHAnsi"/>
          <w:b/>
          <w:sz w:val="22"/>
          <w:szCs w:val="22"/>
        </w:rPr>
        <w:t>Hazardous Secondary Material Generated and Reclaimed under the Control of the Generator</w:t>
      </w:r>
    </w:p>
    <w:p w:rsidR="00411027" w:rsidRPr="00411027" w:rsidP="00411027" w14:paraId="5650F3E9" w14:textId="77777777">
      <w:pPr>
        <w:pStyle w:val="BodyTextDSW"/>
        <w:rPr>
          <w:rFonts w:asciiTheme="minorHAnsi" w:hAnsiTheme="minorHAnsi" w:cstheme="minorHAnsi"/>
          <w:sz w:val="22"/>
          <w:szCs w:val="22"/>
        </w:rPr>
      </w:pPr>
      <w:r w:rsidRPr="00411027">
        <w:rPr>
          <w:rFonts w:asciiTheme="minorHAnsi" w:hAnsiTheme="minorHAnsi" w:cstheme="minorHAnsi"/>
          <w:sz w:val="22"/>
          <w:szCs w:val="22"/>
        </w:rPr>
        <w:t xml:space="preserve">EPA has certification requirements for certain materials that are generated and reclaimed under the control of the generator (i.e., within the same company and under certain tolling arrangements) because of existing complexities in corporate ownership and liability. The certification will be used to hold the company accountable for knowing and complying with the definition of “hazardous secondary materials generated and reclaimed under the control of the generator” and to enable regulatory authorities to determine when facilities are eligible for this exclusion. The certification also will be used by the generator to increase the company’s awareness and accountability </w:t>
      </w:r>
      <w:r w:rsidRPr="00411027">
        <w:rPr>
          <w:rFonts w:asciiTheme="minorHAnsi" w:hAnsiTheme="minorHAnsi" w:cstheme="minorHAnsi"/>
          <w:sz w:val="22"/>
          <w:szCs w:val="22"/>
        </w:rPr>
        <w:t>for ensuring</w:t>
      </w:r>
      <w:r w:rsidRPr="00411027">
        <w:rPr>
          <w:rFonts w:asciiTheme="minorHAnsi" w:hAnsiTheme="minorHAnsi" w:cstheme="minorHAnsi"/>
          <w:sz w:val="22"/>
          <w:szCs w:val="22"/>
        </w:rPr>
        <w:t xml:space="preserve"> that the generator and reclamation facilities are in fact under its ownership. The emergency preparedness and response conditions include recordkeeping requirements for personnel training. This information will be used by both EPA and generators to determine whether employees have acquired the necessary expertise to </w:t>
      </w:r>
      <w:r w:rsidRPr="00411027">
        <w:rPr>
          <w:rFonts w:asciiTheme="minorHAnsi" w:hAnsiTheme="minorHAnsi" w:cstheme="minorHAnsi"/>
          <w:sz w:val="22"/>
          <w:szCs w:val="22"/>
        </w:rPr>
        <w:t>perform</w:t>
      </w:r>
      <w:r w:rsidRPr="00411027">
        <w:rPr>
          <w:rFonts w:asciiTheme="minorHAnsi" w:hAnsiTheme="minorHAnsi" w:cstheme="minorHAnsi"/>
          <w:sz w:val="22"/>
          <w:szCs w:val="22"/>
        </w:rPr>
        <w:t xml:space="preserve"> their jobs. EPA also needs this information to review personnel records to determine whether employees are receiving a level of training that is commensurate with their duties and responsibilities as well as their ability to respond to any emergency situations at the facility. In addition, the contingency plans may be reviewed by EPA inspectors to determine whether generators have developed adequate procedures to respond to unplanned sudden or non-sudden releases of hazardous waste or hazardous constituents to air, soil, or surface water.</w:t>
      </w:r>
    </w:p>
    <w:p w:rsidR="00411027" w:rsidRPr="00411027" w:rsidP="00411027" w14:paraId="7AAA0496" w14:textId="365D79F6">
      <w:pPr>
        <w:pStyle w:val="BodyTextDSW"/>
        <w:keepNext/>
        <w:ind w:firstLine="0"/>
        <w:rPr>
          <w:rFonts w:asciiTheme="minorHAnsi" w:hAnsiTheme="minorHAnsi" w:cstheme="minorHAnsi"/>
          <w:b/>
          <w:sz w:val="22"/>
          <w:szCs w:val="22"/>
        </w:rPr>
      </w:pPr>
      <w:r>
        <w:rPr>
          <w:rFonts w:asciiTheme="minorHAnsi" w:hAnsiTheme="minorHAnsi" w:cstheme="minorHAnsi"/>
          <w:b/>
          <w:sz w:val="22"/>
          <w:szCs w:val="22"/>
        </w:rPr>
        <w:t xml:space="preserve">Requirement 3: </w:t>
      </w:r>
      <w:r w:rsidRPr="00411027">
        <w:rPr>
          <w:rFonts w:asciiTheme="minorHAnsi" w:hAnsiTheme="minorHAnsi" w:cstheme="minorHAnsi"/>
          <w:b/>
          <w:sz w:val="22"/>
          <w:szCs w:val="22"/>
        </w:rPr>
        <w:t>Solid Waste Variances and Non-Waste Determinations</w:t>
      </w:r>
    </w:p>
    <w:p w:rsidR="00411027" w:rsidRPr="00411027" w:rsidP="00411027" w14:paraId="677EF19D" w14:textId="77777777">
      <w:pPr>
        <w:pStyle w:val="BodyTextDSW"/>
        <w:rPr>
          <w:rFonts w:asciiTheme="minorHAnsi" w:hAnsiTheme="minorHAnsi" w:cstheme="minorHAnsi"/>
          <w:sz w:val="22"/>
          <w:szCs w:val="22"/>
        </w:rPr>
      </w:pPr>
      <w:r w:rsidRPr="00411027">
        <w:rPr>
          <w:rFonts w:asciiTheme="minorHAnsi" w:hAnsiTheme="minorHAnsi" w:cstheme="minorHAnsi"/>
          <w:sz w:val="22"/>
          <w:szCs w:val="22"/>
        </w:rPr>
        <w:t>The non</w:t>
      </w:r>
      <w:r w:rsidRPr="00411027">
        <w:rPr>
          <w:rFonts w:asciiTheme="minorHAnsi" w:hAnsiTheme="minorHAnsi" w:cstheme="minorHAnsi"/>
          <w:sz w:val="22"/>
          <w:szCs w:val="22"/>
        </w:rPr>
        <w:noBreakHyphen/>
        <w:t>waste determination and solid waste variance petition process provides petitioners with an administrative procedure for receiving a formal determination that their material is not a solid waste. For cases where there is ambiguity about whether a secondary material is a solid waste, this process may provide regulatory certainty for both the facility and Agency. The non-waste determination and variance requirements in 40 CFR Part 260 will foster greater consistency on the part of implementing agencies and help ensure the protectiveness of the implementation of the solid waste variances and non-waste determinations.</w:t>
      </w:r>
    </w:p>
    <w:p w:rsidR="00411027" w:rsidRPr="00411027" w:rsidP="00411027" w14:paraId="0C080F72" w14:textId="04872253">
      <w:pPr>
        <w:pStyle w:val="BodyTextDSW"/>
        <w:ind w:firstLine="0"/>
        <w:rPr>
          <w:rFonts w:asciiTheme="minorHAnsi" w:hAnsiTheme="minorHAnsi" w:cstheme="minorHAnsi"/>
          <w:b/>
          <w:sz w:val="22"/>
          <w:szCs w:val="22"/>
        </w:rPr>
      </w:pPr>
      <w:r>
        <w:rPr>
          <w:rFonts w:asciiTheme="minorHAnsi" w:hAnsiTheme="minorHAnsi" w:cstheme="minorHAnsi"/>
          <w:b/>
          <w:sz w:val="22"/>
          <w:szCs w:val="22"/>
        </w:rPr>
        <w:t xml:space="preserve">Requirement 4: </w:t>
      </w:r>
      <w:r w:rsidRPr="00411027">
        <w:rPr>
          <w:rFonts w:asciiTheme="minorHAnsi" w:hAnsiTheme="minorHAnsi" w:cstheme="minorHAnsi"/>
          <w:b/>
          <w:sz w:val="22"/>
          <w:szCs w:val="22"/>
        </w:rPr>
        <w:t>Remanufacturing Exclusion</w:t>
      </w:r>
    </w:p>
    <w:p w:rsidR="00411027" w:rsidRPr="00411027" w:rsidP="00411027" w14:paraId="2C45421C" w14:textId="77777777">
      <w:pPr>
        <w:pStyle w:val="BodyTextDSW"/>
        <w:rPr>
          <w:rFonts w:asciiTheme="minorHAnsi" w:hAnsiTheme="minorHAnsi" w:cstheme="minorHAnsi"/>
          <w:b/>
          <w:sz w:val="22"/>
          <w:szCs w:val="22"/>
        </w:rPr>
      </w:pPr>
      <w:r w:rsidRPr="00411027">
        <w:rPr>
          <w:rFonts w:asciiTheme="minorHAnsi" w:hAnsiTheme="minorHAnsi" w:cstheme="minorHAnsi"/>
          <w:sz w:val="22"/>
          <w:szCs w:val="22"/>
        </w:rPr>
        <w:t>Under the remanufacturing exclusion at 40 CFR 261.4(a)(27), both the hazardous secondary material generator and the remanufacturer must maintain records of shipments and confirmations of receipts for a period of three years from the dates of the shipments. Regulatory authorities need such recordkeeping requirements to ensure that hazardous secondary materials are being transferred to their intended destinations in accordance with the exclusions.</w:t>
      </w:r>
    </w:p>
    <w:p w:rsidR="00411027" w:rsidRPr="00411027" w:rsidP="00411027" w14:paraId="780600C3" w14:textId="2B1CDEE6">
      <w:pPr>
        <w:pStyle w:val="BodyTextDSW"/>
        <w:ind w:firstLine="0"/>
        <w:rPr>
          <w:rFonts w:asciiTheme="minorHAnsi" w:hAnsiTheme="minorHAnsi" w:cstheme="minorHAnsi"/>
          <w:b/>
          <w:sz w:val="22"/>
          <w:szCs w:val="22"/>
        </w:rPr>
      </w:pPr>
      <w:r>
        <w:rPr>
          <w:rFonts w:asciiTheme="minorHAnsi" w:hAnsiTheme="minorHAnsi" w:cstheme="minorHAnsi"/>
          <w:b/>
          <w:sz w:val="22"/>
          <w:szCs w:val="22"/>
        </w:rPr>
        <w:t xml:space="preserve">Requirement 5: </w:t>
      </w:r>
      <w:r w:rsidRPr="00411027">
        <w:rPr>
          <w:rFonts w:asciiTheme="minorHAnsi" w:hAnsiTheme="minorHAnsi" w:cstheme="minorHAnsi"/>
          <w:b/>
          <w:sz w:val="22"/>
          <w:szCs w:val="22"/>
        </w:rPr>
        <w:t>Recordkeeping and Labeling for Speculative Accumulation</w:t>
      </w:r>
    </w:p>
    <w:p w:rsidR="00411027" w:rsidRPr="00411027" w:rsidP="00411027" w14:paraId="19583BD1" w14:textId="77777777">
      <w:pPr>
        <w:pStyle w:val="BodyTextDSW"/>
        <w:rPr>
          <w:rFonts w:asciiTheme="minorHAnsi" w:hAnsiTheme="minorHAnsi" w:cstheme="minorHAnsi"/>
          <w:sz w:val="22"/>
          <w:szCs w:val="22"/>
        </w:rPr>
      </w:pPr>
      <w:r w:rsidRPr="00411027">
        <w:rPr>
          <w:rFonts w:asciiTheme="minorHAnsi" w:hAnsiTheme="minorHAnsi" w:cstheme="minorHAnsi"/>
          <w:sz w:val="22"/>
          <w:szCs w:val="22"/>
        </w:rPr>
        <w:t xml:space="preserve">Persons subject to the speculative accumulation requirements (including but not limited to persons operating under the generator-controlled exclusions of 40 CFR 261.4(a)(23)) must place a label on the storage unit indicating the first date that the excluded hazardous secondary material began to be accumulated. If placing a label on the storage unit is not practicable, the accumulation period must be documented through an inventory log or other appropriate method. Inspectors and other regulatory authorities will use this information to quickly ascertain how long a facility has been storing </w:t>
      </w:r>
      <w:r w:rsidRPr="00411027">
        <w:rPr>
          <w:rFonts w:asciiTheme="minorHAnsi" w:hAnsiTheme="minorHAnsi" w:cstheme="minorHAnsi"/>
          <w:sz w:val="22"/>
          <w:szCs w:val="22"/>
        </w:rPr>
        <w:t>an excluded</w:t>
      </w:r>
      <w:r w:rsidRPr="00411027">
        <w:rPr>
          <w:rFonts w:asciiTheme="minorHAnsi" w:hAnsiTheme="minorHAnsi" w:cstheme="minorHAnsi"/>
          <w:sz w:val="22"/>
          <w:szCs w:val="22"/>
        </w:rPr>
        <w:t xml:space="preserve"> hazardous secondary material, and, therefore, whether that facility </w:t>
      </w:r>
      <w:r w:rsidRPr="00411027">
        <w:rPr>
          <w:rFonts w:asciiTheme="minorHAnsi" w:hAnsiTheme="minorHAnsi" w:cstheme="minorHAnsi"/>
          <w:sz w:val="22"/>
          <w:szCs w:val="22"/>
        </w:rPr>
        <w:t>was in compliance with</w:t>
      </w:r>
      <w:r w:rsidRPr="00411027">
        <w:rPr>
          <w:rFonts w:asciiTheme="minorHAnsi" w:hAnsiTheme="minorHAnsi" w:cstheme="minorHAnsi"/>
          <w:sz w:val="22"/>
          <w:szCs w:val="22"/>
        </w:rPr>
        <w:t xml:space="preserve"> storage time limits.</w:t>
      </w:r>
    </w:p>
    <w:p w:rsidR="00411027" w:rsidRPr="00411027" w:rsidP="00411027" w14:paraId="68FB87E1" w14:textId="1A6CB218">
      <w:pPr>
        <w:pStyle w:val="BodyTextDSW"/>
        <w:ind w:firstLine="0"/>
        <w:rPr>
          <w:rFonts w:asciiTheme="minorHAnsi" w:hAnsiTheme="minorHAnsi" w:cstheme="minorHAnsi"/>
          <w:b/>
          <w:sz w:val="22"/>
          <w:szCs w:val="22"/>
        </w:rPr>
      </w:pPr>
      <w:r>
        <w:rPr>
          <w:rFonts w:asciiTheme="minorHAnsi" w:hAnsiTheme="minorHAnsi" w:cstheme="minorHAnsi"/>
          <w:b/>
          <w:sz w:val="22"/>
          <w:szCs w:val="22"/>
        </w:rPr>
        <w:t xml:space="preserve">Requirement 6: </w:t>
      </w:r>
      <w:r w:rsidRPr="00411027">
        <w:rPr>
          <w:rFonts w:asciiTheme="minorHAnsi" w:hAnsiTheme="minorHAnsi" w:cstheme="minorHAnsi"/>
          <w:b/>
          <w:sz w:val="22"/>
          <w:szCs w:val="22"/>
        </w:rPr>
        <w:t>Recordkeeping for Export under the Transfer-Based Exclusion</w:t>
      </w:r>
    </w:p>
    <w:p w:rsidR="00411027" w:rsidRPr="00411027" w:rsidP="00411027" w14:paraId="1498C378" w14:textId="77777777">
      <w:pPr>
        <w:pStyle w:val="BodyTextDSW"/>
        <w:rPr>
          <w:rFonts w:asciiTheme="minorHAnsi" w:hAnsiTheme="minorHAnsi" w:cstheme="minorHAnsi"/>
          <w:b/>
          <w:sz w:val="22"/>
          <w:szCs w:val="22"/>
        </w:rPr>
      </w:pPr>
      <w:r w:rsidRPr="00411027">
        <w:rPr>
          <w:rFonts w:asciiTheme="minorHAnsi" w:hAnsiTheme="minorHAnsi" w:cstheme="minorHAnsi"/>
          <w:sz w:val="22"/>
          <w:szCs w:val="22"/>
        </w:rPr>
        <w:t xml:space="preserve">Generators can export their hazardous waste secondary materials under the transfer-based exclusion if they provide notice and obtain consent of the receiving </w:t>
      </w:r>
      <w:r w:rsidRPr="00411027">
        <w:rPr>
          <w:rFonts w:asciiTheme="minorHAnsi" w:hAnsiTheme="minorHAnsi" w:cstheme="minorHAnsi"/>
          <w:sz w:val="22"/>
          <w:szCs w:val="22"/>
        </w:rPr>
        <w:t>country, and</w:t>
      </w:r>
      <w:r w:rsidRPr="00411027">
        <w:rPr>
          <w:rFonts w:asciiTheme="minorHAnsi" w:hAnsiTheme="minorHAnsi" w:cstheme="minorHAnsi"/>
          <w:sz w:val="22"/>
          <w:szCs w:val="22"/>
        </w:rPr>
        <w:t xml:space="preserve"> file an annual report. Such procedures help ensure, for example, that the materials will not be discarded and give the receiving country an opportunity to respond to the intended shipment (e.g., request additional information).  </w:t>
      </w:r>
    </w:p>
    <w:p w:rsidR="00074917" w:rsidRPr="00F9080A" w:rsidP="006A7810" w14:paraId="5743ED7B" w14:textId="63A66174">
      <w:pPr>
        <w:pStyle w:val="ListParagraph"/>
        <w:numPr>
          <w:ilvl w:val="0"/>
          <w:numId w:val="2"/>
        </w:numPr>
        <w:tabs>
          <w:tab w:val="left" w:pos="720"/>
          <w:tab w:val="left" w:pos="1080"/>
        </w:tabs>
        <w:rPr>
          <w:rFonts w:cstheme="minorHAnsi"/>
          <w:b/>
          <w:bCs/>
        </w:rPr>
      </w:pPr>
      <w:r w:rsidRPr="00F9080A">
        <w:rPr>
          <w:rFonts w:cstheme="minorHAnsi"/>
          <w:b/>
          <w:bCs/>
        </w:rPr>
        <w:t>USE OF TECHNOLOGY</w:t>
      </w:r>
      <w:bookmarkEnd w:id="3"/>
    </w:p>
    <w:p w:rsidR="00D47CB3" w:rsidRPr="00585FF1" w:rsidP="00854AAE" w14:paraId="63FA7108" w14:textId="77777777">
      <w:pPr>
        <w:pBdr>
          <w:bottom w:val="single" w:sz="4" w:space="1" w:color="auto"/>
        </w:pBdr>
        <w:spacing w:before="60"/>
        <w:rPr>
          <w:rFonts w:cstheme="minorHAnsi"/>
          <w:i/>
          <w:iCs/>
        </w:rPr>
      </w:pPr>
      <w:r w:rsidRPr="00585FF1">
        <w:rPr>
          <w:rFonts w:cstheme="minorHAnsi"/>
          <w:i/>
          <w:iCs/>
          <w:color w:val="000000"/>
          <w:shd w:val="clear" w:color="auto" w:fill="FFFFFF"/>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585FF1">
        <w:rPr>
          <w:rFonts w:cstheme="minorHAnsi"/>
          <w:i/>
          <w:iCs/>
          <w:color w:val="000000"/>
          <w:shd w:val="clear" w:color="auto" w:fill="FFFFFF"/>
        </w:rPr>
        <w:t>for adopting</w:t>
      </w:r>
      <w:r w:rsidRPr="00585FF1">
        <w:rPr>
          <w:rFonts w:cstheme="minorHAnsi"/>
          <w:i/>
          <w:iCs/>
          <w:color w:val="000000"/>
          <w:shd w:val="clear" w:color="auto" w:fill="FFFFFF"/>
        </w:rPr>
        <w:t xml:space="preserve"> this means of collection. Also describe any consideration of using information technology to reduce burden.</w:t>
      </w:r>
    </w:p>
    <w:p w:rsidR="00BF144F" w:rsidRPr="00585FF1" w:rsidP="00A55B12" w14:paraId="4358B72C" w14:textId="57EEF3A3">
      <w:pPr>
        <w:ind w:firstLine="360"/>
        <w:rPr>
          <w:rFonts w:cstheme="minorHAnsi"/>
          <w:b/>
        </w:rPr>
      </w:pPr>
      <w:bookmarkStart w:id="4" w:name="_Toc156593371"/>
      <w:r w:rsidRPr="00585FF1">
        <w:rPr>
          <w:rFonts w:cstheme="minorHAnsi"/>
        </w:rPr>
        <w:t>The information collected, as described above, can be kept in an electronic</w:t>
      </w:r>
      <w:r w:rsidRPr="00585FF1" w:rsidR="00226DEE">
        <w:rPr>
          <w:rFonts w:cstheme="minorHAnsi"/>
        </w:rPr>
        <w:t xml:space="preserve"> format</w:t>
      </w:r>
      <w:r w:rsidRPr="00585FF1">
        <w:rPr>
          <w:rFonts w:cstheme="minorHAnsi"/>
        </w:rPr>
        <w:t>.</w:t>
      </w:r>
    </w:p>
    <w:p w:rsidR="005263EC" w:rsidRPr="00585FF1" w:rsidP="006A7810" w14:paraId="3B54AC74" w14:textId="77777777">
      <w:pPr>
        <w:pStyle w:val="ListParagraph"/>
        <w:numPr>
          <w:ilvl w:val="0"/>
          <w:numId w:val="2"/>
        </w:numPr>
        <w:pBdr>
          <w:bottom w:val="single" w:sz="4" w:space="1" w:color="auto"/>
        </w:pBdr>
        <w:spacing w:before="240" w:after="0"/>
        <w:rPr>
          <w:rFonts w:cstheme="minorHAnsi"/>
          <w:b/>
          <w:bCs/>
        </w:rPr>
      </w:pPr>
      <w:r w:rsidRPr="00585FF1">
        <w:rPr>
          <w:rFonts w:cstheme="minorHAnsi"/>
          <w:b/>
          <w:bCs/>
        </w:rPr>
        <w:t>EFFORTS TO IDENTIFY DUPLICATION</w:t>
      </w:r>
      <w:bookmarkEnd w:id="4"/>
    </w:p>
    <w:p w:rsidR="00D47CB3" w:rsidRPr="00585FF1" w:rsidP="00854AAE" w14:paraId="3A68AD31" w14:textId="77777777">
      <w:pPr>
        <w:pBdr>
          <w:bottom w:val="single" w:sz="4" w:space="1" w:color="auto"/>
        </w:pBdr>
        <w:spacing w:before="60"/>
        <w:rPr>
          <w:rFonts w:cstheme="minorHAnsi"/>
          <w:i/>
          <w:iCs/>
          <w:color w:val="000000"/>
          <w:shd w:val="clear" w:color="auto" w:fill="FFFFFF"/>
        </w:rPr>
      </w:pPr>
      <w:r w:rsidRPr="00585FF1">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622DBA" w:rsidRPr="00585FF1" w:rsidP="00252FE5" w14:paraId="179F1863" w14:textId="0F6C9A2E">
      <w:pPr>
        <w:ind w:firstLine="720"/>
        <w:jc w:val="both"/>
        <w:rPr>
          <w:rFonts w:cstheme="minorHAnsi"/>
        </w:rPr>
      </w:pPr>
      <w:r w:rsidRPr="00585FF1">
        <w:rPr>
          <w:rFonts w:cstheme="minorHAnsi"/>
        </w:rPr>
        <w:t>None of the information required by this ICR will duplicate information required by existing RCRA regulations</w:t>
      </w:r>
      <w:r w:rsidRPr="00585FF1">
        <w:rPr>
          <w:rFonts w:cstheme="minorHAnsi"/>
          <w:color w:val="000000"/>
        </w:rPr>
        <w:t>.</w:t>
      </w:r>
    </w:p>
    <w:p w:rsidR="00251151" w:rsidRPr="00585FF1" w:rsidP="006A7810" w14:paraId="258ABFB2" w14:textId="77777777">
      <w:pPr>
        <w:pStyle w:val="ListParagraph"/>
        <w:numPr>
          <w:ilvl w:val="0"/>
          <w:numId w:val="2"/>
        </w:numPr>
        <w:pBdr>
          <w:bottom w:val="single" w:sz="4" w:space="1" w:color="auto"/>
        </w:pBdr>
        <w:spacing w:before="240" w:after="0"/>
        <w:rPr>
          <w:rFonts w:cstheme="minorHAnsi"/>
          <w:b/>
          <w:bCs/>
        </w:rPr>
      </w:pPr>
      <w:bookmarkStart w:id="5" w:name="_Toc156593372"/>
      <w:r w:rsidRPr="00585FF1">
        <w:rPr>
          <w:rFonts w:cstheme="minorHAnsi"/>
          <w:b/>
          <w:bCs/>
        </w:rPr>
        <w:t xml:space="preserve">MINIMIZING BURDEN ON SMALL </w:t>
      </w:r>
      <w:r w:rsidRPr="00585FF1" w:rsidR="0F43C128">
        <w:rPr>
          <w:rFonts w:cstheme="minorHAnsi"/>
          <w:b/>
          <w:bCs/>
        </w:rPr>
        <w:t xml:space="preserve">BUSINESSES AND SMALL </w:t>
      </w:r>
      <w:r w:rsidRPr="00585FF1">
        <w:rPr>
          <w:rFonts w:cstheme="minorHAnsi"/>
          <w:b/>
          <w:bCs/>
        </w:rPr>
        <w:t>ENTITIES</w:t>
      </w:r>
      <w:bookmarkEnd w:id="5"/>
    </w:p>
    <w:p w:rsidR="00D47CB3" w:rsidRPr="00585FF1" w:rsidP="00854AAE" w14:paraId="56E8CE4E" w14:textId="77777777">
      <w:pPr>
        <w:pBdr>
          <w:bottom w:val="single" w:sz="4" w:space="1" w:color="auto"/>
        </w:pBdr>
        <w:spacing w:before="60"/>
        <w:rPr>
          <w:rFonts w:cstheme="minorHAnsi"/>
          <w:i/>
          <w:iCs/>
        </w:rPr>
      </w:pPr>
      <w:r w:rsidRPr="00585FF1">
        <w:rPr>
          <w:rFonts w:cstheme="minorHAnsi"/>
          <w:i/>
          <w:iCs/>
          <w:color w:val="000000"/>
          <w:shd w:val="clear" w:color="auto" w:fill="FFFFFF"/>
        </w:rPr>
        <w:t>If the collection of information impacts small businesses or other small entities, describe any methods used to minimize burden.</w:t>
      </w:r>
    </w:p>
    <w:p w:rsidR="002E27C5" w:rsidRPr="00D3799F" w:rsidP="00D3799F" w14:paraId="23AD60F6" w14:textId="6265FE23">
      <w:pPr>
        <w:pStyle w:val="BodyTextDSW"/>
        <w:rPr>
          <w:rFonts w:asciiTheme="minorHAnsi" w:hAnsiTheme="minorHAnsi" w:cstheme="minorHAnsi"/>
          <w:sz w:val="22"/>
          <w:szCs w:val="22"/>
        </w:rPr>
      </w:pPr>
      <w:bookmarkStart w:id="6" w:name="_Toc156593373"/>
      <w:r w:rsidRPr="00D3799F">
        <w:rPr>
          <w:rFonts w:asciiTheme="minorHAnsi" w:hAnsiTheme="minorHAnsi" w:cstheme="minorHAnsi"/>
          <w:sz w:val="22"/>
          <w:szCs w:val="22"/>
        </w:rPr>
        <w:t>The exclusions in this ICR are voluntary and deregulatory. As such, there is no adverse burden impact to large or small entities.</w:t>
      </w:r>
    </w:p>
    <w:p w:rsidR="004252C1" w:rsidRPr="00585FF1" w:rsidP="006A7810" w14:paraId="657EF9D9" w14:textId="37C664BA">
      <w:pPr>
        <w:pStyle w:val="ListParagraph"/>
        <w:numPr>
          <w:ilvl w:val="0"/>
          <w:numId w:val="2"/>
        </w:numPr>
        <w:pBdr>
          <w:bottom w:val="single" w:sz="4" w:space="1" w:color="auto"/>
        </w:pBdr>
        <w:spacing w:before="240" w:after="0"/>
        <w:rPr>
          <w:rFonts w:cstheme="minorHAnsi"/>
          <w:b/>
          <w:bCs/>
        </w:rPr>
      </w:pPr>
      <w:r w:rsidRPr="00585FF1">
        <w:rPr>
          <w:rFonts w:cstheme="minorHAnsi"/>
          <w:b/>
          <w:bCs/>
        </w:rPr>
        <w:t>CONSEQUENCES</w:t>
      </w:r>
      <w:r w:rsidRPr="00585FF1" w:rsidR="00061A77">
        <w:rPr>
          <w:rFonts w:cstheme="minorHAnsi"/>
          <w:b/>
          <w:bCs/>
        </w:rPr>
        <w:t xml:space="preserve"> OF LESS FREQUENT COLLECTION</w:t>
      </w:r>
      <w:bookmarkEnd w:id="6"/>
    </w:p>
    <w:p w:rsidR="00D47CB3" w:rsidRPr="00585FF1" w:rsidP="00854AAE" w14:paraId="5343D984" w14:textId="77777777">
      <w:pPr>
        <w:pBdr>
          <w:bottom w:val="single" w:sz="4" w:space="1" w:color="auto"/>
        </w:pBdr>
        <w:tabs>
          <w:tab w:val="left" w:pos="921"/>
        </w:tabs>
        <w:spacing w:before="60"/>
        <w:rPr>
          <w:rFonts w:cstheme="minorHAnsi"/>
          <w:i/>
          <w:iCs/>
        </w:rPr>
      </w:pPr>
      <w:r w:rsidRPr="00585FF1">
        <w:rPr>
          <w:rFonts w:cstheme="minorHAnsi"/>
          <w:i/>
          <w:iCs/>
          <w:color w:val="000000"/>
          <w:shd w:val="clear" w:color="auto" w:fill="FFFFFF"/>
        </w:rPr>
        <w:t xml:space="preserve">Describe the </w:t>
      </w:r>
      <w:r w:rsidRPr="00585FF1">
        <w:rPr>
          <w:rFonts w:cstheme="minorHAnsi"/>
          <w:i/>
          <w:iCs/>
          <w:color w:val="000000"/>
          <w:shd w:val="clear" w:color="auto" w:fill="FFFFFF"/>
        </w:rPr>
        <w:t>consequence</w:t>
      </w:r>
      <w:r w:rsidRPr="00585FF1">
        <w:rPr>
          <w:rFonts w:cstheme="minorHAnsi"/>
          <w:i/>
          <w:iCs/>
          <w:color w:val="000000"/>
          <w:shd w:val="clear" w:color="auto" w:fill="FFFFFF"/>
        </w:rPr>
        <w:t xml:space="preserve"> </w:t>
      </w:r>
      <w:r w:rsidRPr="00585FF1">
        <w:rPr>
          <w:rFonts w:cstheme="minorHAnsi"/>
          <w:i/>
          <w:iCs/>
          <w:color w:val="000000"/>
          <w:shd w:val="clear" w:color="auto" w:fill="FFFFFF"/>
        </w:rPr>
        <w:t>to</w:t>
      </w:r>
      <w:r w:rsidRPr="00585FF1">
        <w:rPr>
          <w:rFonts w:cstheme="minorHAnsi"/>
          <w:i/>
          <w:iCs/>
          <w:color w:val="000000"/>
          <w:shd w:val="clear" w:color="auto" w:fill="FFFFFF"/>
        </w:rPr>
        <w:t xml:space="preserve"> Federal program or policy activities if the collection is not conducted or is conducted less frequently, as well as any technical or legal obstacles to reducing burden.</w:t>
      </w:r>
    </w:p>
    <w:p w:rsidR="00A409D2" w:rsidRPr="00D3799F" w:rsidP="00D3799F" w14:paraId="42B316C7" w14:textId="338CA124">
      <w:pPr>
        <w:pStyle w:val="BodyTextDSW"/>
        <w:rPr>
          <w:rFonts w:asciiTheme="minorHAnsi" w:hAnsiTheme="minorHAnsi" w:cstheme="minorHAnsi"/>
          <w:sz w:val="22"/>
          <w:szCs w:val="22"/>
        </w:rPr>
      </w:pPr>
      <w:bookmarkStart w:id="7" w:name="_Toc156593374"/>
      <w:r w:rsidRPr="00D3799F">
        <w:rPr>
          <w:rFonts w:asciiTheme="minorHAnsi" w:hAnsiTheme="minorHAnsi" w:cstheme="minorHAnsi"/>
          <w:sz w:val="22"/>
          <w:szCs w:val="22"/>
        </w:rPr>
        <w:t>EPA is confident that the activities required of respondents are necessary, and to the extent possible, the Agency has attempted to minimize the burden imposed. In addition, other requirements can be satisfied by activities already being undertaken by respondents. If the minimum information collection requirements are not met, EPA will not be able to ensure that the hazardous secondary materials are being properly managed and do not pose a threat to human health and the environment.</w:t>
      </w:r>
      <w:r w:rsidRPr="00D3799F">
        <w:rPr>
          <w:rFonts w:asciiTheme="minorHAnsi" w:hAnsiTheme="minorHAnsi" w:cstheme="minorHAnsi"/>
          <w:color w:val="000000"/>
          <w:sz w:val="22"/>
          <w:szCs w:val="22"/>
        </w:rPr>
        <w:t xml:space="preserve"> </w:t>
      </w:r>
    </w:p>
    <w:p w:rsidR="00A233E0" w:rsidRPr="00585FF1" w:rsidP="006A7810" w14:paraId="2C23FE65" w14:textId="77777777">
      <w:pPr>
        <w:pStyle w:val="ListParagraph"/>
        <w:numPr>
          <w:ilvl w:val="0"/>
          <w:numId w:val="2"/>
        </w:numPr>
        <w:pBdr>
          <w:bottom w:val="single" w:sz="4" w:space="1" w:color="auto"/>
        </w:pBdr>
        <w:spacing w:before="240" w:after="0"/>
        <w:rPr>
          <w:rFonts w:cstheme="minorHAnsi"/>
          <w:b/>
          <w:bCs/>
        </w:rPr>
      </w:pPr>
      <w:r w:rsidRPr="00585FF1">
        <w:rPr>
          <w:rFonts w:cstheme="minorHAnsi"/>
          <w:b/>
          <w:bCs/>
        </w:rPr>
        <w:t>GENERAL GUIDELINES</w:t>
      </w:r>
      <w:bookmarkEnd w:id="7"/>
    </w:p>
    <w:p w:rsidR="00A233E0" w:rsidRPr="00585FF1" w:rsidP="00854AAE" w14:paraId="7BE32DD9" w14:textId="77777777">
      <w:pPr>
        <w:pBdr>
          <w:bottom w:val="single" w:sz="4" w:space="1" w:color="auto"/>
        </w:pBdr>
        <w:spacing w:before="60"/>
        <w:rPr>
          <w:rFonts w:cstheme="minorHAnsi"/>
        </w:rPr>
      </w:pPr>
      <w:r w:rsidRPr="00585FF1">
        <w:rPr>
          <w:rFonts w:cstheme="minorHAnsi"/>
          <w:i/>
          <w:iCs/>
        </w:rPr>
        <w:t>Explain any special circumstances that require the collection to be conducted in a manner inconsistent with OMB guidelines.</w:t>
      </w:r>
    </w:p>
    <w:p w:rsidR="001F78F0" w:rsidRPr="00585FF1" w:rsidP="00A55B12" w14:paraId="4B7FBC6B" w14:textId="6FD835F7">
      <w:pPr>
        <w:ind w:firstLine="360"/>
        <w:rPr>
          <w:rFonts w:cstheme="minorHAnsi"/>
          <w:b/>
          <w:bCs/>
        </w:rPr>
      </w:pPr>
      <w:bookmarkStart w:id="8" w:name="_Toc156593375"/>
      <w:r w:rsidRPr="00585FF1">
        <w:rPr>
          <w:rFonts w:cstheme="minorHAnsi"/>
          <w:color w:val="000000"/>
        </w:rPr>
        <w:t>The information collection is consistent with the guidelines set forth in 5 CFR 1320(d)(2) of the Paperwork Reduction Act.</w:t>
      </w:r>
    </w:p>
    <w:p w:rsidR="006036CD" w:rsidRPr="00585FF1" w:rsidP="006A7810" w14:paraId="4AF007FB" w14:textId="77777777">
      <w:pPr>
        <w:pStyle w:val="ListParagraph"/>
        <w:numPr>
          <w:ilvl w:val="0"/>
          <w:numId w:val="2"/>
        </w:numPr>
        <w:pBdr>
          <w:bottom w:val="single" w:sz="4" w:space="1" w:color="auto"/>
        </w:pBdr>
        <w:spacing w:before="240" w:after="0"/>
        <w:rPr>
          <w:rFonts w:cstheme="minorHAnsi"/>
          <w:b/>
          <w:bCs/>
        </w:rPr>
      </w:pPr>
      <w:r w:rsidRPr="00585FF1">
        <w:rPr>
          <w:rFonts w:cstheme="minorHAnsi"/>
          <w:b/>
          <w:bCs/>
        </w:rPr>
        <w:t>PUBLIC COMMENT AND CONSULTATIONS</w:t>
      </w:r>
      <w:bookmarkStart w:id="9" w:name="_Toc156593376"/>
      <w:bookmarkEnd w:id="8"/>
    </w:p>
    <w:p w:rsidR="00DD2682" w:rsidRPr="00585FF1" w:rsidP="00854AAE" w14:paraId="756F1008" w14:textId="77777777">
      <w:pPr>
        <w:spacing w:before="120" w:after="0"/>
        <w:rPr>
          <w:rFonts w:cstheme="minorHAnsi"/>
          <w:b/>
          <w:bCs/>
        </w:rPr>
      </w:pPr>
      <w:r w:rsidRPr="00585FF1">
        <w:rPr>
          <w:rFonts w:cstheme="minorHAnsi"/>
          <w:b/>
          <w:bCs/>
        </w:rPr>
        <w:t xml:space="preserve">8a. </w:t>
      </w:r>
      <w:r w:rsidRPr="00585FF1" w:rsidR="00A82647">
        <w:rPr>
          <w:rFonts w:cstheme="minorHAnsi"/>
          <w:b/>
          <w:bCs/>
        </w:rPr>
        <w:t>Public Comment</w:t>
      </w:r>
      <w:bookmarkStart w:id="10" w:name="_Toc156593377"/>
      <w:bookmarkEnd w:id="9"/>
    </w:p>
    <w:p w:rsidR="00A233E0" w:rsidRPr="00585FF1" w:rsidP="00854AAE" w14:paraId="40C6F9AB" w14:textId="77777777">
      <w:pPr>
        <w:spacing w:line="240" w:lineRule="auto"/>
        <w:rPr>
          <w:rFonts w:cstheme="minorHAnsi"/>
          <w:i/>
          <w:iCs/>
        </w:rPr>
      </w:pPr>
      <w:r w:rsidRPr="00585FF1">
        <w:rPr>
          <w:rFonts w:cstheme="minorHAnsi"/>
          <w:i/>
          <w:iCs/>
        </w:rPr>
        <w:t xml:space="preserve">If applicable, provide a copy and identify the date and page number of </w:t>
      </w:r>
      <w:r w:rsidRPr="00585FF1">
        <w:rPr>
          <w:rFonts w:cstheme="minorHAnsi"/>
          <w:i/>
          <w:iCs/>
        </w:rPr>
        <w:t>publication</w:t>
      </w:r>
      <w:r w:rsidRPr="00585FF1">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845CE" w:rsidP="00BF144F" w14:paraId="08B3FB70" w14:textId="77777777">
      <w:pPr>
        <w:ind w:firstLine="720"/>
        <w:rPr>
          <w:rFonts w:cstheme="minorHAnsi"/>
        </w:rPr>
      </w:pPr>
      <w:r w:rsidRPr="00585FF1">
        <w:rPr>
          <w:rFonts w:cstheme="minorHAnsi"/>
        </w:rPr>
        <w:t xml:space="preserve">In compliance with the Paperwork Reduction Act of 1995, EPA issued a public notice in the </w:t>
      </w:r>
      <w:r w:rsidRPr="00585FF1">
        <w:rPr>
          <w:rFonts w:cstheme="minorHAnsi"/>
          <w:i/>
          <w:iCs/>
        </w:rPr>
        <w:t>Federal Register</w:t>
      </w:r>
      <w:r w:rsidRPr="00585FF1">
        <w:rPr>
          <w:rFonts w:cstheme="minorHAnsi"/>
        </w:rPr>
        <w:t xml:space="preserve"> on </w:t>
      </w:r>
      <w:r w:rsidRPr="00585FF1" w:rsidR="003848BA">
        <w:rPr>
          <w:rFonts w:cstheme="minorHAnsi"/>
        </w:rPr>
        <w:t>December 11</w:t>
      </w:r>
      <w:r w:rsidRPr="00585FF1" w:rsidR="00271C45">
        <w:rPr>
          <w:rFonts w:cstheme="minorHAnsi"/>
        </w:rPr>
        <w:t>, 2025</w:t>
      </w:r>
      <w:r w:rsidRPr="00585FF1">
        <w:rPr>
          <w:rFonts w:cstheme="minorHAnsi"/>
        </w:rPr>
        <w:t xml:space="preserve"> (</w:t>
      </w:r>
      <w:r w:rsidRPr="00585FF1" w:rsidR="00271C45">
        <w:rPr>
          <w:rFonts w:cstheme="minorHAnsi"/>
        </w:rPr>
        <w:t>90</w:t>
      </w:r>
      <w:r w:rsidRPr="00585FF1">
        <w:rPr>
          <w:rFonts w:cstheme="minorHAnsi"/>
        </w:rPr>
        <w:t xml:space="preserve"> </w:t>
      </w:r>
      <w:r w:rsidRPr="00585FF1">
        <w:rPr>
          <w:rFonts w:cstheme="minorHAnsi"/>
          <w:i/>
        </w:rPr>
        <w:t>FR</w:t>
      </w:r>
      <w:r w:rsidRPr="00585FF1">
        <w:rPr>
          <w:rFonts w:cstheme="minorHAnsi"/>
        </w:rPr>
        <w:t xml:space="preserve"> </w:t>
      </w:r>
      <w:r w:rsidRPr="00585FF1" w:rsidR="003848BA">
        <w:rPr>
          <w:rFonts w:cstheme="minorHAnsi"/>
        </w:rPr>
        <w:t>5746</w:t>
      </w:r>
      <w:r w:rsidR="003E367D">
        <w:rPr>
          <w:rFonts w:cstheme="minorHAnsi"/>
        </w:rPr>
        <w:t>4</w:t>
      </w:r>
      <w:r w:rsidRPr="00585FF1">
        <w:rPr>
          <w:rFonts w:cstheme="minorHAnsi"/>
        </w:rPr>
        <w:t xml:space="preserve">).  The notice indicated that EPA was planning to submit an ICR, </w:t>
      </w:r>
      <w:r w:rsidRPr="00585FF1" w:rsidR="003848BA">
        <w:rPr>
          <w:rFonts w:cstheme="minorHAnsi"/>
        </w:rPr>
        <w:t>“</w:t>
      </w:r>
      <w:r w:rsidR="00093C11">
        <w:rPr>
          <w:rFonts w:cstheme="minorHAnsi"/>
        </w:rPr>
        <w:t>Revisions to the RCRA Definition of Solid Waste</w:t>
      </w:r>
      <w:r w:rsidRPr="00585FF1" w:rsidR="003848BA">
        <w:rPr>
          <w:rFonts w:cstheme="minorHAnsi"/>
        </w:rPr>
        <w:t xml:space="preserve">,” EPA ICR number </w:t>
      </w:r>
      <w:r w:rsidR="00093C11">
        <w:rPr>
          <w:rFonts w:cstheme="minorHAnsi"/>
        </w:rPr>
        <w:t>2310.08</w:t>
      </w:r>
      <w:r w:rsidRPr="00585FF1" w:rsidR="003848BA">
        <w:rPr>
          <w:rFonts w:cstheme="minorHAnsi"/>
        </w:rPr>
        <w:t>, OMB Control No. 2050-0</w:t>
      </w:r>
      <w:r w:rsidR="00093C11">
        <w:rPr>
          <w:rFonts w:cstheme="minorHAnsi"/>
        </w:rPr>
        <w:t>202</w:t>
      </w:r>
      <w:r w:rsidRPr="00585FF1" w:rsidR="003848BA">
        <w:rPr>
          <w:rFonts w:cstheme="minorHAnsi"/>
        </w:rPr>
        <w:t xml:space="preserve"> </w:t>
      </w:r>
      <w:r w:rsidRPr="00585FF1">
        <w:rPr>
          <w:rFonts w:cstheme="minorHAnsi"/>
        </w:rPr>
        <w:t xml:space="preserve">to the Office of Management and Budget (OMB) for review and approval in accordance with the Paperwork Reduction Act.  The notice also requested comments on the information collection and burden estimates covered in the ICR.  The public comment period extended through </w:t>
      </w:r>
      <w:r w:rsidRPr="00585FF1" w:rsidR="003848BA">
        <w:rPr>
          <w:rFonts w:cstheme="minorHAnsi"/>
        </w:rPr>
        <w:t>February 9</w:t>
      </w:r>
      <w:r w:rsidRPr="00585FF1" w:rsidR="002875A6">
        <w:rPr>
          <w:rFonts w:cstheme="minorHAnsi"/>
        </w:rPr>
        <w:t>, 202</w:t>
      </w:r>
      <w:r w:rsidRPr="00585FF1" w:rsidR="003848BA">
        <w:rPr>
          <w:rFonts w:cstheme="minorHAnsi"/>
        </w:rPr>
        <w:t>6</w:t>
      </w:r>
      <w:r w:rsidRPr="00585FF1">
        <w:rPr>
          <w:rFonts w:cstheme="minorHAnsi"/>
        </w:rPr>
        <w:t xml:space="preserve">.  EPA received </w:t>
      </w:r>
      <w:r w:rsidR="00093C11">
        <w:rPr>
          <w:rFonts w:cstheme="minorHAnsi"/>
        </w:rPr>
        <w:t>two</w:t>
      </w:r>
      <w:r w:rsidRPr="00585FF1">
        <w:rPr>
          <w:rFonts w:cstheme="minorHAnsi"/>
        </w:rPr>
        <w:t xml:space="preserve"> comments on this ICR in response to the </w:t>
      </w:r>
      <w:r w:rsidRPr="00585FF1">
        <w:rPr>
          <w:rFonts w:cstheme="minorHAnsi"/>
          <w:i/>
        </w:rPr>
        <w:t>Federal Register</w:t>
      </w:r>
      <w:r w:rsidRPr="00585FF1">
        <w:rPr>
          <w:rFonts w:cstheme="minorHAnsi"/>
        </w:rPr>
        <w:t xml:space="preserve"> notice.  </w:t>
      </w:r>
      <w:r>
        <w:rPr>
          <w:rFonts w:cstheme="minorHAnsi"/>
        </w:rPr>
        <w:t xml:space="preserve">The comments are attached to this supporting statement. </w:t>
      </w:r>
    </w:p>
    <w:p w:rsidR="007E7B1A" w:rsidP="007E7B1A" w14:paraId="087E76F7" w14:textId="77777777">
      <w:pPr>
        <w:rPr>
          <w:rFonts w:ascii="Calibri" w:hAnsi="Calibri" w:cs="Calibri"/>
        </w:rPr>
      </w:pPr>
      <w:r>
        <w:rPr>
          <w:rFonts w:cstheme="minorHAnsi"/>
        </w:rPr>
        <w:t>The comment</w:t>
      </w:r>
      <w:r w:rsidR="006E4CBF">
        <w:rPr>
          <w:rFonts w:cstheme="minorHAnsi"/>
        </w:rPr>
        <w:t xml:space="preserve">ers felt that collecting information from companies to prove they qualify for exemptions from regulatory requirements is unnecessary. EPA appreciates the issues raised by the </w:t>
      </w:r>
      <w:r w:rsidR="006E4CBF">
        <w:rPr>
          <w:rFonts w:cstheme="minorHAnsi"/>
        </w:rPr>
        <w:t>commenters,</w:t>
      </w:r>
      <w:r w:rsidR="006E4CBF">
        <w:rPr>
          <w:rFonts w:cstheme="minorHAnsi"/>
        </w:rPr>
        <w:t xml:space="preserve"> however the paperwork requirements that are covered in this ICR are codified in the CFR and would take a </w:t>
      </w:r>
      <w:r>
        <w:rPr>
          <w:rFonts w:cstheme="minorHAnsi"/>
        </w:rPr>
        <w:t xml:space="preserve">regulatory change. </w:t>
      </w:r>
      <w:r>
        <w:rPr>
          <w:rFonts w:cstheme="minorHAnsi"/>
        </w:rPr>
        <w:t>In light of</w:t>
      </w:r>
      <w:r>
        <w:rPr>
          <w:rFonts w:cstheme="minorHAnsi"/>
        </w:rPr>
        <w:t xml:space="preserve"> this, the commenters are encouraged to petition the Agency for a regulatory change. </w:t>
      </w:r>
      <w:r w:rsidRPr="007A50ED">
        <w:rPr>
          <w:rFonts w:ascii="Calibri" w:hAnsi="Calibri" w:cs="Calibri"/>
        </w:rPr>
        <w:t>Section 7004 of RCRA states that any person may petition EPA for the promulgation, amendment, or repeal of any regulation under RCRA. EPA promulgated regulations pursuant to §7004 that outline the procedures for filing this type of petition. According to §260.20, each petition must include:</w:t>
      </w:r>
    </w:p>
    <w:p w:rsidR="007E7B1A" w:rsidP="007E7B1A" w14:paraId="6D1F60D7" w14:textId="77777777">
      <w:pPr>
        <w:rPr>
          <w:rFonts w:ascii="Calibri" w:hAnsi="Calibri" w:cs="Calibri"/>
        </w:rPr>
      </w:pPr>
      <w:r w:rsidRPr="007A50ED">
        <w:rPr>
          <w:rFonts w:ascii="Calibri" w:hAnsi="Calibri" w:cs="Calibri"/>
        </w:rPr>
        <w:t>• The petitioner's name and address</w:t>
      </w:r>
    </w:p>
    <w:p w:rsidR="007E7B1A" w:rsidP="007E7B1A" w14:paraId="269A4720" w14:textId="77777777">
      <w:pPr>
        <w:rPr>
          <w:rFonts w:ascii="Calibri" w:hAnsi="Calibri" w:cs="Calibri"/>
        </w:rPr>
      </w:pPr>
      <w:r w:rsidRPr="007A50ED">
        <w:rPr>
          <w:rFonts w:ascii="Calibri" w:hAnsi="Calibri" w:cs="Calibri"/>
        </w:rPr>
        <w:t>• A statement of the petitioner's interest in the proposed action</w:t>
      </w:r>
    </w:p>
    <w:p w:rsidR="007E7B1A" w:rsidP="007E7B1A" w14:paraId="62BD41C9" w14:textId="77777777">
      <w:pPr>
        <w:rPr>
          <w:rFonts w:ascii="Calibri" w:hAnsi="Calibri" w:cs="Calibri"/>
        </w:rPr>
      </w:pPr>
      <w:r w:rsidRPr="007A50ED">
        <w:rPr>
          <w:rFonts w:ascii="Calibri" w:hAnsi="Calibri" w:cs="Calibri"/>
        </w:rPr>
        <w:t>• A description of the proposed action</w:t>
      </w:r>
      <w:r>
        <w:rPr>
          <w:rFonts w:ascii="Calibri" w:hAnsi="Calibri" w:cs="Calibri"/>
        </w:rPr>
        <w:t>, and</w:t>
      </w:r>
    </w:p>
    <w:p w:rsidR="007E7B1A" w:rsidP="007E7B1A" w14:paraId="6CBA0D9D" w14:textId="77777777">
      <w:pPr>
        <w:rPr>
          <w:rFonts w:ascii="Calibri" w:hAnsi="Calibri" w:cs="Calibri"/>
        </w:rPr>
      </w:pPr>
      <w:r w:rsidRPr="007A50ED">
        <w:rPr>
          <w:rFonts w:ascii="Calibri" w:hAnsi="Calibri" w:cs="Calibri"/>
        </w:rPr>
        <w:t>• A statement of the need and justification for the proposed action (including any supporting tests, studies, or other information).</w:t>
      </w:r>
    </w:p>
    <w:p w:rsidR="007E7B1A" w:rsidRPr="007A50ED" w:rsidP="007E7B1A" w14:paraId="39D660F3" w14:textId="1B56D1C4">
      <w:pPr>
        <w:rPr>
          <w:rFonts w:ascii="Calibri" w:hAnsi="Calibri" w:cs="Calibri"/>
        </w:rPr>
      </w:pPr>
      <w:r w:rsidRPr="007A50ED">
        <w:rPr>
          <w:rFonts w:ascii="Calibri" w:hAnsi="Calibri" w:cs="Calibri"/>
        </w:rPr>
        <w:t>Upon submission, EPA reviews the petition and publishes a tentative decision in the Federal Register to grant or deny it. After a public comment period, EPA evaluates all timely comments and publishes the final decision in the Federal Register.</w:t>
      </w:r>
    </w:p>
    <w:p w:rsidR="00DB7775" w:rsidRPr="00585FF1" w:rsidP="001F78F0" w14:paraId="36A06B82" w14:textId="6E283187">
      <w:pPr>
        <w:pBdr>
          <w:top w:val="single" w:sz="6" w:space="0" w:color="FFFFFF"/>
          <w:left w:val="single" w:sz="6" w:space="0" w:color="FFFFFF"/>
          <w:bottom w:val="single" w:sz="6" w:space="0" w:color="FFFFFF"/>
          <w:right w:val="single" w:sz="6" w:space="0" w:color="FFFFFF"/>
        </w:pBdr>
        <w:rPr>
          <w:rFonts w:cstheme="minorHAnsi"/>
          <w:b/>
          <w:bCs/>
        </w:rPr>
      </w:pPr>
      <w:r w:rsidRPr="00585FF1">
        <w:rPr>
          <w:rFonts w:cstheme="minorHAnsi"/>
          <w:b/>
          <w:bCs/>
        </w:rPr>
        <w:t xml:space="preserve">8b. </w:t>
      </w:r>
      <w:r w:rsidRPr="00585FF1" w:rsidR="0061689C">
        <w:rPr>
          <w:rFonts w:cstheme="minorHAnsi"/>
          <w:b/>
          <w:bCs/>
        </w:rPr>
        <w:t>C</w:t>
      </w:r>
      <w:bookmarkEnd w:id="10"/>
      <w:r w:rsidRPr="00585FF1" w:rsidR="005D140B">
        <w:rPr>
          <w:rFonts w:cstheme="minorHAnsi"/>
          <w:b/>
          <w:bCs/>
        </w:rPr>
        <w:t>onsultations</w:t>
      </w:r>
    </w:p>
    <w:p w:rsidR="00A233E0" w:rsidRPr="00585FF1" w:rsidP="00854AAE" w14:paraId="43491B7D" w14:textId="77777777">
      <w:pPr>
        <w:rPr>
          <w:rFonts w:cstheme="minorHAnsi"/>
          <w:i/>
          <w:iCs/>
        </w:rPr>
      </w:pPr>
      <w:r w:rsidRPr="00585FF1">
        <w:rPr>
          <w:rFonts w:cstheme="minorHAnsi"/>
          <w:i/>
          <w:iCs/>
        </w:rPr>
        <w:t xml:space="preserve">Describe efforts to consult with </w:t>
      </w:r>
      <w:r w:rsidRPr="00585FF1">
        <w:rPr>
          <w:rFonts w:cstheme="minorHAnsi"/>
          <w:i/>
          <w:iCs/>
        </w:rPr>
        <w:t>persons</w:t>
      </w:r>
      <w:r w:rsidRPr="00585FF1">
        <w:rPr>
          <w:rFonts w:cstheme="minorHAnsi"/>
          <w:i/>
          <w:iCs/>
        </w:rPr>
        <w:t xml:space="preserve">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10AE3" w:rsidRPr="00585FF1" w:rsidP="00D10AE3" w14:paraId="14E51941" w14:textId="3117A49A">
      <w:pPr>
        <w:tabs>
          <w:tab w:val="left" w:pos="720"/>
          <w:tab w:val="left" w:pos="1080"/>
        </w:tabs>
        <w:rPr>
          <w:rFonts w:cstheme="minorHAnsi"/>
        </w:rPr>
      </w:pPr>
      <w:bookmarkStart w:id="11" w:name="_Toc156593378"/>
      <w:r w:rsidRPr="00585FF1">
        <w:rPr>
          <w:rFonts w:cstheme="minorHAnsi"/>
        </w:rPr>
        <w:tab/>
      </w:r>
      <w:r w:rsidR="005845CE">
        <w:t xml:space="preserve">In January 2026, EPA contacted </w:t>
      </w:r>
      <w:r w:rsidR="005845CE">
        <w:t>a number of</w:t>
      </w:r>
      <w:r w:rsidR="005845CE">
        <w:t xml:space="preserve"> hazardous secondary materials generators about the burden estimates in this ICR. Companies contacted were </w:t>
      </w:r>
      <w:r w:rsidRPr="00012A7C" w:rsidR="005845CE">
        <w:rPr>
          <w:szCs w:val="20"/>
        </w:rPr>
        <w:t>Carpenter Technology Corp</w:t>
      </w:r>
      <w:r w:rsidR="005845CE">
        <w:rPr>
          <w:szCs w:val="20"/>
        </w:rPr>
        <w:t xml:space="preserve">, </w:t>
      </w:r>
      <w:r w:rsidRPr="0068756E" w:rsidR="005845CE">
        <w:rPr>
          <w:szCs w:val="20"/>
        </w:rPr>
        <w:t>Consolidated Packaging Group Inc</w:t>
      </w:r>
      <w:r w:rsidR="005845CE">
        <w:rPr>
          <w:szCs w:val="20"/>
        </w:rPr>
        <w:t xml:space="preserve">., </w:t>
      </w:r>
      <w:r w:rsidRPr="0068756E" w:rsidR="005845CE">
        <w:rPr>
          <w:szCs w:val="20"/>
        </w:rPr>
        <w:t>V&amp;S Lebanon Galvanizing LLC</w:t>
      </w:r>
      <w:r w:rsidR="005845CE">
        <w:rPr>
          <w:szCs w:val="20"/>
        </w:rPr>
        <w:t xml:space="preserve">, </w:t>
      </w:r>
      <w:r w:rsidRPr="0068756E" w:rsidR="005845CE">
        <w:rPr>
          <w:szCs w:val="20"/>
        </w:rPr>
        <w:t>Aleris Rolled Products</w:t>
      </w:r>
      <w:r w:rsidR="005845CE">
        <w:rPr>
          <w:szCs w:val="20"/>
        </w:rPr>
        <w:t xml:space="preserve">, and </w:t>
      </w:r>
      <w:r w:rsidRPr="0068756E" w:rsidR="005845CE">
        <w:rPr>
          <w:szCs w:val="20"/>
        </w:rPr>
        <w:t>CCL Label Inc</w:t>
      </w:r>
      <w:r w:rsidR="005845CE">
        <w:rPr>
          <w:szCs w:val="20"/>
        </w:rPr>
        <w:t xml:space="preserve">. No changes to the burden estimates </w:t>
      </w:r>
      <w:r w:rsidR="00B524B3">
        <w:rPr>
          <w:szCs w:val="20"/>
        </w:rPr>
        <w:t xml:space="preserve">were made </w:t>
      </w:r>
      <w:r w:rsidR="00B524B3">
        <w:rPr>
          <w:szCs w:val="20"/>
        </w:rPr>
        <w:t>as a result of</w:t>
      </w:r>
      <w:r w:rsidR="00B524B3">
        <w:rPr>
          <w:szCs w:val="20"/>
        </w:rPr>
        <w:t xml:space="preserve"> these consultations.</w:t>
      </w:r>
    </w:p>
    <w:p w:rsidR="00A233E0" w:rsidRPr="00585FF1" w:rsidP="006A7810" w14:paraId="19364F16" w14:textId="77777777">
      <w:pPr>
        <w:pStyle w:val="ListParagraph"/>
        <w:numPr>
          <w:ilvl w:val="0"/>
          <w:numId w:val="2"/>
        </w:numPr>
        <w:pBdr>
          <w:bottom w:val="single" w:sz="4" w:space="1" w:color="auto"/>
        </w:pBdr>
        <w:spacing w:before="240" w:after="0"/>
        <w:rPr>
          <w:rFonts w:cstheme="minorHAnsi"/>
          <w:b/>
          <w:bCs/>
        </w:rPr>
      </w:pPr>
      <w:r w:rsidRPr="00585FF1">
        <w:rPr>
          <w:rFonts w:cstheme="minorHAnsi"/>
          <w:b/>
          <w:bCs/>
        </w:rPr>
        <w:t>PAYMENTS OR GIFTS TO RESPONDENTS</w:t>
      </w:r>
      <w:bookmarkEnd w:id="11"/>
    </w:p>
    <w:p w:rsidR="00D47CB3" w:rsidRPr="00585FF1" w:rsidP="00854AAE" w14:paraId="5384C56D" w14:textId="77777777">
      <w:pPr>
        <w:pBdr>
          <w:bottom w:val="single" w:sz="4" w:space="1" w:color="auto"/>
        </w:pBdr>
        <w:spacing w:before="60"/>
        <w:rPr>
          <w:rFonts w:cstheme="minorHAnsi"/>
        </w:rPr>
      </w:pPr>
      <w:r w:rsidRPr="00585FF1">
        <w:rPr>
          <w:rFonts w:cstheme="minorHAnsi"/>
          <w:i/>
          <w:iCs/>
        </w:rPr>
        <w:t>Explain any decisions to provide payments or gifts to respondents, other than remuneration of contractors or grantees.</w:t>
      </w:r>
    </w:p>
    <w:p w:rsidR="00165275" w:rsidRPr="00585FF1" w:rsidP="001E4A87" w14:paraId="3F713AB6" w14:textId="77777777">
      <w:pPr>
        <w:ind w:firstLine="360"/>
        <w:rPr>
          <w:rFonts w:cstheme="minorHAnsi"/>
        </w:rPr>
      </w:pPr>
      <w:r w:rsidRPr="00585FF1">
        <w:rPr>
          <w:rFonts w:cstheme="minorHAnsi"/>
        </w:rPr>
        <w:t>There are no payments or gifts associated with this collection of information.</w:t>
      </w:r>
    </w:p>
    <w:p w:rsidR="4C04BBF2" w:rsidRPr="00585FF1" w:rsidP="006A7810" w14:paraId="5BE5EB6E" w14:textId="77777777">
      <w:pPr>
        <w:pStyle w:val="ListParagraph"/>
        <w:numPr>
          <w:ilvl w:val="0"/>
          <w:numId w:val="2"/>
        </w:numPr>
        <w:pBdr>
          <w:bottom w:val="single" w:sz="4" w:space="1" w:color="auto"/>
        </w:pBdr>
        <w:spacing w:before="240" w:after="0"/>
        <w:rPr>
          <w:rFonts w:cstheme="minorHAnsi"/>
          <w:b/>
          <w:bCs/>
        </w:rPr>
      </w:pPr>
      <w:r w:rsidRPr="00585FF1">
        <w:rPr>
          <w:rFonts w:cstheme="minorHAnsi"/>
          <w:b/>
          <w:bCs/>
        </w:rPr>
        <w:t>ASSURANCE OF CONFIDENTIALITY</w:t>
      </w:r>
    </w:p>
    <w:p w:rsidR="00A233E0" w:rsidRPr="00585FF1" w:rsidP="00854AAE" w14:paraId="1E85BB3F" w14:textId="77777777">
      <w:pPr>
        <w:pBdr>
          <w:bottom w:val="single" w:sz="4" w:space="1" w:color="auto"/>
        </w:pBdr>
        <w:spacing w:before="60"/>
        <w:rPr>
          <w:rFonts w:cstheme="minorHAnsi"/>
        </w:rPr>
      </w:pPr>
      <w:r w:rsidRPr="00585FF1">
        <w:rPr>
          <w:rFonts w:cstheme="minorHAnsi"/>
          <w:i/>
          <w:iCs/>
        </w:rPr>
        <w:t xml:space="preserve">Describe any assurance of confidentiality provided to respondents and the basis for the assurance in statute, regulation, or Agency policy. If the collection requires a </w:t>
      </w:r>
      <w:r w:rsidRPr="00585FF1">
        <w:rPr>
          <w:rFonts w:cstheme="minorHAnsi"/>
          <w:i/>
          <w:iCs/>
        </w:rPr>
        <w:t>systems</w:t>
      </w:r>
      <w:r w:rsidRPr="00585FF1">
        <w:rPr>
          <w:rFonts w:cstheme="minorHAnsi"/>
          <w:i/>
          <w:iCs/>
        </w:rPr>
        <w:t xml:space="preserve"> of records notice (SORN) or privacy impact assessment (PIA), those should be cited and described here.</w:t>
      </w:r>
    </w:p>
    <w:p w:rsidR="00765F3B" w:rsidRPr="00765F3B" w:rsidP="00765F3B" w14:paraId="45CDB41A" w14:textId="77777777">
      <w:pPr>
        <w:pStyle w:val="BodyTextDSW"/>
        <w:rPr>
          <w:rFonts w:asciiTheme="minorHAnsi" w:hAnsiTheme="minorHAnsi" w:cstheme="minorHAnsi"/>
          <w:sz w:val="22"/>
          <w:szCs w:val="22"/>
        </w:rPr>
      </w:pPr>
      <w:bookmarkStart w:id="12" w:name="_Toc156593380"/>
      <w:r w:rsidRPr="00765F3B">
        <w:rPr>
          <w:rFonts w:asciiTheme="minorHAnsi" w:hAnsiTheme="minorHAnsi" w:cstheme="minorHAnsi"/>
          <w:sz w:val="22"/>
          <w:szCs w:val="22"/>
        </w:rPr>
        <w:t xml:space="preserve">Participation under the exclusions is voluntary. EPA does not expect to deem any information collected under the rule to be CBI (Confidential Business Information). If such a claim were asserted, EPA must and will treat the information in accordance with the applicable regulations (e.g., 40 CFR Part 2, Subpart B). EPA also will </w:t>
      </w:r>
      <w:r w:rsidRPr="00765F3B">
        <w:rPr>
          <w:rFonts w:asciiTheme="minorHAnsi" w:hAnsiTheme="minorHAnsi" w:cstheme="minorHAnsi"/>
          <w:sz w:val="22"/>
          <w:szCs w:val="22"/>
        </w:rPr>
        <w:t>assure</w:t>
      </w:r>
      <w:r w:rsidRPr="00765F3B">
        <w:rPr>
          <w:rFonts w:asciiTheme="minorHAnsi" w:hAnsiTheme="minorHAnsi" w:cstheme="minorHAnsi"/>
          <w:sz w:val="22"/>
          <w:szCs w:val="22"/>
        </w:rPr>
        <w:t xml:space="preserve"> that this information collection complies with the Privacy Act of 1974 and OMB Circular 108.</w:t>
      </w:r>
    </w:p>
    <w:p w:rsidR="00A233E0" w:rsidRPr="00585FF1" w:rsidP="006A7810" w14:paraId="74E56D6D" w14:textId="77777777">
      <w:pPr>
        <w:pStyle w:val="ListParagraph"/>
        <w:numPr>
          <w:ilvl w:val="0"/>
          <w:numId w:val="2"/>
        </w:numPr>
        <w:pBdr>
          <w:bottom w:val="single" w:sz="4" w:space="1" w:color="auto"/>
        </w:pBdr>
        <w:spacing w:before="240" w:after="0"/>
        <w:rPr>
          <w:rFonts w:cstheme="minorHAnsi"/>
          <w:b/>
          <w:bCs/>
        </w:rPr>
      </w:pPr>
      <w:r w:rsidRPr="00585FF1">
        <w:rPr>
          <w:rFonts w:cstheme="minorHAnsi"/>
          <w:b/>
          <w:bCs/>
        </w:rPr>
        <w:t>JUSTIFICATION FOR SENSITIVE QUESTIONS</w:t>
      </w:r>
      <w:bookmarkEnd w:id="12"/>
    </w:p>
    <w:p w:rsidR="00A233E0" w:rsidRPr="00585FF1" w:rsidP="00854AAE" w14:paraId="20A3DD0B" w14:textId="77777777">
      <w:pPr>
        <w:pBdr>
          <w:bottom w:val="single" w:sz="4" w:space="1" w:color="auto"/>
        </w:pBdr>
        <w:spacing w:before="60"/>
        <w:rPr>
          <w:rFonts w:cstheme="minorHAnsi"/>
        </w:rPr>
      </w:pPr>
      <w:r w:rsidRPr="00585FF1">
        <w:rPr>
          <w:rFonts w:cstheme="minorHAnsi"/>
          <w:i/>
          <w:i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585FF1">
        <w:rPr>
          <w:rFonts w:cstheme="minorHAnsi"/>
          <w:i/>
          <w:iCs/>
        </w:rPr>
        <w:t>persons</w:t>
      </w:r>
      <w:r w:rsidRPr="00585FF1">
        <w:rPr>
          <w:rFonts w:cstheme="minorHAnsi"/>
          <w:i/>
          <w:iCs/>
        </w:rPr>
        <w:t xml:space="preserve"> from whom the information is requested, and any steps to be taken to obtain their consent.</w:t>
      </w:r>
    </w:p>
    <w:p w:rsidR="00CE4BFA" w:rsidRPr="00585FF1" w:rsidP="001E4A87" w14:paraId="67825BD6" w14:textId="6EC701F3">
      <w:pPr>
        <w:pBdr>
          <w:top w:val="single" w:sz="6" w:space="0" w:color="FFFFFF"/>
          <w:left w:val="single" w:sz="6" w:space="0" w:color="FFFFFF"/>
          <w:bottom w:val="single" w:sz="6" w:space="0" w:color="FFFFFF"/>
          <w:right w:val="single" w:sz="6" w:space="0" w:color="FFFFFF"/>
        </w:pBdr>
        <w:ind w:firstLine="360"/>
        <w:rPr>
          <w:rFonts w:cstheme="minorHAnsi"/>
          <w:color w:val="000000"/>
        </w:rPr>
      </w:pPr>
      <w:bookmarkStart w:id="13" w:name="_Toc156593381"/>
      <w:bookmarkStart w:id="14" w:name="_Hlk162363270"/>
      <w:r w:rsidRPr="00585FF1">
        <w:rPr>
          <w:rFonts w:cstheme="minorHAnsi"/>
        </w:rPr>
        <w:t>The information collection activities covered by this ICR will not include questions about sensitive issues.</w:t>
      </w:r>
    </w:p>
    <w:p w:rsidR="001172FE" w:rsidRPr="00585FF1" w:rsidP="006A7810" w14:paraId="12A11C7D" w14:textId="77777777">
      <w:pPr>
        <w:pStyle w:val="ListParagraph"/>
        <w:numPr>
          <w:ilvl w:val="0"/>
          <w:numId w:val="2"/>
        </w:numPr>
        <w:spacing w:before="240" w:after="0"/>
        <w:rPr>
          <w:rFonts w:cstheme="minorHAnsi"/>
          <w:b/>
          <w:bCs/>
        </w:rPr>
      </w:pPr>
      <w:r w:rsidRPr="00585FF1">
        <w:rPr>
          <w:rFonts w:cstheme="minorHAnsi"/>
          <w:b/>
          <w:bCs/>
        </w:rPr>
        <w:t>RESPONDENT BURDEN HOURS</w:t>
      </w:r>
      <w:r w:rsidRPr="00585FF1" w:rsidR="00DB799B">
        <w:rPr>
          <w:rFonts w:cstheme="minorHAnsi"/>
          <w:b/>
          <w:bCs/>
        </w:rPr>
        <w:t xml:space="preserve"> &amp; LABOR COSTS</w:t>
      </w:r>
      <w:bookmarkStart w:id="15" w:name="_Toc156593382"/>
      <w:bookmarkEnd w:id="13"/>
    </w:p>
    <w:p w:rsidR="00A233E0" w:rsidRPr="00585FF1" w:rsidP="00163C69" w14:paraId="49CEA154" w14:textId="77777777">
      <w:pPr>
        <w:pStyle w:val="ListParagraph"/>
        <w:ind w:left="0"/>
        <w:rPr>
          <w:rFonts w:cstheme="minorHAnsi"/>
          <w:i/>
          <w:iCs/>
        </w:rPr>
      </w:pPr>
      <w:r w:rsidRPr="00585FF1">
        <w:rPr>
          <w:rFonts w:cstheme="minorHAnsi"/>
          <w:i/>
          <w:iCs/>
        </w:rPr>
        <w:t>Provide estimates of the hour burden of the collection of information. The statement should:</w:t>
      </w:r>
    </w:p>
    <w:p w:rsidR="00A233E0" w:rsidRPr="00585FF1" w:rsidP="006A7810" w14:paraId="170FFD04" w14:textId="77777777">
      <w:pPr>
        <w:pStyle w:val="ListParagraph"/>
        <w:numPr>
          <w:ilvl w:val="0"/>
          <w:numId w:val="1"/>
        </w:numPr>
        <w:ind w:left="446"/>
        <w:rPr>
          <w:rFonts w:cstheme="minorHAnsi"/>
          <w:i/>
          <w:iCs/>
        </w:rPr>
      </w:pPr>
      <w:r w:rsidRPr="00585FF1">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585FF1" w:rsidP="006A7810" w14:paraId="5B6A52B3" w14:textId="77777777">
      <w:pPr>
        <w:pStyle w:val="ListParagraph"/>
        <w:numPr>
          <w:ilvl w:val="0"/>
          <w:numId w:val="1"/>
        </w:numPr>
        <w:ind w:left="450"/>
        <w:rPr>
          <w:rFonts w:cstheme="minorHAnsi"/>
          <w:i/>
          <w:iCs/>
        </w:rPr>
      </w:pPr>
      <w:r w:rsidRPr="00585FF1">
        <w:rPr>
          <w:rFonts w:cstheme="minorHAnsi"/>
          <w:i/>
          <w:iCs/>
        </w:rPr>
        <w:t xml:space="preserve">If this request for approval covers more than one form, provide separate hour burden estimates for each form and </w:t>
      </w:r>
      <w:r w:rsidRPr="00585FF1">
        <w:rPr>
          <w:rFonts w:cstheme="minorHAnsi"/>
          <w:i/>
          <w:iCs/>
        </w:rPr>
        <w:t>the aggregate</w:t>
      </w:r>
      <w:r w:rsidRPr="00585FF1">
        <w:rPr>
          <w:rFonts w:cstheme="minorHAnsi"/>
          <w:i/>
          <w:iCs/>
        </w:rPr>
        <w:t xml:space="preserve"> the hour burdens.</w:t>
      </w:r>
    </w:p>
    <w:p w:rsidR="00A233E0" w:rsidRPr="00585FF1" w:rsidP="006A7810" w14:paraId="18F38B79" w14:textId="77777777">
      <w:pPr>
        <w:pStyle w:val="ListParagraph"/>
        <w:numPr>
          <w:ilvl w:val="0"/>
          <w:numId w:val="1"/>
        </w:numPr>
        <w:pBdr>
          <w:bottom w:val="single" w:sz="4" w:space="1" w:color="auto"/>
        </w:pBdr>
        <w:ind w:left="446"/>
        <w:rPr>
          <w:rFonts w:cstheme="minorHAnsi"/>
          <w:i/>
          <w:iCs/>
        </w:rPr>
      </w:pPr>
      <w:r w:rsidRPr="00585FF1">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585FF1" w:rsidR="001F0834">
        <w:rPr>
          <w:rFonts w:cstheme="minorHAnsi"/>
          <w:i/>
          <w:iCs/>
        </w:rPr>
        <w:t>.</w:t>
      </w:r>
    </w:p>
    <w:bookmarkEnd w:id="14"/>
    <w:p w:rsidR="001172FE" w:rsidRPr="00585FF1" w:rsidP="00854AAE" w14:paraId="523A70C1" w14:textId="77777777">
      <w:pPr>
        <w:spacing w:before="120" w:after="0"/>
        <w:rPr>
          <w:rFonts w:cstheme="minorHAnsi"/>
          <w:b/>
          <w:bCs/>
        </w:rPr>
      </w:pPr>
      <w:r w:rsidRPr="00585FF1">
        <w:rPr>
          <w:rFonts w:cstheme="minorHAnsi"/>
          <w:b/>
          <w:bCs/>
        </w:rPr>
        <w:t xml:space="preserve">12a. </w:t>
      </w:r>
      <w:r w:rsidRPr="00585FF1" w:rsidR="00557E8F">
        <w:rPr>
          <w:rFonts w:cstheme="minorHAnsi"/>
          <w:b/>
          <w:bCs/>
        </w:rPr>
        <w:t>Respondents/NAICS Codes</w:t>
      </w:r>
      <w:bookmarkStart w:id="16" w:name="_Toc156593383"/>
      <w:bookmarkEnd w:id="15"/>
    </w:p>
    <w:p w:rsidR="00A01F8F" w:rsidRPr="00585FF1" w:rsidP="00522347" w14:paraId="43A94C30" w14:textId="77777777">
      <w:pPr>
        <w:keepNext/>
        <w:keepLines/>
        <w:tabs>
          <w:tab w:val="left" w:pos="720"/>
          <w:tab w:val="left" w:pos="1080"/>
        </w:tabs>
        <w:ind w:firstLine="720"/>
        <w:rPr>
          <w:rFonts w:cstheme="minorHAnsi"/>
        </w:rPr>
      </w:pPr>
    </w:p>
    <w:p w:rsidR="00522347" w:rsidRPr="00282EF4" w:rsidP="00282EF4" w14:paraId="48D1934F" w14:textId="0FAF3A0A">
      <w:pPr>
        <w:pStyle w:val="BodyTextDSW"/>
        <w:rPr>
          <w:rFonts w:asciiTheme="minorHAnsi" w:hAnsiTheme="minorHAnsi" w:cstheme="minorHAnsi"/>
          <w:sz w:val="22"/>
          <w:szCs w:val="22"/>
        </w:rPr>
      </w:pPr>
      <w:r w:rsidRPr="00282EF4">
        <w:rPr>
          <w:rFonts w:asciiTheme="minorHAnsi" w:hAnsiTheme="minorHAnsi" w:cstheme="minorHAnsi"/>
          <w:sz w:val="22"/>
          <w:szCs w:val="22"/>
        </w:rPr>
        <w:t>Entities potentially affected by the information collection requirements covered in this ICR include facilities in industry sectors that generate or recycle hazardous secondary materials that are excluded under RCRA DSW or excluded from RCRA Subtitle C under other solid waste exclusions or variances. The following is a list of North American Industry Classification System (NAICS) codes associated with industries most likely affected by the paperwork requirements covered in this ICR.</w:t>
      </w:r>
    </w:p>
    <w:tbl>
      <w:tblPr>
        <w:tblW w:w="0" w:type="auto"/>
        <w:jc w:val="center"/>
        <w:tblLayout w:type="fixed"/>
        <w:tblCellMar>
          <w:top w:w="14" w:type="dxa"/>
          <w:left w:w="120" w:type="dxa"/>
          <w:bottom w:w="14" w:type="dxa"/>
          <w:right w:w="120" w:type="dxa"/>
        </w:tblCellMar>
        <w:tblLook w:val="0000"/>
      </w:tblPr>
      <w:tblGrid>
        <w:gridCol w:w="5501"/>
        <w:gridCol w:w="1472"/>
      </w:tblGrid>
      <w:tr w14:paraId="194E2315" w14:textId="77777777" w:rsidTr="00563661">
        <w:tblPrEx>
          <w:tblW w:w="0" w:type="auto"/>
          <w:jc w:val="center"/>
          <w:tblLayout w:type="fixed"/>
          <w:tblCellMar>
            <w:top w:w="14" w:type="dxa"/>
            <w:left w:w="120" w:type="dxa"/>
            <w:bottom w:w="14" w:type="dxa"/>
            <w:right w:w="120" w:type="dxa"/>
          </w:tblCellMar>
          <w:tblLook w:val="0000"/>
        </w:tblPrEx>
        <w:trPr>
          <w:trHeight w:val="444"/>
          <w:tblHeader/>
          <w:jc w:val="center"/>
        </w:trPr>
        <w:tc>
          <w:tcPr>
            <w:tcW w:w="5501" w:type="dxa"/>
            <w:tcBorders>
              <w:top w:val="single" w:sz="4" w:space="0" w:color="000000"/>
              <w:left w:val="single" w:sz="4" w:space="0" w:color="000000"/>
              <w:bottom w:val="single" w:sz="4" w:space="0" w:color="000000"/>
            </w:tcBorders>
            <w:vAlign w:val="center"/>
          </w:tcPr>
          <w:p w:rsidR="00282EF4" w:rsidP="00563661" w14:paraId="781B3E72" w14:textId="77777777">
            <w:pPr>
              <w:snapToGrid w:val="0"/>
              <w:jc w:val="center"/>
              <w:rPr>
                <w:b/>
                <w:bCs/>
              </w:rPr>
            </w:pPr>
            <w:r>
              <w:rPr>
                <w:b/>
                <w:bCs/>
              </w:rPr>
              <w:t>Industry Sector</w:t>
            </w:r>
          </w:p>
        </w:tc>
        <w:tc>
          <w:tcPr>
            <w:tcW w:w="1472" w:type="dxa"/>
            <w:tcBorders>
              <w:top w:val="single" w:sz="4" w:space="0" w:color="000000"/>
              <w:left w:val="single" w:sz="4" w:space="0" w:color="000000"/>
              <w:bottom w:val="single" w:sz="4" w:space="0" w:color="000000"/>
              <w:right w:val="single" w:sz="4" w:space="0" w:color="000000"/>
            </w:tcBorders>
            <w:vAlign w:val="center"/>
          </w:tcPr>
          <w:p w:rsidR="00282EF4" w:rsidP="00563661" w14:paraId="4837A1FC" w14:textId="77777777">
            <w:pPr>
              <w:snapToGrid w:val="0"/>
              <w:jc w:val="center"/>
              <w:rPr>
                <w:b/>
                <w:bCs/>
              </w:rPr>
            </w:pPr>
            <w:r>
              <w:rPr>
                <w:b/>
                <w:bCs/>
              </w:rPr>
              <w:t>NAICS Codes</w:t>
            </w:r>
          </w:p>
        </w:tc>
      </w:tr>
      <w:tr w14:paraId="3B7E6F0E" w14:textId="77777777" w:rsidTr="00563661">
        <w:tblPrEx>
          <w:tblW w:w="0" w:type="auto"/>
          <w:jc w:val="center"/>
          <w:tblLayout w:type="fixed"/>
          <w:tblCellMar>
            <w:top w:w="14" w:type="dxa"/>
            <w:left w:w="120" w:type="dxa"/>
            <w:bottom w:w="14" w:type="dxa"/>
            <w:right w:w="120" w:type="dxa"/>
          </w:tblCellMar>
          <w:tblLook w:val="0000"/>
        </w:tblPrEx>
        <w:trPr>
          <w:trHeight w:val="360"/>
          <w:jc w:val="center"/>
        </w:trPr>
        <w:tc>
          <w:tcPr>
            <w:tcW w:w="5501" w:type="dxa"/>
            <w:tcBorders>
              <w:top w:val="single" w:sz="4" w:space="0" w:color="000000"/>
              <w:left w:val="single" w:sz="4" w:space="0" w:color="000000"/>
              <w:bottom w:val="single" w:sz="4" w:space="0" w:color="000000"/>
            </w:tcBorders>
            <w:vAlign w:val="center"/>
          </w:tcPr>
          <w:p w:rsidR="00282EF4" w:rsidP="00563661" w14:paraId="65A48AA2" w14:textId="77777777">
            <w:pPr>
              <w:tabs>
                <w:tab w:val="left" w:pos="1050"/>
              </w:tabs>
              <w:snapToGrid w:val="0"/>
              <w:spacing w:after="58"/>
            </w:pPr>
            <w:r>
              <w:t>Agriculture, Forestry, Fishing and Hunting</w:t>
            </w:r>
          </w:p>
        </w:tc>
        <w:tc>
          <w:tcPr>
            <w:tcW w:w="1472" w:type="dxa"/>
            <w:tcBorders>
              <w:top w:val="single" w:sz="4" w:space="0" w:color="000000"/>
              <w:left w:val="single" w:sz="4" w:space="0" w:color="000000"/>
              <w:bottom w:val="single" w:sz="4" w:space="0" w:color="000000"/>
              <w:right w:val="single" w:sz="4" w:space="0" w:color="000000"/>
            </w:tcBorders>
            <w:vAlign w:val="center"/>
          </w:tcPr>
          <w:p w:rsidR="00282EF4" w:rsidP="00563661" w14:paraId="746756EB" w14:textId="77777777">
            <w:pPr>
              <w:snapToGrid w:val="0"/>
              <w:spacing w:after="58"/>
              <w:jc w:val="center"/>
            </w:pPr>
            <w:r>
              <w:t>11</w:t>
            </w:r>
          </w:p>
        </w:tc>
      </w:tr>
      <w:tr w14:paraId="78BA1DFA" w14:textId="77777777" w:rsidTr="00563661">
        <w:tblPrEx>
          <w:tblW w:w="0" w:type="auto"/>
          <w:jc w:val="center"/>
          <w:tblLayout w:type="fixed"/>
          <w:tblCellMar>
            <w:top w:w="14" w:type="dxa"/>
            <w:left w:w="120" w:type="dxa"/>
            <w:bottom w:w="14" w:type="dxa"/>
            <w:right w:w="120" w:type="dxa"/>
          </w:tblCellMar>
          <w:tblLook w:val="0000"/>
        </w:tblPrEx>
        <w:trPr>
          <w:trHeight w:val="360"/>
          <w:jc w:val="center"/>
        </w:trPr>
        <w:tc>
          <w:tcPr>
            <w:tcW w:w="5501" w:type="dxa"/>
            <w:tcBorders>
              <w:top w:val="single" w:sz="4" w:space="0" w:color="000000"/>
              <w:left w:val="single" w:sz="4" w:space="0" w:color="000000"/>
              <w:bottom w:val="single" w:sz="4" w:space="0" w:color="000000"/>
            </w:tcBorders>
            <w:vAlign w:val="center"/>
          </w:tcPr>
          <w:p w:rsidR="00282EF4" w:rsidP="00563661" w14:paraId="7C774552" w14:textId="77777777">
            <w:pPr>
              <w:tabs>
                <w:tab w:val="left" w:pos="1050"/>
              </w:tabs>
              <w:snapToGrid w:val="0"/>
              <w:spacing w:after="58"/>
            </w:pPr>
            <w:r>
              <w:t>Mining</w:t>
            </w:r>
          </w:p>
        </w:tc>
        <w:tc>
          <w:tcPr>
            <w:tcW w:w="1472" w:type="dxa"/>
            <w:tcBorders>
              <w:top w:val="single" w:sz="4" w:space="0" w:color="000000"/>
              <w:left w:val="single" w:sz="4" w:space="0" w:color="000000"/>
              <w:bottom w:val="single" w:sz="4" w:space="0" w:color="000000"/>
              <w:right w:val="single" w:sz="4" w:space="0" w:color="000000"/>
            </w:tcBorders>
            <w:vAlign w:val="center"/>
          </w:tcPr>
          <w:p w:rsidR="00282EF4" w:rsidP="00563661" w14:paraId="06AB67CF" w14:textId="77777777">
            <w:pPr>
              <w:snapToGrid w:val="0"/>
              <w:spacing w:after="58"/>
              <w:jc w:val="center"/>
            </w:pPr>
            <w:r>
              <w:t>21</w:t>
            </w:r>
          </w:p>
        </w:tc>
      </w:tr>
      <w:tr w14:paraId="26A40650" w14:textId="77777777" w:rsidTr="00563661">
        <w:tblPrEx>
          <w:tblW w:w="0" w:type="auto"/>
          <w:jc w:val="center"/>
          <w:tblLayout w:type="fixed"/>
          <w:tblCellMar>
            <w:top w:w="14" w:type="dxa"/>
            <w:left w:w="120" w:type="dxa"/>
            <w:bottom w:w="14" w:type="dxa"/>
            <w:right w:w="120" w:type="dxa"/>
          </w:tblCellMar>
          <w:tblLook w:val="0000"/>
        </w:tblPrEx>
        <w:trPr>
          <w:trHeight w:val="360"/>
          <w:jc w:val="center"/>
        </w:trPr>
        <w:tc>
          <w:tcPr>
            <w:tcW w:w="5501" w:type="dxa"/>
            <w:tcBorders>
              <w:top w:val="single" w:sz="4" w:space="0" w:color="000000"/>
              <w:left w:val="single" w:sz="4" w:space="0" w:color="000000"/>
              <w:bottom w:val="single" w:sz="4" w:space="0" w:color="000000"/>
            </w:tcBorders>
            <w:vAlign w:val="center"/>
          </w:tcPr>
          <w:p w:rsidR="00282EF4" w:rsidP="00563661" w14:paraId="171CFF5A" w14:textId="77777777">
            <w:pPr>
              <w:snapToGrid w:val="0"/>
              <w:spacing w:after="58"/>
            </w:pPr>
            <w:r>
              <w:t>Utilities</w:t>
            </w:r>
          </w:p>
        </w:tc>
        <w:tc>
          <w:tcPr>
            <w:tcW w:w="1472" w:type="dxa"/>
            <w:tcBorders>
              <w:top w:val="single" w:sz="4" w:space="0" w:color="000000"/>
              <w:left w:val="single" w:sz="4" w:space="0" w:color="000000"/>
              <w:bottom w:val="single" w:sz="4" w:space="0" w:color="000000"/>
              <w:right w:val="single" w:sz="4" w:space="0" w:color="000000"/>
            </w:tcBorders>
            <w:vAlign w:val="center"/>
          </w:tcPr>
          <w:p w:rsidR="00282EF4" w:rsidP="00563661" w14:paraId="4E7CD92A" w14:textId="77777777">
            <w:pPr>
              <w:snapToGrid w:val="0"/>
              <w:spacing w:after="58"/>
              <w:jc w:val="center"/>
            </w:pPr>
            <w:r>
              <w:t>22</w:t>
            </w:r>
          </w:p>
        </w:tc>
      </w:tr>
      <w:tr w14:paraId="1AF6B724" w14:textId="77777777" w:rsidTr="00563661">
        <w:tblPrEx>
          <w:tblW w:w="0" w:type="auto"/>
          <w:jc w:val="center"/>
          <w:tblLayout w:type="fixed"/>
          <w:tblCellMar>
            <w:top w:w="14" w:type="dxa"/>
            <w:left w:w="120" w:type="dxa"/>
            <w:bottom w:w="14" w:type="dxa"/>
            <w:right w:w="120" w:type="dxa"/>
          </w:tblCellMar>
          <w:tblLook w:val="0000"/>
        </w:tblPrEx>
        <w:trPr>
          <w:trHeight w:val="360"/>
          <w:jc w:val="center"/>
        </w:trPr>
        <w:tc>
          <w:tcPr>
            <w:tcW w:w="5501" w:type="dxa"/>
            <w:tcBorders>
              <w:top w:val="single" w:sz="4" w:space="0" w:color="000000"/>
              <w:left w:val="single" w:sz="4" w:space="0" w:color="000000"/>
              <w:bottom w:val="single" w:sz="4" w:space="0" w:color="000000"/>
            </w:tcBorders>
            <w:vAlign w:val="center"/>
          </w:tcPr>
          <w:p w:rsidR="00282EF4" w:rsidP="00563661" w14:paraId="7D92EDAC" w14:textId="77777777">
            <w:pPr>
              <w:snapToGrid w:val="0"/>
              <w:spacing w:after="58"/>
            </w:pPr>
            <w:r>
              <w:t>Construction</w:t>
            </w:r>
          </w:p>
        </w:tc>
        <w:tc>
          <w:tcPr>
            <w:tcW w:w="1472" w:type="dxa"/>
            <w:tcBorders>
              <w:top w:val="single" w:sz="4" w:space="0" w:color="000000"/>
              <w:left w:val="single" w:sz="4" w:space="0" w:color="000000"/>
              <w:bottom w:val="single" w:sz="4" w:space="0" w:color="000000"/>
              <w:right w:val="single" w:sz="4" w:space="0" w:color="000000"/>
            </w:tcBorders>
            <w:vAlign w:val="center"/>
          </w:tcPr>
          <w:p w:rsidR="00282EF4" w:rsidP="00563661" w14:paraId="08B4CBAF" w14:textId="77777777">
            <w:pPr>
              <w:snapToGrid w:val="0"/>
              <w:spacing w:after="58"/>
              <w:jc w:val="center"/>
            </w:pPr>
            <w:r>
              <w:t>23</w:t>
            </w:r>
          </w:p>
        </w:tc>
      </w:tr>
      <w:tr w14:paraId="663E1DDD" w14:textId="77777777" w:rsidTr="00563661">
        <w:tblPrEx>
          <w:tblW w:w="0" w:type="auto"/>
          <w:jc w:val="center"/>
          <w:tblLayout w:type="fixed"/>
          <w:tblCellMar>
            <w:top w:w="14" w:type="dxa"/>
            <w:left w:w="120" w:type="dxa"/>
            <w:bottom w:w="14" w:type="dxa"/>
            <w:right w:w="120" w:type="dxa"/>
          </w:tblCellMar>
          <w:tblLook w:val="0000"/>
        </w:tblPrEx>
        <w:trPr>
          <w:trHeight w:val="360"/>
          <w:jc w:val="center"/>
        </w:trPr>
        <w:tc>
          <w:tcPr>
            <w:tcW w:w="5501" w:type="dxa"/>
            <w:tcBorders>
              <w:top w:val="single" w:sz="4" w:space="0" w:color="000000"/>
              <w:left w:val="single" w:sz="4" w:space="0" w:color="000000"/>
              <w:bottom w:val="single" w:sz="4" w:space="0" w:color="000000"/>
            </w:tcBorders>
            <w:vAlign w:val="center"/>
          </w:tcPr>
          <w:p w:rsidR="00282EF4" w:rsidP="00563661" w14:paraId="05DCAD42" w14:textId="77777777">
            <w:pPr>
              <w:snapToGrid w:val="0"/>
              <w:spacing w:after="58"/>
            </w:pPr>
            <w:r>
              <w:t>Manufacturing</w:t>
            </w:r>
          </w:p>
        </w:tc>
        <w:tc>
          <w:tcPr>
            <w:tcW w:w="1472" w:type="dxa"/>
            <w:tcBorders>
              <w:top w:val="single" w:sz="4" w:space="0" w:color="000000"/>
              <w:left w:val="single" w:sz="4" w:space="0" w:color="000000"/>
              <w:bottom w:val="single" w:sz="4" w:space="0" w:color="000000"/>
              <w:right w:val="single" w:sz="4" w:space="0" w:color="000000"/>
            </w:tcBorders>
            <w:vAlign w:val="center"/>
          </w:tcPr>
          <w:p w:rsidR="00282EF4" w:rsidP="00563661" w14:paraId="7DEF73E5" w14:textId="77777777">
            <w:pPr>
              <w:snapToGrid w:val="0"/>
              <w:spacing w:after="58"/>
              <w:jc w:val="center"/>
            </w:pPr>
            <w:r>
              <w:t>31</w:t>
            </w:r>
          </w:p>
        </w:tc>
      </w:tr>
      <w:tr w14:paraId="20747C87" w14:textId="77777777" w:rsidTr="00563661">
        <w:tblPrEx>
          <w:tblW w:w="0" w:type="auto"/>
          <w:jc w:val="center"/>
          <w:tblLayout w:type="fixed"/>
          <w:tblCellMar>
            <w:top w:w="14" w:type="dxa"/>
            <w:left w:w="120" w:type="dxa"/>
            <w:bottom w:w="14" w:type="dxa"/>
            <w:right w:w="120" w:type="dxa"/>
          </w:tblCellMar>
          <w:tblLook w:val="0000"/>
        </w:tblPrEx>
        <w:trPr>
          <w:trHeight w:val="360"/>
          <w:jc w:val="center"/>
        </w:trPr>
        <w:tc>
          <w:tcPr>
            <w:tcW w:w="5501" w:type="dxa"/>
            <w:tcBorders>
              <w:top w:val="single" w:sz="4" w:space="0" w:color="000000"/>
              <w:left w:val="single" w:sz="4" w:space="0" w:color="000000"/>
              <w:bottom w:val="single" w:sz="4" w:space="0" w:color="000000"/>
            </w:tcBorders>
            <w:vAlign w:val="center"/>
          </w:tcPr>
          <w:p w:rsidR="00282EF4" w:rsidP="00563661" w14:paraId="780C82EB" w14:textId="77777777">
            <w:pPr>
              <w:snapToGrid w:val="0"/>
              <w:spacing w:after="58"/>
            </w:pPr>
            <w:r>
              <w:t>Manufacturing</w:t>
            </w:r>
          </w:p>
        </w:tc>
        <w:tc>
          <w:tcPr>
            <w:tcW w:w="1472" w:type="dxa"/>
            <w:tcBorders>
              <w:top w:val="single" w:sz="4" w:space="0" w:color="000000"/>
              <w:left w:val="single" w:sz="4" w:space="0" w:color="000000"/>
              <w:bottom w:val="single" w:sz="4" w:space="0" w:color="000000"/>
              <w:right w:val="single" w:sz="4" w:space="0" w:color="000000"/>
            </w:tcBorders>
            <w:vAlign w:val="center"/>
          </w:tcPr>
          <w:p w:rsidR="00282EF4" w:rsidP="00563661" w14:paraId="13077732" w14:textId="77777777">
            <w:pPr>
              <w:snapToGrid w:val="0"/>
              <w:spacing w:after="58"/>
              <w:jc w:val="center"/>
            </w:pPr>
            <w:r>
              <w:t>32</w:t>
            </w:r>
          </w:p>
        </w:tc>
      </w:tr>
      <w:tr w14:paraId="63B1E5CA" w14:textId="77777777" w:rsidTr="00563661">
        <w:tblPrEx>
          <w:tblW w:w="0" w:type="auto"/>
          <w:jc w:val="center"/>
          <w:tblLayout w:type="fixed"/>
          <w:tblCellMar>
            <w:top w:w="14" w:type="dxa"/>
            <w:left w:w="120" w:type="dxa"/>
            <w:bottom w:w="14" w:type="dxa"/>
            <w:right w:w="120" w:type="dxa"/>
          </w:tblCellMar>
          <w:tblLook w:val="0000"/>
        </w:tblPrEx>
        <w:trPr>
          <w:trHeight w:val="360"/>
          <w:jc w:val="center"/>
        </w:trPr>
        <w:tc>
          <w:tcPr>
            <w:tcW w:w="5501" w:type="dxa"/>
            <w:tcBorders>
              <w:top w:val="single" w:sz="4" w:space="0" w:color="000000"/>
              <w:left w:val="single" w:sz="4" w:space="0" w:color="000000"/>
              <w:bottom w:val="single" w:sz="4" w:space="0" w:color="000000"/>
            </w:tcBorders>
            <w:vAlign w:val="center"/>
          </w:tcPr>
          <w:p w:rsidR="00282EF4" w:rsidP="00563661" w14:paraId="2FDA05D6" w14:textId="77777777">
            <w:pPr>
              <w:snapToGrid w:val="0"/>
              <w:spacing w:after="58"/>
            </w:pPr>
            <w:r>
              <w:t>Manufacturing</w:t>
            </w:r>
          </w:p>
        </w:tc>
        <w:tc>
          <w:tcPr>
            <w:tcW w:w="1472" w:type="dxa"/>
            <w:tcBorders>
              <w:top w:val="single" w:sz="4" w:space="0" w:color="000000"/>
              <w:left w:val="single" w:sz="4" w:space="0" w:color="000000"/>
              <w:bottom w:val="single" w:sz="4" w:space="0" w:color="000000"/>
              <w:right w:val="single" w:sz="4" w:space="0" w:color="000000"/>
            </w:tcBorders>
            <w:vAlign w:val="center"/>
          </w:tcPr>
          <w:p w:rsidR="00282EF4" w:rsidP="00563661" w14:paraId="5A1E9E75" w14:textId="77777777">
            <w:pPr>
              <w:snapToGrid w:val="0"/>
              <w:spacing w:after="58"/>
              <w:jc w:val="center"/>
            </w:pPr>
            <w:r>
              <w:t>33</w:t>
            </w:r>
          </w:p>
        </w:tc>
      </w:tr>
      <w:tr w14:paraId="7DDA0501" w14:textId="77777777" w:rsidTr="00563661">
        <w:tblPrEx>
          <w:tblW w:w="0" w:type="auto"/>
          <w:jc w:val="center"/>
          <w:tblLayout w:type="fixed"/>
          <w:tblCellMar>
            <w:top w:w="14" w:type="dxa"/>
            <w:left w:w="120" w:type="dxa"/>
            <w:bottom w:w="14" w:type="dxa"/>
            <w:right w:w="120" w:type="dxa"/>
          </w:tblCellMar>
          <w:tblLook w:val="0000"/>
        </w:tblPrEx>
        <w:trPr>
          <w:trHeight w:val="360"/>
          <w:jc w:val="center"/>
        </w:trPr>
        <w:tc>
          <w:tcPr>
            <w:tcW w:w="5501" w:type="dxa"/>
            <w:tcBorders>
              <w:top w:val="single" w:sz="4" w:space="0" w:color="000000"/>
              <w:left w:val="single" w:sz="4" w:space="0" w:color="000000"/>
              <w:bottom w:val="single" w:sz="4" w:space="0" w:color="000000"/>
            </w:tcBorders>
            <w:vAlign w:val="center"/>
          </w:tcPr>
          <w:p w:rsidR="00282EF4" w:rsidP="00563661" w14:paraId="3AC956D1" w14:textId="77777777">
            <w:pPr>
              <w:snapToGrid w:val="0"/>
              <w:spacing w:after="58"/>
            </w:pPr>
            <w:r>
              <w:t>Wholesale Trade</w:t>
            </w:r>
          </w:p>
        </w:tc>
        <w:tc>
          <w:tcPr>
            <w:tcW w:w="1472" w:type="dxa"/>
            <w:tcBorders>
              <w:top w:val="single" w:sz="4" w:space="0" w:color="000000"/>
              <w:left w:val="single" w:sz="4" w:space="0" w:color="000000"/>
              <w:bottom w:val="single" w:sz="4" w:space="0" w:color="000000"/>
              <w:right w:val="single" w:sz="4" w:space="0" w:color="000000"/>
            </w:tcBorders>
            <w:vAlign w:val="center"/>
          </w:tcPr>
          <w:p w:rsidR="00282EF4" w:rsidP="00563661" w14:paraId="591460FF" w14:textId="77777777">
            <w:pPr>
              <w:snapToGrid w:val="0"/>
              <w:spacing w:after="58"/>
              <w:jc w:val="center"/>
            </w:pPr>
            <w:r>
              <w:t>42</w:t>
            </w:r>
          </w:p>
        </w:tc>
      </w:tr>
      <w:tr w14:paraId="038A158C" w14:textId="77777777" w:rsidTr="00563661">
        <w:tblPrEx>
          <w:tblW w:w="0" w:type="auto"/>
          <w:jc w:val="center"/>
          <w:tblLayout w:type="fixed"/>
          <w:tblCellMar>
            <w:top w:w="14" w:type="dxa"/>
            <w:left w:w="120" w:type="dxa"/>
            <w:bottom w:w="14" w:type="dxa"/>
            <w:right w:w="120" w:type="dxa"/>
          </w:tblCellMar>
          <w:tblLook w:val="0000"/>
        </w:tblPrEx>
        <w:trPr>
          <w:trHeight w:val="360"/>
          <w:jc w:val="center"/>
        </w:trPr>
        <w:tc>
          <w:tcPr>
            <w:tcW w:w="5501" w:type="dxa"/>
            <w:tcBorders>
              <w:top w:val="single" w:sz="4" w:space="0" w:color="000000"/>
              <w:left w:val="single" w:sz="4" w:space="0" w:color="000000"/>
              <w:bottom w:val="single" w:sz="4" w:space="0" w:color="000000"/>
            </w:tcBorders>
            <w:vAlign w:val="center"/>
          </w:tcPr>
          <w:p w:rsidR="00282EF4" w:rsidP="00563661" w14:paraId="2FFEE68F" w14:textId="77777777">
            <w:pPr>
              <w:snapToGrid w:val="0"/>
              <w:spacing w:after="58"/>
            </w:pPr>
            <w:r>
              <w:t>Retail Trade</w:t>
            </w:r>
          </w:p>
        </w:tc>
        <w:tc>
          <w:tcPr>
            <w:tcW w:w="1472" w:type="dxa"/>
            <w:tcBorders>
              <w:top w:val="single" w:sz="4" w:space="0" w:color="000000"/>
              <w:left w:val="single" w:sz="4" w:space="0" w:color="000000"/>
              <w:bottom w:val="single" w:sz="4" w:space="0" w:color="000000"/>
              <w:right w:val="single" w:sz="4" w:space="0" w:color="000000"/>
            </w:tcBorders>
            <w:vAlign w:val="center"/>
          </w:tcPr>
          <w:p w:rsidR="00282EF4" w:rsidP="00563661" w14:paraId="60DFC4B4" w14:textId="77777777">
            <w:pPr>
              <w:snapToGrid w:val="0"/>
              <w:spacing w:after="58"/>
              <w:jc w:val="center"/>
            </w:pPr>
            <w:r>
              <w:t>44, 45</w:t>
            </w:r>
          </w:p>
        </w:tc>
      </w:tr>
      <w:tr w14:paraId="6D164E7A" w14:textId="77777777" w:rsidTr="00563661">
        <w:tblPrEx>
          <w:tblW w:w="0" w:type="auto"/>
          <w:jc w:val="center"/>
          <w:tblLayout w:type="fixed"/>
          <w:tblCellMar>
            <w:top w:w="14" w:type="dxa"/>
            <w:left w:w="120" w:type="dxa"/>
            <w:bottom w:w="14" w:type="dxa"/>
            <w:right w:w="120" w:type="dxa"/>
          </w:tblCellMar>
          <w:tblLook w:val="0000"/>
        </w:tblPrEx>
        <w:trPr>
          <w:trHeight w:val="360"/>
          <w:jc w:val="center"/>
        </w:trPr>
        <w:tc>
          <w:tcPr>
            <w:tcW w:w="5501" w:type="dxa"/>
            <w:tcBorders>
              <w:top w:val="single" w:sz="4" w:space="0" w:color="000000"/>
              <w:left w:val="single" w:sz="4" w:space="0" w:color="000000"/>
              <w:bottom w:val="single" w:sz="4" w:space="0" w:color="000000"/>
            </w:tcBorders>
            <w:vAlign w:val="center"/>
          </w:tcPr>
          <w:p w:rsidR="00282EF4" w:rsidP="00563661" w14:paraId="63693B67" w14:textId="77777777">
            <w:pPr>
              <w:snapToGrid w:val="0"/>
              <w:spacing w:after="58"/>
            </w:pPr>
            <w:r>
              <w:t>Transportation</w:t>
            </w:r>
          </w:p>
        </w:tc>
        <w:tc>
          <w:tcPr>
            <w:tcW w:w="1472" w:type="dxa"/>
            <w:tcBorders>
              <w:top w:val="single" w:sz="4" w:space="0" w:color="000000"/>
              <w:left w:val="single" w:sz="4" w:space="0" w:color="000000"/>
              <w:bottom w:val="single" w:sz="4" w:space="0" w:color="000000"/>
              <w:right w:val="single" w:sz="4" w:space="0" w:color="000000"/>
            </w:tcBorders>
            <w:vAlign w:val="center"/>
          </w:tcPr>
          <w:p w:rsidR="00282EF4" w:rsidP="00563661" w14:paraId="5718CA50" w14:textId="77777777">
            <w:pPr>
              <w:snapToGrid w:val="0"/>
              <w:spacing w:after="58"/>
              <w:jc w:val="center"/>
            </w:pPr>
            <w:r>
              <w:t>48, 49</w:t>
            </w:r>
          </w:p>
        </w:tc>
      </w:tr>
      <w:tr w14:paraId="4455CA40" w14:textId="77777777" w:rsidTr="00563661">
        <w:tblPrEx>
          <w:tblW w:w="0" w:type="auto"/>
          <w:jc w:val="center"/>
          <w:tblLayout w:type="fixed"/>
          <w:tblCellMar>
            <w:top w:w="14" w:type="dxa"/>
            <w:left w:w="120" w:type="dxa"/>
            <w:bottom w:w="14" w:type="dxa"/>
            <w:right w:w="120" w:type="dxa"/>
          </w:tblCellMar>
          <w:tblLook w:val="0000"/>
        </w:tblPrEx>
        <w:trPr>
          <w:trHeight w:val="360"/>
          <w:jc w:val="center"/>
        </w:trPr>
        <w:tc>
          <w:tcPr>
            <w:tcW w:w="5501" w:type="dxa"/>
            <w:tcBorders>
              <w:top w:val="single" w:sz="4" w:space="0" w:color="000000"/>
              <w:left w:val="single" w:sz="4" w:space="0" w:color="000000"/>
              <w:bottom w:val="single" w:sz="4" w:space="0" w:color="000000"/>
            </w:tcBorders>
            <w:vAlign w:val="center"/>
          </w:tcPr>
          <w:p w:rsidR="00282EF4" w:rsidP="00563661" w14:paraId="0BCDA259" w14:textId="77777777">
            <w:pPr>
              <w:snapToGrid w:val="0"/>
              <w:spacing w:after="58"/>
            </w:pPr>
            <w:r>
              <w:t>Information</w:t>
            </w:r>
          </w:p>
        </w:tc>
        <w:tc>
          <w:tcPr>
            <w:tcW w:w="1472" w:type="dxa"/>
            <w:tcBorders>
              <w:top w:val="single" w:sz="4" w:space="0" w:color="000000"/>
              <w:left w:val="single" w:sz="4" w:space="0" w:color="000000"/>
              <w:bottom w:val="single" w:sz="4" w:space="0" w:color="000000"/>
              <w:right w:val="single" w:sz="4" w:space="0" w:color="000000"/>
            </w:tcBorders>
            <w:vAlign w:val="center"/>
          </w:tcPr>
          <w:p w:rsidR="00282EF4" w:rsidP="00563661" w14:paraId="6AD9E5E7" w14:textId="77777777">
            <w:pPr>
              <w:snapToGrid w:val="0"/>
              <w:spacing w:after="58"/>
              <w:jc w:val="center"/>
            </w:pPr>
            <w:r>
              <w:t>51</w:t>
            </w:r>
          </w:p>
        </w:tc>
      </w:tr>
      <w:tr w14:paraId="6663F5CE" w14:textId="77777777" w:rsidTr="00563661">
        <w:tblPrEx>
          <w:tblW w:w="0" w:type="auto"/>
          <w:jc w:val="center"/>
          <w:tblLayout w:type="fixed"/>
          <w:tblCellMar>
            <w:top w:w="14" w:type="dxa"/>
            <w:left w:w="120" w:type="dxa"/>
            <w:bottom w:w="14" w:type="dxa"/>
            <w:right w:w="120" w:type="dxa"/>
          </w:tblCellMar>
          <w:tblLook w:val="0000"/>
        </w:tblPrEx>
        <w:trPr>
          <w:trHeight w:val="360"/>
          <w:jc w:val="center"/>
        </w:trPr>
        <w:tc>
          <w:tcPr>
            <w:tcW w:w="5501" w:type="dxa"/>
            <w:tcBorders>
              <w:top w:val="single" w:sz="4" w:space="0" w:color="000000"/>
              <w:left w:val="single" w:sz="4" w:space="0" w:color="000000"/>
              <w:bottom w:val="single" w:sz="4" w:space="0" w:color="000000"/>
            </w:tcBorders>
            <w:vAlign w:val="center"/>
          </w:tcPr>
          <w:p w:rsidR="00282EF4" w:rsidP="00563661" w14:paraId="2A3CD27E" w14:textId="77777777">
            <w:pPr>
              <w:snapToGrid w:val="0"/>
              <w:spacing w:after="58"/>
            </w:pPr>
            <w:r>
              <w:t>Finance and Insurance</w:t>
            </w:r>
          </w:p>
        </w:tc>
        <w:tc>
          <w:tcPr>
            <w:tcW w:w="1472" w:type="dxa"/>
            <w:tcBorders>
              <w:top w:val="single" w:sz="4" w:space="0" w:color="000000"/>
              <w:left w:val="single" w:sz="4" w:space="0" w:color="000000"/>
              <w:bottom w:val="single" w:sz="4" w:space="0" w:color="000000"/>
              <w:right w:val="single" w:sz="4" w:space="0" w:color="000000"/>
            </w:tcBorders>
            <w:vAlign w:val="center"/>
          </w:tcPr>
          <w:p w:rsidR="00282EF4" w:rsidP="00563661" w14:paraId="7A63EC0F" w14:textId="77777777">
            <w:pPr>
              <w:snapToGrid w:val="0"/>
              <w:spacing w:after="58"/>
              <w:jc w:val="center"/>
            </w:pPr>
            <w:r>
              <w:t>52</w:t>
            </w:r>
          </w:p>
        </w:tc>
      </w:tr>
      <w:tr w14:paraId="1E6697F0" w14:textId="77777777" w:rsidTr="00563661">
        <w:tblPrEx>
          <w:tblW w:w="0" w:type="auto"/>
          <w:jc w:val="center"/>
          <w:tblLayout w:type="fixed"/>
          <w:tblCellMar>
            <w:top w:w="14" w:type="dxa"/>
            <w:left w:w="120" w:type="dxa"/>
            <w:bottom w:w="14" w:type="dxa"/>
            <w:right w:w="120" w:type="dxa"/>
          </w:tblCellMar>
          <w:tblLook w:val="0000"/>
        </w:tblPrEx>
        <w:trPr>
          <w:trHeight w:val="360"/>
          <w:jc w:val="center"/>
        </w:trPr>
        <w:tc>
          <w:tcPr>
            <w:tcW w:w="5501" w:type="dxa"/>
            <w:tcBorders>
              <w:top w:val="single" w:sz="4" w:space="0" w:color="000000"/>
              <w:left w:val="single" w:sz="4" w:space="0" w:color="000000"/>
              <w:bottom w:val="single" w:sz="4" w:space="0" w:color="000000"/>
            </w:tcBorders>
            <w:vAlign w:val="center"/>
          </w:tcPr>
          <w:p w:rsidR="00282EF4" w:rsidP="00563661" w14:paraId="23D9D181" w14:textId="77777777">
            <w:pPr>
              <w:snapToGrid w:val="0"/>
              <w:spacing w:after="58"/>
            </w:pPr>
            <w:r>
              <w:t>Real Estate, Rental, Leasing</w:t>
            </w:r>
          </w:p>
        </w:tc>
        <w:tc>
          <w:tcPr>
            <w:tcW w:w="1472" w:type="dxa"/>
            <w:tcBorders>
              <w:top w:val="single" w:sz="4" w:space="0" w:color="000000"/>
              <w:left w:val="single" w:sz="4" w:space="0" w:color="000000"/>
              <w:bottom w:val="single" w:sz="4" w:space="0" w:color="000000"/>
              <w:right w:val="single" w:sz="4" w:space="0" w:color="000000"/>
            </w:tcBorders>
            <w:vAlign w:val="center"/>
          </w:tcPr>
          <w:p w:rsidR="00282EF4" w:rsidP="00563661" w14:paraId="76470A64" w14:textId="77777777">
            <w:pPr>
              <w:snapToGrid w:val="0"/>
              <w:spacing w:after="58"/>
              <w:jc w:val="center"/>
            </w:pPr>
            <w:r>
              <w:t>53</w:t>
            </w:r>
          </w:p>
        </w:tc>
      </w:tr>
      <w:tr w14:paraId="702B6C4D" w14:textId="77777777" w:rsidTr="00563661">
        <w:tblPrEx>
          <w:tblW w:w="0" w:type="auto"/>
          <w:jc w:val="center"/>
          <w:tblLayout w:type="fixed"/>
          <w:tblCellMar>
            <w:top w:w="14" w:type="dxa"/>
            <w:left w:w="120" w:type="dxa"/>
            <w:bottom w:w="14" w:type="dxa"/>
            <w:right w:w="120" w:type="dxa"/>
          </w:tblCellMar>
          <w:tblLook w:val="0000"/>
        </w:tblPrEx>
        <w:trPr>
          <w:trHeight w:val="360"/>
          <w:jc w:val="center"/>
        </w:trPr>
        <w:tc>
          <w:tcPr>
            <w:tcW w:w="5501" w:type="dxa"/>
            <w:tcBorders>
              <w:top w:val="single" w:sz="4" w:space="0" w:color="000000"/>
              <w:left w:val="single" w:sz="4" w:space="0" w:color="000000"/>
              <w:bottom w:val="single" w:sz="4" w:space="0" w:color="000000"/>
            </w:tcBorders>
            <w:vAlign w:val="center"/>
          </w:tcPr>
          <w:p w:rsidR="00282EF4" w:rsidP="00563661" w14:paraId="60DFA488" w14:textId="77777777">
            <w:pPr>
              <w:snapToGrid w:val="0"/>
              <w:spacing w:after="58"/>
            </w:pPr>
            <w:r>
              <w:t>Professional, Scientific &amp; Technical Services</w:t>
            </w:r>
          </w:p>
        </w:tc>
        <w:tc>
          <w:tcPr>
            <w:tcW w:w="1472" w:type="dxa"/>
            <w:tcBorders>
              <w:top w:val="single" w:sz="4" w:space="0" w:color="000000"/>
              <w:left w:val="single" w:sz="4" w:space="0" w:color="000000"/>
              <w:bottom w:val="single" w:sz="4" w:space="0" w:color="000000"/>
              <w:right w:val="single" w:sz="4" w:space="0" w:color="000000"/>
            </w:tcBorders>
            <w:vAlign w:val="center"/>
          </w:tcPr>
          <w:p w:rsidR="00282EF4" w:rsidP="00563661" w14:paraId="7EB7E725" w14:textId="77777777">
            <w:pPr>
              <w:snapToGrid w:val="0"/>
              <w:spacing w:after="58"/>
              <w:jc w:val="center"/>
            </w:pPr>
            <w:r>
              <w:t>54</w:t>
            </w:r>
          </w:p>
        </w:tc>
      </w:tr>
      <w:tr w14:paraId="28DC829B" w14:textId="77777777" w:rsidTr="00563661">
        <w:tblPrEx>
          <w:tblW w:w="0" w:type="auto"/>
          <w:jc w:val="center"/>
          <w:tblLayout w:type="fixed"/>
          <w:tblCellMar>
            <w:top w:w="14" w:type="dxa"/>
            <w:left w:w="120" w:type="dxa"/>
            <w:bottom w:w="14" w:type="dxa"/>
            <w:right w:w="120" w:type="dxa"/>
          </w:tblCellMar>
          <w:tblLook w:val="0000"/>
        </w:tblPrEx>
        <w:trPr>
          <w:trHeight w:val="360"/>
          <w:jc w:val="center"/>
        </w:trPr>
        <w:tc>
          <w:tcPr>
            <w:tcW w:w="5501" w:type="dxa"/>
            <w:tcBorders>
              <w:top w:val="single" w:sz="4" w:space="0" w:color="000000"/>
              <w:left w:val="single" w:sz="4" w:space="0" w:color="000000"/>
              <w:bottom w:val="single" w:sz="4" w:space="0" w:color="000000"/>
            </w:tcBorders>
            <w:vAlign w:val="center"/>
          </w:tcPr>
          <w:p w:rsidR="00282EF4" w:rsidP="00563661" w14:paraId="4CE6BB89" w14:textId="77777777">
            <w:pPr>
              <w:snapToGrid w:val="0"/>
              <w:spacing w:after="58"/>
            </w:pPr>
            <w:r>
              <w:t>Management of Companies and Enterprises</w:t>
            </w:r>
          </w:p>
        </w:tc>
        <w:tc>
          <w:tcPr>
            <w:tcW w:w="1472" w:type="dxa"/>
            <w:tcBorders>
              <w:top w:val="single" w:sz="4" w:space="0" w:color="000000"/>
              <w:left w:val="single" w:sz="4" w:space="0" w:color="000000"/>
              <w:bottom w:val="single" w:sz="4" w:space="0" w:color="000000"/>
              <w:right w:val="single" w:sz="4" w:space="0" w:color="000000"/>
            </w:tcBorders>
            <w:vAlign w:val="center"/>
          </w:tcPr>
          <w:p w:rsidR="00282EF4" w:rsidP="00563661" w14:paraId="4AB55075" w14:textId="77777777">
            <w:pPr>
              <w:snapToGrid w:val="0"/>
              <w:spacing w:after="58"/>
              <w:jc w:val="center"/>
            </w:pPr>
            <w:r>
              <w:t>55</w:t>
            </w:r>
          </w:p>
        </w:tc>
      </w:tr>
      <w:tr w14:paraId="06083353" w14:textId="77777777" w:rsidTr="00563661">
        <w:tblPrEx>
          <w:tblW w:w="0" w:type="auto"/>
          <w:jc w:val="center"/>
          <w:tblLayout w:type="fixed"/>
          <w:tblCellMar>
            <w:top w:w="14" w:type="dxa"/>
            <w:left w:w="120" w:type="dxa"/>
            <w:bottom w:w="14" w:type="dxa"/>
            <w:right w:w="120" w:type="dxa"/>
          </w:tblCellMar>
          <w:tblLook w:val="0000"/>
        </w:tblPrEx>
        <w:trPr>
          <w:trHeight w:val="360"/>
          <w:jc w:val="center"/>
        </w:trPr>
        <w:tc>
          <w:tcPr>
            <w:tcW w:w="5501" w:type="dxa"/>
            <w:tcBorders>
              <w:top w:val="single" w:sz="4" w:space="0" w:color="000000"/>
              <w:left w:val="single" w:sz="4" w:space="0" w:color="000000"/>
              <w:bottom w:val="single" w:sz="4" w:space="0" w:color="000000"/>
            </w:tcBorders>
            <w:vAlign w:val="center"/>
          </w:tcPr>
          <w:p w:rsidR="00282EF4" w:rsidP="00563661" w14:paraId="2E8B2F94" w14:textId="77777777">
            <w:pPr>
              <w:snapToGrid w:val="0"/>
              <w:spacing w:after="58"/>
            </w:pPr>
            <w:r>
              <w:t>Administrative Support, Waste Management &amp; Remediation</w:t>
            </w:r>
          </w:p>
        </w:tc>
        <w:tc>
          <w:tcPr>
            <w:tcW w:w="1472" w:type="dxa"/>
            <w:tcBorders>
              <w:top w:val="single" w:sz="4" w:space="0" w:color="000000"/>
              <w:left w:val="single" w:sz="4" w:space="0" w:color="000000"/>
              <w:bottom w:val="single" w:sz="4" w:space="0" w:color="000000"/>
              <w:right w:val="single" w:sz="4" w:space="0" w:color="000000"/>
            </w:tcBorders>
            <w:vAlign w:val="center"/>
          </w:tcPr>
          <w:p w:rsidR="00282EF4" w:rsidP="00563661" w14:paraId="2CAD0E3E" w14:textId="77777777">
            <w:pPr>
              <w:snapToGrid w:val="0"/>
              <w:spacing w:after="58"/>
              <w:jc w:val="center"/>
            </w:pPr>
            <w:r>
              <w:t>56</w:t>
            </w:r>
          </w:p>
        </w:tc>
      </w:tr>
      <w:tr w14:paraId="2290945C" w14:textId="77777777" w:rsidTr="00563661">
        <w:tblPrEx>
          <w:tblW w:w="0" w:type="auto"/>
          <w:jc w:val="center"/>
          <w:tblLayout w:type="fixed"/>
          <w:tblCellMar>
            <w:top w:w="14" w:type="dxa"/>
            <w:left w:w="120" w:type="dxa"/>
            <w:bottom w:w="14" w:type="dxa"/>
            <w:right w:w="120" w:type="dxa"/>
          </w:tblCellMar>
          <w:tblLook w:val="0000"/>
        </w:tblPrEx>
        <w:trPr>
          <w:trHeight w:val="360"/>
          <w:jc w:val="center"/>
        </w:trPr>
        <w:tc>
          <w:tcPr>
            <w:tcW w:w="5501" w:type="dxa"/>
            <w:tcBorders>
              <w:top w:val="single" w:sz="4" w:space="0" w:color="000000"/>
              <w:left w:val="single" w:sz="4" w:space="0" w:color="000000"/>
              <w:bottom w:val="single" w:sz="4" w:space="0" w:color="000000"/>
            </w:tcBorders>
            <w:vAlign w:val="center"/>
          </w:tcPr>
          <w:p w:rsidR="00282EF4" w:rsidP="00563661" w14:paraId="03A59F9E" w14:textId="77777777">
            <w:pPr>
              <w:snapToGrid w:val="0"/>
              <w:spacing w:after="58"/>
            </w:pPr>
            <w:r>
              <w:t>Educational Services</w:t>
            </w:r>
          </w:p>
        </w:tc>
        <w:tc>
          <w:tcPr>
            <w:tcW w:w="1472" w:type="dxa"/>
            <w:tcBorders>
              <w:top w:val="single" w:sz="4" w:space="0" w:color="000000"/>
              <w:left w:val="single" w:sz="4" w:space="0" w:color="000000"/>
              <w:bottom w:val="single" w:sz="4" w:space="0" w:color="000000"/>
              <w:right w:val="single" w:sz="4" w:space="0" w:color="000000"/>
            </w:tcBorders>
            <w:vAlign w:val="center"/>
          </w:tcPr>
          <w:p w:rsidR="00282EF4" w:rsidP="00563661" w14:paraId="03E9272D" w14:textId="77777777">
            <w:pPr>
              <w:snapToGrid w:val="0"/>
              <w:spacing w:after="58"/>
              <w:jc w:val="center"/>
            </w:pPr>
            <w:r>
              <w:t>61</w:t>
            </w:r>
          </w:p>
        </w:tc>
      </w:tr>
      <w:tr w14:paraId="2EBEBCCF" w14:textId="77777777" w:rsidTr="00563661">
        <w:tblPrEx>
          <w:tblW w:w="0" w:type="auto"/>
          <w:jc w:val="center"/>
          <w:tblLayout w:type="fixed"/>
          <w:tblCellMar>
            <w:top w:w="14" w:type="dxa"/>
            <w:left w:w="120" w:type="dxa"/>
            <w:bottom w:w="14" w:type="dxa"/>
            <w:right w:w="120" w:type="dxa"/>
          </w:tblCellMar>
          <w:tblLook w:val="0000"/>
        </w:tblPrEx>
        <w:trPr>
          <w:trHeight w:val="360"/>
          <w:jc w:val="center"/>
        </w:trPr>
        <w:tc>
          <w:tcPr>
            <w:tcW w:w="5501" w:type="dxa"/>
            <w:tcBorders>
              <w:top w:val="single" w:sz="4" w:space="0" w:color="000000"/>
              <w:left w:val="single" w:sz="4" w:space="0" w:color="000000"/>
              <w:bottom w:val="single" w:sz="4" w:space="0" w:color="000000"/>
            </w:tcBorders>
            <w:vAlign w:val="center"/>
          </w:tcPr>
          <w:p w:rsidR="00282EF4" w:rsidP="00563661" w14:paraId="1F984AF1" w14:textId="77777777">
            <w:pPr>
              <w:snapToGrid w:val="0"/>
              <w:spacing w:after="58"/>
            </w:pPr>
            <w:r>
              <w:t>Health Care &amp; Social Assistance</w:t>
            </w:r>
          </w:p>
        </w:tc>
        <w:tc>
          <w:tcPr>
            <w:tcW w:w="1472" w:type="dxa"/>
            <w:tcBorders>
              <w:top w:val="single" w:sz="4" w:space="0" w:color="000000"/>
              <w:left w:val="single" w:sz="4" w:space="0" w:color="000000"/>
              <w:bottom w:val="single" w:sz="4" w:space="0" w:color="000000"/>
              <w:right w:val="single" w:sz="4" w:space="0" w:color="000000"/>
            </w:tcBorders>
            <w:vAlign w:val="center"/>
          </w:tcPr>
          <w:p w:rsidR="00282EF4" w:rsidP="00563661" w14:paraId="307FB7E6" w14:textId="77777777">
            <w:pPr>
              <w:snapToGrid w:val="0"/>
              <w:spacing w:after="58"/>
              <w:jc w:val="center"/>
            </w:pPr>
            <w:r>
              <w:t>62</w:t>
            </w:r>
          </w:p>
        </w:tc>
      </w:tr>
      <w:tr w14:paraId="54D3F765" w14:textId="77777777" w:rsidTr="00563661">
        <w:tblPrEx>
          <w:tblW w:w="0" w:type="auto"/>
          <w:jc w:val="center"/>
          <w:tblLayout w:type="fixed"/>
          <w:tblCellMar>
            <w:top w:w="14" w:type="dxa"/>
            <w:left w:w="120" w:type="dxa"/>
            <w:bottom w:w="14" w:type="dxa"/>
            <w:right w:w="120" w:type="dxa"/>
          </w:tblCellMar>
          <w:tblLook w:val="0000"/>
        </w:tblPrEx>
        <w:trPr>
          <w:trHeight w:val="360"/>
          <w:jc w:val="center"/>
        </w:trPr>
        <w:tc>
          <w:tcPr>
            <w:tcW w:w="5501" w:type="dxa"/>
            <w:tcBorders>
              <w:top w:val="single" w:sz="4" w:space="0" w:color="000000"/>
              <w:left w:val="single" w:sz="4" w:space="0" w:color="000000"/>
              <w:bottom w:val="single" w:sz="4" w:space="0" w:color="000000"/>
            </w:tcBorders>
            <w:vAlign w:val="center"/>
          </w:tcPr>
          <w:p w:rsidR="00282EF4" w:rsidP="00563661" w14:paraId="665E2B43" w14:textId="77777777">
            <w:pPr>
              <w:snapToGrid w:val="0"/>
              <w:spacing w:after="58"/>
            </w:pPr>
            <w:r>
              <w:t>Arts, Entertainment, Recreation</w:t>
            </w:r>
          </w:p>
        </w:tc>
        <w:tc>
          <w:tcPr>
            <w:tcW w:w="1472" w:type="dxa"/>
            <w:tcBorders>
              <w:top w:val="single" w:sz="4" w:space="0" w:color="000000"/>
              <w:left w:val="single" w:sz="4" w:space="0" w:color="000000"/>
              <w:bottom w:val="single" w:sz="4" w:space="0" w:color="000000"/>
              <w:right w:val="single" w:sz="4" w:space="0" w:color="000000"/>
            </w:tcBorders>
            <w:vAlign w:val="center"/>
          </w:tcPr>
          <w:p w:rsidR="00282EF4" w:rsidP="00563661" w14:paraId="45AE8FEB" w14:textId="77777777">
            <w:pPr>
              <w:snapToGrid w:val="0"/>
              <w:spacing w:after="58"/>
              <w:jc w:val="center"/>
            </w:pPr>
            <w:r>
              <w:t>71</w:t>
            </w:r>
          </w:p>
        </w:tc>
      </w:tr>
      <w:tr w14:paraId="6E23EDFB" w14:textId="77777777" w:rsidTr="00563661">
        <w:tblPrEx>
          <w:tblW w:w="0" w:type="auto"/>
          <w:jc w:val="center"/>
          <w:tblLayout w:type="fixed"/>
          <w:tblCellMar>
            <w:top w:w="14" w:type="dxa"/>
            <w:left w:w="120" w:type="dxa"/>
            <w:bottom w:w="14" w:type="dxa"/>
            <w:right w:w="120" w:type="dxa"/>
          </w:tblCellMar>
          <w:tblLook w:val="0000"/>
        </w:tblPrEx>
        <w:trPr>
          <w:trHeight w:val="360"/>
          <w:jc w:val="center"/>
        </w:trPr>
        <w:tc>
          <w:tcPr>
            <w:tcW w:w="5501" w:type="dxa"/>
            <w:tcBorders>
              <w:top w:val="single" w:sz="4" w:space="0" w:color="000000"/>
              <w:left w:val="single" w:sz="4" w:space="0" w:color="000000"/>
              <w:bottom w:val="single" w:sz="4" w:space="0" w:color="000000"/>
            </w:tcBorders>
            <w:vAlign w:val="center"/>
          </w:tcPr>
          <w:p w:rsidR="00282EF4" w:rsidP="00563661" w14:paraId="62C6D367" w14:textId="77777777">
            <w:pPr>
              <w:snapToGrid w:val="0"/>
              <w:spacing w:after="58"/>
            </w:pPr>
            <w:r>
              <w:t>Accommodation and Food Services</w:t>
            </w:r>
          </w:p>
        </w:tc>
        <w:tc>
          <w:tcPr>
            <w:tcW w:w="1472" w:type="dxa"/>
            <w:tcBorders>
              <w:top w:val="single" w:sz="4" w:space="0" w:color="000000"/>
              <w:left w:val="single" w:sz="4" w:space="0" w:color="000000"/>
              <w:bottom w:val="single" w:sz="4" w:space="0" w:color="000000"/>
              <w:right w:val="single" w:sz="4" w:space="0" w:color="000000"/>
            </w:tcBorders>
            <w:vAlign w:val="center"/>
          </w:tcPr>
          <w:p w:rsidR="00282EF4" w:rsidP="00563661" w14:paraId="00A8FDF9" w14:textId="77777777">
            <w:pPr>
              <w:snapToGrid w:val="0"/>
              <w:spacing w:after="58"/>
              <w:jc w:val="center"/>
            </w:pPr>
            <w:r>
              <w:t>72</w:t>
            </w:r>
          </w:p>
        </w:tc>
      </w:tr>
      <w:tr w14:paraId="3ADFA344" w14:textId="77777777" w:rsidTr="00563661">
        <w:tblPrEx>
          <w:tblW w:w="0" w:type="auto"/>
          <w:jc w:val="center"/>
          <w:tblLayout w:type="fixed"/>
          <w:tblCellMar>
            <w:top w:w="14" w:type="dxa"/>
            <w:left w:w="120" w:type="dxa"/>
            <w:bottom w:w="14" w:type="dxa"/>
            <w:right w:w="120" w:type="dxa"/>
          </w:tblCellMar>
          <w:tblLook w:val="0000"/>
        </w:tblPrEx>
        <w:trPr>
          <w:trHeight w:val="360"/>
          <w:jc w:val="center"/>
        </w:trPr>
        <w:tc>
          <w:tcPr>
            <w:tcW w:w="5501" w:type="dxa"/>
            <w:tcBorders>
              <w:top w:val="single" w:sz="4" w:space="0" w:color="000000"/>
              <w:left w:val="single" w:sz="4" w:space="0" w:color="000000"/>
              <w:bottom w:val="single" w:sz="4" w:space="0" w:color="000000"/>
            </w:tcBorders>
            <w:vAlign w:val="center"/>
          </w:tcPr>
          <w:p w:rsidR="00282EF4" w:rsidP="00563661" w14:paraId="736D9CAF" w14:textId="77777777">
            <w:pPr>
              <w:snapToGrid w:val="0"/>
              <w:spacing w:after="58"/>
            </w:pPr>
            <w:r>
              <w:t>Other Services</w:t>
            </w:r>
          </w:p>
        </w:tc>
        <w:tc>
          <w:tcPr>
            <w:tcW w:w="1472" w:type="dxa"/>
            <w:tcBorders>
              <w:top w:val="single" w:sz="4" w:space="0" w:color="000000"/>
              <w:left w:val="single" w:sz="4" w:space="0" w:color="000000"/>
              <w:bottom w:val="single" w:sz="4" w:space="0" w:color="000000"/>
              <w:right w:val="single" w:sz="4" w:space="0" w:color="000000"/>
            </w:tcBorders>
            <w:vAlign w:val="center"/>
          </w:tcPr>
          <w:p w:rsidR="00282EF4" w:rsidP="00563661" w14:paraId="4F20DD89" w14:textId="77777777">
            <w:pPr>
              <w:snapToGrid w:val="0"/>
              <w:spacing w:after="58"/>
              <w:jc w:val="center"/>
            </w:pPr>
            <w:r>
              <w:t>81</w:t>
            </w:r>
          </w:p>
        </w:tc>
      </w:tr>
      <w:tr w14:paraId="6532BCC6" w14:textId="77777777" w:rsidTr="00563661">
        <w:tblPrEx>
          <w:tblW w:w="0" w:type="auto"/>
          <w:jc w:val="center"/>
          <w:tblLayout w:type="fixed"/>
          <w:tblCellMar>
            <w:top w:w="14" w:type="dxa"/>
            <w:left w:w="120" w:type="dxa"/>
            <w:bottom w:w="14" w:type="dxa"/>
            <w:right w:w="120" w:type="dxa"/>
          </w:tblCellMar>
          <w:tblLook w:val="0000"/>
        </w:tblPrEx>
        <w:trPr>
          <w:trHeight w:val="360"/>
          <w:jc w:val="center"/>
        </w:trPr>
        <w:tc>
          <w:tcPr>
            <w:tcW w:w="5501" w:type="dxa"/>
            <w:tcBorders>
              <w:top w:val="single" w:sz="4" w:space="0" w:color="000000"/>
              <w:left w:val="single" w:sz="4" w:space="0" w:color="000000"/>
              <w:bottom w:val="single" w:sz="8" w:space="0" w:color="000000"/>
            </w:tcBorders>
            <w:vAlign w:val="center"/>
          </w:tcPr>
          <w:p w:rsidR="00282EF4" w:rsidP="00563661" w14:paraId="30874105" w14:textId="77777777">
            <w:pPr>
              <w:snapToGrid w:val="0"/>
              <w:spacing w:after="58"/>
            </w:pPr>
            <w:r>
              <w:t>Public Administration</w:t>
            </w:r>
          </w:p>
        </w:tc>
        <w:tc>
          <w:tcPr>
            <w:tcW w:w="1472" w:type="dxa"/>
            <w:tcBorders>
              <w:top w:val="single" w:sz="4" w:space="0" w:color="000000"/>
              <w:left w:val="single" w:sz="4" w:space="0" w:color="000000"/>
              <w:bottom w:val="single" w:sz="8" w:space="0" w:color="000000"/>
              <w:right w:val="single" w:sz="4" w:space="0" w:color="000000"/>
            </w:tcBorders>
            <w:vAlign w:val="center"/>
          </w:tcPr>
          <w:p w:rsidR="00282EF4" w:rsidP="00563661" w14:paraId="4FD62413" w14:textId="77777777">
            <w:pPr>
              <w:snapToGrid w:val="0"/>
              <w:spacing w:after="58"/>
              <w:jc w:val="center"/>
            </w:pPr>
            <w:r>
              <w:t>92</w:t>
            </w:r>
          </w:p>
        </w:tc>
      </w:tr>
    </w:tbl>
    <w:p w:rsidR="00522347" w:rsidRPr="00585FF1" w:rsidP="00282EF4" w14:paraId="366D9C29" w14:textId="1643F9A3">
      <w:pPr>
        <w:tabs>
          <w:tab w:val="left" w:pos="720"/>
          <w:tab w:val="left" w:pos="1440"/>
          <w:tab w:val="left" w:pos="1800"/>
        </w:tabs>
        <w:spacing w:after="0"/>
        <w:rPr>
          <w:rFonts w:cstheme="minorHAnsi"/>
        </w:rPr>
      </w:pPr>
    </w:p>
    <w:p w:rsidR="00522347" w:rsidRPr="00585FF1" w:rsidP="00522347" w14:paraId="27372893" w14:textId="77777777">
      <w:pPr>
        <w:tabs>
          <w:tab w:val="left" w:pos="720"/>
          <w:tab w:val="left" w:pos="1440"/>
          <w:tab w:val="left" w:pos="1800"/>
        </w:tabs>
        <w:spacing w:after="0"/>
        <w:ind w:firstLine="720"/>
        <w:rPr>
          <w:rFonts w:cstheme="minorHAnsi"/>
        </w:rPr>
      </w:pPr>
    </w:p>
    <w:p w:rsidR="00ED57A4" w:rsidRPr="00585FF1" w:rsidP="00522347" w14:paraId="73C025B2" w14:textId="260C9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rPr>
      </w:pPr>
      <w:r w:rsidRPr="00585FF1">
        <w:rPr>
          <w:rFonts w:cstheme="minorHAnsi"/>
          <w:b/>
          <w:bCs/>
        </w:rPr>
        <w:t xml:space="preserve">12b. </w:t>
      </w:r>
      <w:r w:rsidRPr="00585FF1" w:rsidR="00BB7DA0">
        <w:rPr>
          <w:rFonts w:cstheme="minorHAnsi"/>
          <w:b/>
          <w:bCs/>
        </w:rPr>
        <w:t>Information Requested</w:t>
      </w:r>
      <w:bookmarkStart w:id="17" w:name="_Toc156593384"/>
      <w:bookmarkEnd w:id="16"/>
    </w:p>
    <w:p w:rsidR="00784B38" w:rsidRPr="00784B38" w:rsidP="005111C1" w14:paraId="2AE6A2B1" w14:textId="25E23729">
      <w:pPr>
        <w:pStyle w:val="BodyTextDSW"/>
        <w:spacing w:before="240" w:after="240"/>
        <w:ind w:firstLine="0"/>
        <w:rPr>
          <w:rFonts w:asciiTheme="minorHAnsi" w:hAnsiTheme="minorHAnsi" w:cstheme="minorHAnsi"/>
          <w:b/>
          <w:sz w:val="22"/>
          <w:szCs w:val="22"/>
        </w:rPr>
      </w:pPr>
      <w:r>
        <w:rPr>
          <w:rFonts w:asciiTheme="minorHAnsi" w:hAnsiTheme="minorHAnsi" w:cstheme="minorHAnsi"/>
          <w:b/>
          <w:sz w:val="22"/>
          <w:szCs w:val="22"/>
        </w:rPr>
        <w:t xml:space="preserve">Requirement 1: </w:t>
      </w:r>
      <w:r w:rsidRPr="00784B38">
        <w:rPr>
          <w:rFonts w:asciiTheme="minorHAnsi" w:hAnsiTheme="minorHAnsi" w:cstheme="minorHAnsi"/>
          <w:b/>
          <w:sz w:val="22"/>
          <w:szCs w:val="22"/>
        </w:rPr>
        <w:t>Off-Site Transfer Based Exclusion for Hazardous Secondary Material</w:t>
      </w:r>
    </w:p>
    <w:p w:rsidR="00784B38" w:rsidRPr="00784B38" w:rsidP="00784B38" w14:paraId="6CFC1A71" w14:textId="77777777">
      <w:pPr>
        <w:pStyle w:val="BodyTextDSW"/>
        <w:rPr>
          <w:rFonts w:asciiTheme="minorHAnsi" w:hAnsiTheme="minorHAnsi" w:cstheme="minorHAnsi"/>
          <w:bCs/>
          <w:sz w:val="22"/>
          <w:szCs w:val="22"/>
        </w:rPr>
      </w:pPr>
      <w:r w:rsidRPr="00784B38">
        <w:rPr>
          <w:rFonts w:asciiTheme="minorHAnsi" w:hAnsiTheme="minorHAnsi" w:cstheme="minorHAnsi"/>
          <w:bCs/>
          <w:sz w:val="22"/>
          <w:szCs w:val="22"/>
        </w:rPr>
        <w:t xml:space="preserve">The transfer-based exclusion requires facilities to maintain emergency preparedness and response conditions, financial assurance, and maintenance of records of hazardous secondary material shipments and confirmation of receipts for three years. </w:t>
      </w:r>
    </w:p>
    <w:p w:rsidR="00784B38" w:rsidRPr="00784B38" w:rsidP="000505D2" w14:paraId="1E8F5F75" w14:textId="709A01B4">
      <w:pPr>
        <w:pStyle w:val="BodyTextDSW"/>
        <w:keepNext/>
        <w:numPr>
          <w:ilvl w:val="8"/>
          <w:numId w:val="2"/>
        </w:numPr>
        <w:spacing w:before="240" w:after="240"/>
        <w:ind w:left="990" w:hanging="540"/>
        <w:rPr>
          <w:rFonts w:asciiTheme="minorHAnsi" w:hAnsiTheme="minorHAnsi" w:cstheme="minorHAnsi"/>
          <w:b/>
          <w:bCs/>
          <w:sz w:val="22"/>
          <w:szCs w:val="22"/>
        </w:rPr>
      </w:pPr>
      <w:r w:rsidRPr="00784B38">
        <w:rPr>
          <w:rFonts w:asciiTheme="minorHAnsi" w:hAnsiTheme="minorHAnsi" w:cstheme="minorHAnsi"/>
          <w:b/>
          <w:bCs/>
          <w:sz w:val="22"/>
          <w:szCs w:val="22"/>
        </w:rPr>
        <w:t>Emergency Preparedness and Response</w:t>
      </w:r>
    </w:p>
    <w:p w:rsidR="00784B38" w:rsidRPr="00784B38" w:rsidP="006A7810" w14:paraId="3E15C3EA"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784B38">
        <w:rPr>
          <w:rFonts w:asciiTheme="minorHAnsi" w:hAnsiTheme="minorHAnsi" w:cstheme="minorHAnsi"/>
          <w:sz w:val="22"/>
          <w:szCs w:val="22"/>
        </w:rPr>
        <w:t>Personnel training records should include job titles for each position and the name of each person filling each job, a written job description and necessary qualifications for each position, and the training given to the individual filling that position</w:t>
      </w:r>
    </w:p>
    <w:p w:rsidR="00784B38" w:rsidRPr="00784B38" w:rsidP="006A7810" w14:paraId="6409C07F"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784B38">
        <w:rPr>
          <w:rFonts w:asciiTheme="minorHAnsi" w:hAnsiTheme="minorHAnsi" w:cstheme="minorHAnsi"/>
          <w:sz w:val="22"/>
          <w:szCs w:val="22"/>
        </w:rPr>
        <w:t>Contingency plans should include a description of response actions, a description of the arrangements agreed to by local police authorities, contact lists for emergency coordinators, a list of emergency equipment, and an evacuation plan for the facility personnel</w:t>
      </w:r>
    </w:p>
    <w:p w:rsidR="00784B38" w:rsidRPr="00784B38" w:rsidP="006A7810" w14:paraId="652AB5D4"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784B38">
        <w:rPr>
          <w:rFonts w:asciiTheme="minorHAnsi" w:hAnsiTheme="minorHAnsi" w:cstheme="minorHAnsi"/>
          <w:sz w:val="22"/>
          <w:szCs w:val="22"/>
        </w:rPr>
        <w:t>Documentation of whether State or local authorities decline to enter into agreement to become more familiar with the generator’s facility and its waste</w:t>
      </w:r>
    </w:p>
    <w:p w:rsidR="00784B38" w:rsidRPr="00784B38" w:rsidP="006A7810" w14:paraId="328E8339"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784B38">
        <w:rPr>
          <w:rFonts w:asciiTheme="minorHAnsi" w:hAnsiTheme="minorHAnsi" w:cstheme="minorHAnsi"/>
          <w:sz w:val="22"/>
          <w:szCs w:val="22"/>
        </w:rPr>
        <w:t xml:space="preserve">Notification to fire department of imminent or actual </w:t>
      </w:r>
      <w:r w:rsidRPr="00784B38">
        <w:rPr>
          <w:rFonts w:asciiTheme="minorHAnsi" w:hAnsiTheme="minorHAnsi" w:cstheme="minorHAnsi"/>
          <w:sz w:val="22"/>
          <w:szCs w:val="22"/>
        </w:rPr>
        <w:t>emergency situation</w:t>
      </w:r>
    </w:p>
    <w:p w:rsidR="00784B38" w:rsidRPr="00784B38" w:rsidP="006A7810" w14:paraId="204CE931"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784B38">
        <w:rPr>
          <w:rFonts w:asciiTheme="minorHAnsi" w:hAnsiTheme="minorHAnsi" w:cstheme="minorHAnsi"/>
          <w:sz w:val="22"/>
          <w:szCs w:val="22"/>
        </w:rPr>
        <w:t>Emergency report to the on-scene coordinator (OSC) or National Response Center (NRC), including:</w:t>
      </w:r>
    </w:p>
    <w:p w:rsidR="00784B38" w:rsidRPr="00784B38" w:rsidP="006A7810" w14:paraId="419ABB37" w14:textId="77777777">
      <w:pPr>
        <w:widowControl w:val="0"/>
        <w:numPr>
          <w:ilvl w:val="0"/>
          <w:numId w:val="9"/>
        </w:numPr>
        <w:autoSpaceDE w:val="0"/>
        <w:autoSpaceDN w:val="0"/>
        <w:adjustRightInd w:val="0"/>
        <w:spacing w:after="0" w:line="240" w:lineRule="auto"/>
        <w:rPr>
          <w:rFonts w:cstheme="minorHAnsi"/>
        </w:rPr>
      </w:pPr>
      <w:r w:rsidRPr="00784B38">
        <w:rPr>
          <w:rFonts w:cstheme="minorHAnsi"/>
        </w:rPr>
        <w:t xml:space="preserve">Name and telephone number of </w:t>
      </w:r>
      <w:r w:rsidRPr="00784B38">
        <w:rPr>
          <w:rFonts w:cstheme="minorHAnsi"/>
        </w:rPr>
        <w:t>reporter;</w:t>
      </w:r>
    </w:p>
    <w:p w:rsidR="00784B38" w:rsidRPr="00784B38" w:rsidP="006A7810" w14:paraId="680D1295" w14:textId="77777777">
      <w:pPr>
        <w:widowControl w:val="0"/>
        <w:numPr>
          <w:ilvl w:val="0"/>
          <w:numId w:val="9"/>
        </w:numPr>
        <w:autoSpaceDE w:val="0"/>
        <w:autoSpaceDN w:val="0"/>
        <w:adjustRightInd w:val="0"/>
        <w:spacing w:after="0" w:line="240" w:lineRule="auto"/>
        <w:rPr>
          <w:rFonts w:cstheme="minorHAnsi"/>
        </w:rPr>
      </w:pPr>
      <w:r w:rsidRPr="00784B38">
        <w:rPr>
          <w:rFonts w:cstheme="minorHAnsi"/>
        </w:rPr>
        <w:t xml:space="preserve">Name and address of </w:t>
      </w:r>
      <w:r w:rsidRPr="00784B38">
        <w:rPr>
          <w:rFonts w:cstheme="minorHAnsi"/>
        </w:rPr>
        <w:t>facility;</w:t>
      </w:r>
    </w:p>
    <w:p w:rsidR="00784B38" w:rsidRPr="00784B38" w:rsidP="006A7810" w14:paraId="588EC3A8" w14:textId="77777777">
      <w:pPr>
        <w:widowControl w:val="0"/>
        <w:numPr>
          <w:ilvl w:val="0"/>
          <w:numId w:val="9"/>
        </w:numPr>
        <w:autoSpaceDE w:val="0"/>
        <w:autoSpaceDN w:val="0"/>
        <w:adjustRightInd w:val="0"/>
        <w:spacing w:after="0" w:line="240" w:lineRule="auto"/>
        <w:rPr>
          <w:rFonts w:cstheme="minorHAnsi"/>
        </w:rPr>
      </w:pPr>
      <w:r w:rsidRPr="00784B38">
        <w:rPr>
          <w:rFonts w:cstheme="minorHAnsi"/>
        </w:rPr>
        <w:t xml:space="preserve">Time and type of </w:t>
      </w:r>
      <w:r w:rsidRPr="00784B38">
        <w:rPr>
          <w:rFonts w:cstheme="minorHAnsi"/>
        </w:rPr>
        <w:t>incident;</w:t>
      </w:r>
    </w:p>
    <w:p w:rsidR="00784B38" w:rsidRPr="00784B38" w:rsidP="006A7810" w14:paraId="77F4E296" w14:textId="77777777">
      <w:pPr>
        <w:widowControl w:val="0"/>
        <w:numPr>
          <w:ilvl w:val="0"/>
          <w:numId w:val="9"/>
        </w:numPr>
        <w:autoSpaceDE w:val="0"/>
        <w:autoSpaceDN w:val="0"/>
        <w:adjustRightInd w:val="0"/>
        <w:spacing w:after="0" w:line="240" w:lineRule="auto"/>
        <w:rPr>
          <w:rFonts w:cstheme="minorHAnsi"/>
        </w:rPr>
      </w:pPr>
      <w:r w:rsidRPr="00784B38">
        <w:rPr>
          <w:rFonts w:cstheme="minorHAnsi"/>
        </w:rPr>
        <w:t xml:space="preserve">Name and quantity of material(s) </w:t>
      </w:r>
      <w:r w:rsidRPr="00784B38">
        <w:rPr>
          <w:rFonts w:cstheme="minorHAnsi"/>
        </w:rPr>
        <w:t>involved;</w:t>
      </w:r>
    </w:p>
    <w:p w:rsidR="00784B38" w:rsidRPr="00784B38" w:rsidP="006A7810" w14:paraId="08A59D8A" w14:textId="77777777">
      <w:pPr>
        <w:widowControl w:val="0"/>
        <w:numPr>
          <w:ilvl w:val="0"/>
          <w:numId w:val="9"/>
        </w:numPr>
        <w:autoSpaceDE w:val="0"/>
        <w:autoSpaceDN w:val="0"/>
        <w:adjustRightInd w:val="0"/>
        <w:spacing w:after="0" w:line="240" w:lineRule="auto"/>
        <w:rPr>
          <w:rFonts w:cstheme="minorHAnsi"/>
        </w:rPr>
      </w:pPr>
      <w:r w:rsidRPr="00784B38">
        <w:rPr>
          <w:rFonts w:cstheme="minorHAnsi"/>
        </w:rPr>
        <w:t>The extent of injuries; and</w:t>
      </w:r>
    </w:p>
    <w:p w:rsidR="00784B38" w:rsidP="006A7810" w14:paraId="54997326" w14:textId="77777777">
      <w:pPr>
        <w:widowControl w:val="0"/>
        <w:numPr>
          <w:ilvl w:val="0"/>
          <w:numId w:val="9"/>
        </w:numPr>
        <w:autoSpaceDE w:val="0"/>
        <w:autoSpaceDN w:val="0"/>
        <w:adjustRightInd w:val="0"/>
        <w:spacing w:after="0" w:line="240" w:lineRule="auto"/>
        <w:rPr>
          <w:rFonts w:cstheme="minorHAnsi"/>
        </w:rPr>
      </w:pPr>
      <w:r w:rsidRPr="00784B38">
        <w:rPr>
          <w:rFonts w:cstheme="minorHAnsi"/>
        </w:rPr>
        <w:t>Possible hazards to human health or the environment outside the facility</w:t>
      </w:r>
    </w:p>
    <w:p w:rsidR="00784B38" w:rsidRPr="00784B38" w:rsidP="000505D2" w14:paraId="72C71820" w14:textId="1895DC92">
      <w:pPr>
        <w:pStyle w:val="BodyTextDSW"/>
        <w:keepNext/>
        <w:numPr>
          <w:ilvl w:val="8"/>
          <w:numId w:val="2"/>
        </w:numPr>
        <w:spacing w:before="240" w:after="240"/>
        <w:ind w:left="1080" w:hanging="540"/>
        <w:rPr>
          <w:rFonts w:asciiTheme="minorHAnsi" w:hAnsiTheme="minorHAnsi" w:cstheme="minorHAnsi"/>
          <w:b/>
          <w:bCs/>
          <w:sz w:val="22"/>
          <w:szCs w:val="22"/>
        </w:rPr>
      </w:pPr>
      <w:r w:rsidRPr="00784B38">
        <w:rPr>
          <w:rFonts w:asciiTheme="minorHAnsi" w:hAnsiTheme="minorHAnsi" w:cstheme="minorHAnsi"/>
          <w:b/>
          <w:bCs/>
          <w:sz w:val="22"/>
          <w:szCs w:val="22"/>
        </w:rPr>
        <w:t>Reasonable Efforts</w:t>
      </w:r>
    </w:p>
    <w:p w:rsidR="00784B38" w:rsidRPr="00784B38" w:rsidP="006A7810" w14:paraId="1414D8B4" w14:textId="77777777">
      <w:pPr>
        <w:pStyle w:val="BodyTextDSW"/>
        <w:numPr>
          <w:ilvl w:val="0"/>
          <w:numId w:val="9"/>
        </w:numPr>
        <w:rPr>
          <w:rFonts w:asciiTheme="minorHAnsi" w:hAnsiTheme="minorHAnsi" w:cstheme="minorHAnsi"/>
          <w:sz w:val="22"/>
          <w:szCs w:val="22"/>
        </w:rPr>
      </w:pPr>
      <w:r w:rsidRPr="00784B38">
        <w:rPr>
          <w:rFonts w:asciiTheme="minorHAnsi" w:hAnsiTheme="minorHAnsi" w:cstheme="minorHAnsi"/>
          <w:sz w:val="22"/>
          <w:szCs w:val="22"/>
        </w:rPr>
        <w:t xml:space="preserve">Documentation and certification that is available upon request by a regulatory authority within 72 hours, or within a longer </w:t>
      </w:r>
      <w:r w:rsidRPr="00784B38">
        <w:rPr>
          <w:rFonts w:asciiTheme="minorHAnsi" w:hAnsiTheme="minorHAnsi" w:cstheme="minorHAnsi"/>
          <w:sz w:val="22"/>
          <w:szCs w:val="22"/>
        </w:rPr>
        <w:t>period of time</w:t>
      </w:r>
      <w:r w:rsidRPr="00784B38">
        <w:rPr>
          <w:rFonts w:asciiTheme="minorHAnsi" w:hAnsiTheme="minorHAnsi" w:cstheme="minorHAnsi"/>
          <w:sz w:val="22"/>
          <w:szCs w:val="22"/>
        </w:rPr>
        <w:t xml:space="preserve"> as specified by the regulatory authority</w:t>
      </w:r>
    </w:p>
    <w:p w:rsidR="00784B38" w:rsidRPr="00784B38" w:rsidP="000505D2" w14:paraId="6C6791A8" w14:textId="788489B4">
      <w:pPr>
        <w:pStyle w:val="BodyTextDSW"/>
        <w:keepNext/>
        <w:numPr>
          <w:ilvl w:val="8"/>
          <w:numId w:val="2"/>
        </w:numPr>
        <w:spacing w:before="240" w:after="240"/>
        <w:ind w:left="1080" w:hanging="540"/>
        <w:rPr>
          <w:rFonts w:asciiTheme="minorHAnsi" w:hAnsiTheme="minorHAnsi" w:cstheme="minorHAnsi"/>
          <w:b/>
          <w:bCs/>
          <w:sz w:val="22"/>
          <w:szCs w:val="22"/>
        </w:rPr>
      </w:pPr>
      <w:r w:rsidRPr="00784B38">
        <w:rPr>
          <w:rFonts w:asciiTheme="minorHAnsi" w:hAnsiTheme="minorHAnsi" w:cstheme="minorHAnsi"/>
          <w:b/>
          <w:bCs/>
          <w:sz w:val="22"/>
          <w:szCs w:val="22"/>
        </w:rPr>
        <w:t>Financial Assurance</w:t>
      </w:r>
    </w:p>
    <w:p w:rsidR="00784B38" w:rsidRPr="00784B38" w:rsidP="00784B38" w14:paraId="5C4BD0F1" w14:textId="77777777">
      <w:pPr>
        <w:pStyle w:val="BodyTextDSW"/>
        <w:keepNext/>
        <w:rPr>
          <w:rFonts w:asciiTheme="minorHAnsi" w:hAnsiTheme="minorHAnsi" w:cstheme="minorHAnsi"/>
          <w:sz w:val="22"/>
          <w:szCs w:val="22"/>
        </w:rPr>
      </w:pPr>
      <w:r w:rsidRPr="00784B38">
        <w:rPr>
          <w:rFonts w:asciiTheme="minorHAnsi" w:hAnsiTheme="minorHAnsi" w:cstheme="minorHAnsi"/>
          <w:sz w:val="22"/>
          <w:szCs w:val="22"/>
        </w:rPr>
        <w:t>An owner or operator of a reclamation or intermediate facility must have financial assurance as a condition of the exclusion, choosing from the options as specified in 40 CFR 261.143(a) through (e): trust fund, surety bond guaranteeing payment into a trust fund, letter of credit, insurance, and financial test and corporate guarantee.</w:t>
      </w:r>
    </w:p>
    <w:p w:rsidR="00784B38" w:rsidRPr="00784B38" w:rsidP="00784B38" w14:paraId="622CC769" w14:textId="16C9C21F">
      <w:pPr>
        <w:keepNext/>
        <w:spacing w:before="240" w:after="240"/>
        <w:ind w:left="720"/>
        <w:rPr>
          <w:rFonts w:cstheme="minorHAnsi"/>
          <w:u w:val="single"/>
        </w:rPr>
      </w:pPr>
      <w:r w:rsidRPr="00784B38">
        <w:rPr>
          <w:rFonts w:cstheme="minorHAnsi"/>
          <w:u w:val="single"/>
        </w:rPr>
        <w:t>Trust Fund</w:t>
      </w:r>
    </w:p>
    <w:p w:rsidR="00784B38" w:rsidRPr="00784B38" w:rsidP="006A7810" w14:paraId="6AEAEF84"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784B38">
        <w:rPr>
          <w:rFonts w:asciiTheme="minorHAnsi" w:hAnsiTheme="minorHAnsi" w:cstheme="minorHAnsi"/>
          <w:sz w:val="22"/>
          <w:szCs w:val="22"/>
        </w:rPr>
        <w:t>An originally signed duplicate of a trust agreement whose wording is identical to the wording specified in 40 CFR 261.151(a)(1).</w:t>
      </w:r>
    </w:p>
    <w:p w:rsidR="00784B38" w:rsidRPr="00784B38" w:rsidP="006A7810" w14:paraId="51F39C21"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784B38">
        <w:rPr>
          <w:rFonts w:asciiTheme="minorHAnsi" w:hAnsiTheme="minorHAnsi" w:cstheme="minorHAnsi"/>
          <w:sz w:val="22"/>
          <w:szCs w:val="22"/>
        </w:rPr>
        <w:t xml:space="preserve">A formal certification of acknowledgment, as required under 40 CFR 261.143(a)(2).  </w:t>
      </w:r>
    </w:p>
    <w:p w:rsidR="00784B38" w:rsidRPr="00784B38" w:rsidP="006A7810" w14:paraId="09B97D87"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784B38">
        <w:rPr>
          <w:rFonts w:asciiTheme="minorHAnsi" w:hAnsiTheme="minorHAnsi" w:cstheme="minorHAnsi"/>
          <w:sz w:val="22"/>
          <w:szCs w:val="22"/>
        </w:rPr>
        <w:t xml:space="preserve">Update of Schedule A of the trust agreement, as required under 40 CFR 261.143(a)(2). </w:t>
      </w:r>
    </w:p>
    <w:p w:rsidR="00784B38" w:rsidRPr="00784B38" w:rsidP="006A7810" w14:paraId="2C1147DC"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784B38">
        <w:rPr>
          <w:rFonts w:asciiTheme="minorHAnsi" w:hAnsiTheme="minorHAnsi" w:cstheme="minorHAnsi"/>
          <w:sz w:val="22"/>
          <w:szCs w:val="22"/>
        </w:rPr>
        <w:t xml:space="preserve">A written request under 40 CFR 261.143(a)(5) to the Regional Administrator for release of the amount </w:t>
      </w:r>
      <w:r w:rsidRPr="00784B38">
        <w:rPr>
          <w:rFonts w:asciiTheme="minorHAnsi" w:hAnsiTheme="minorHAnsi" w:cstheme="minorHAnsi"/>
          <w:sz w:val="22"/>
          <w:szCs w:val="22"/>
        </w:rPr>
        <w:t>in excess of</w:t>
      </w:r>
      <w:r w:rsidRPr="00784B38">
        <w:rPr>
          <w:rFonts w:asciiTheme="minorHAnsi" w:hAnsiTheme="minorHAnsi" w:cstheme="minorHAnsi"/>
          <w:sz w:val="22"/>
          <w:szCs w:val="22"/>
        </w:rPr>
        <w:t xml:space="preserve"> the current cost estimate, if the value of the trust fund is greater than the total amount of the current cost estimate.</w:t>
      </w:r>
    </w:p>
    <w:p w:rsidR="00784B38" w:rsidRPr="00784B38" w:rsidP="006A7810" w14:paraId="2DFE9605" w14:textId="77777777">
      <w:pPr>
        <w:pStyle w:val="BodyTextDSW"/>
        <w:keepLines/>
        <w:numPr>
          <w:ilvl w:val="0"/>
          <w:numId w:val="8"/>
        </w:numPr>
        <w:tabs>
          <w:tab w:val="clear" w:pos="1080"/>
          <w:tab w:val="num" w:pos="1620"/>
        </w:tabs>
        <w:ind w:left="1627"/>
        <w:rPr>
          <w:rFonts w:asciiTheme="minorHAnsi" w:hAnsiTheme="minorHAnsi" w:cstheme="minorHAnsi"/>
          <w:sz w:val="22"/>
          <w:szCs w:val="22"/>
        </w:rPr>
      </w:pPr>
      <w:r w:rsidRPr="00784B38">
        <w:rPr>
          <w:rFonts w:asciiTheme="minorHAnsi" w:hAnsiTheme="minorHAnsi" w:cstheme="minorHAnsi"/>
          <w:sz w:val="22"/>
          <w:szCs w:val="22"/>
        </w:rPr>
        <w:t xml:space="preserve">A written request under 40 CFR 261.143(a)(6) to the Regional Administrator for release of the amount </w:t>
      </w:r>
      <w:r w:rsidRPr="00784B38">
        <w:rPr>
          <w:rFonts w:asciiTheme="minorHAnsi" w:hAnsiTheme="minorHAnsi" w:cstheme="minorHAnsi"/>
          <w:sz w:val="22"/>
          <w:szCs w:val="22"/>
        </w:rPr>
        <w:t>in excess of</w:t>
      </w:r>
      <w:r w:rsidRPr="00784B38">
        <w:rPr>
          <w:rFonts w:asciiTheme="minorHAnsi" w:hAnsiTheme="minorHAnsi" w:cstheme="minorHAnsi"/>
          <w:sz w:val="22"/>
          <w:szCs w:val="22"/>
        </w:rPr>
        <w:t xml:space="preserve"> the current cost estimate covered by the trust fund, if the owner or operator substitutes other financial assurance as specified in this section for all or part of the trust fund.</w:t>
      </w:r>
    </w:p>
    <w:p w:rsidR="00784B38" w:rsidRPr="00784B38" w:rsidP="006A7810" w14:paraId="1ACE0227"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784B38">
        <w:rPr>
          <w:rFonts w:asciiTheme="minorHAnsi" w:hAnsiTheme="minorHAnsi" w:cstheme="minorHAnsi"/>
          <w:sz w:val="22"/>
          <w:szCs w:val="22"/>
        </w:rPr>
        <w:t>A request for reimbursements under 40 CFR 261.143(a)(7) for partial or final closure expenditures, including itemized bills, to the Regional Administrator.</w:t>
      </w:r>
    </w:p>
    <w:p w:rsidR="00784B38" w:rsidRPr="00784B38" w:rsidP="00784B38" w14:paraId="53D1E5EB" w14:textId="15AC3587">
      <w:pPr>
        <w:spacing w:before="240" w:after="240"/>
        <w:ind w:left="720"/>
        <w:rPr>
          <w:rFonts w:cstheme="minorHAnsi"/>
          <w:u w:val="single"/>
        </w:rPr>
      </w:pPr>
      <w:r w:rsidRPr="00784B38">
        <w:rPr>
          <w:rFonts w:cstheme="minorHAnsi"/>
          <w:u w:val="single"/>
        </w:rPr>
        <w:t>Surety Bond Guaranteeing Payment into a Trust Fund</w:t>
      </w:r>
    </w:p>
    <w:p w:rsidR="00784B38" w:rsidRPr="00784B38" w:rsidP="006A7810" w14:paraId="366E5432"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784B38">
        <w:rPr>
          <w:rFonts w:asciiTheme="minorHAnsi" w:hAnsiTheme="minorHAnsi" w:cstheme="minorHAnsi"/>
          <w:sz w:val="22"/>
          <w:szCs w:val="22"/>
        </w:rPr>
        <w:t>A surety bond whose wording is identical to the wording specified in 40 CFR 261.151(b).</w:t>
      </w:r>
    </w:p>
    <w:p w:rsidR="00784B38" w:rsidRPr="00784B38" w:rsidP="006A7810" w14:paraId="41A0C440"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784B38">
        <w:rPr>
          <w:rFonts w:asciiTheme="minorHAnsi" w:hAnsiTheme="minorHAnsi" w:cstheme="minorHAnsi"/>
          <w:sz w:val="22"/>
          <w:szCs w:val="22"/>
        </w:rPr>
        <w:t>Evidence of an increase in the penal sum or other financial assurance as specified to cover the increase, whenever the current cost estimate increases to an amount greater than the penal sum, as provided under 40 CFR 261.143(b)(7).</w:t>
      </w:r>
    </w:p>
    <w:p w:rsidR="00784B38" w:rsidRPr="00784B38" w:rsidP="006A7810" w14:paraId="4F95AD08"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784B38">
        <w:rPr>
          <w:rFonts w:asciiTheme="minorHAnsi" w:hAnsiTheme="minorHAnsi" w:cstheme="minorHAnsi"/>
          <w:sz w:val="22"/>
          <w:szCs w:val="22"/>
        </w:rPr>
        <w:t>Notice of bond cancellation, as provided under 40 CFR 261.143(b)(8).</w:t>
      </w:r>
    </w:p>
    <w:p w:rsidR="00784B38" w:rsidRPr="00784B38" w:rsidP="00784B38" w14:paraId="58849EA5" w14:textId="77777777">
      <w:pPr>
        <w:widowControl w:val="0"/>
        <w:autoSpaceDE w:val="0"/>
        <w:autoSpaceDN w:val="0"/>
        <w:adjustRightInd w:val="0"/>
        <w:spacing w:after="0" w:line="240" w:lineRule="auto"/>
        <w:rPr>
          <w:rFonts w:cstheme="minorHAnsi"/>
        </w:rPr>
      </w:pPr>
    </w:p>
    <w:p w:rsidR="00784B38" w:rsidRPr="00784B38" w:rsidP="00784B38" w14:paraId="51439A01" w14:textId="011C1184">
      <w:pPr>
        <w:spacing w:before="240" w:after="240"/>
        <w:ind w:left="720"/>
        <w:rPr>
          <w:rFonts w:cstheme="minorHAnsi"/>
          <w:u w:val="single"/>
        </w:rPr>
      </w:pPr>
      <w:r w:rsidRPr="00784B38">
        <w:rPr>
          <w:rFonts w:cstheme="minorHAnsi"/>
          <w:u w:val="single"/>
        </w:rPr>
        <w:t>Letter of Credit</w:t>
      </w:r>
    </w:p>
    <w:p w:rsidR="00784B38" w:rsidRPr="00784B38" w:rsidP="006A7810" w14:paraId="297803F6"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784B38">
        <w:rPr>
          <w:rFonts w:asciiTheme="minorHAnsi" w:hAnsiTheme="minorHAnsi" w:cstheme="minorHAnsi"/>
          <w:sz w:val="22"/>
          <w:szCs w:val="22"/>
        </w:rPr>
        <w:t xml:space="preserve">Irrevocable standby letter of credit whose wording is identical to the wording specified in 40 CFR 261.151(c).  </w:t>
      </w:r>
    </w:p>
    <w:p w:rsidR="00784B38" w:rsidRPr="00784B38" w:rsidP="006A7810" w14:paraId="7C3CC7E9"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784B38">
        <w:rPr>
          <w:rFonts w:asciiTheme="minorHAnsi" w:hAnsiTheme="minorHAnsi" w:cstheme="minorHAnsi"/>
          <w:sz w:val="22"/>
          <w:szCs w:val="22"/>
        </w:rPr>
        <w:t xml:space="preserve">Letter from the owner or operator under 40 CFR 261.143(c)(4), referring to the letter of credit by number, issuing institution, and date, and providing the following information: The EPA Identification Number (if any issued), name, and address of the facility, and the amount of funds assured for the facility by the letter of credit. </w:t>
      </w:r>
    </w:p>
    <w:p w:rsidR="00784B38" w:rsidRPr="00784B38" w:rsidP="006A7810" w14:paraId="42CE23CA"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784B38">
        <w:rPr>
          <w:rFonts w:asciiTheme="minorHAnsi" w:hAnsiTheme="minorHAnsi" w:cstheme="minorHAnsi"/>
          <w:sz w:val="22"/>
          <w:szCs w:val="22"/>
        </w:rPr>
        <w:t xml:space="preserve">A letter from the issuing institution under 40 CFR 261.143(c)(5), notifying both the owner or operator and the Regional Administrator by certified mail of a decision not to extend the expiration date.  </w:t>
      </w:r>
    </w:p>
    <w:p w:rsidR="00784B38" w:rsidP="006A7810" w14:paraId="793FD6D1"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784B38">
        <w:rPr>
          <w:rFonts w:asciiTheme="minorHAnsi" w:hAnsiTheme="minorHAnsi" w:cstheme="minorHAnsi"/>
          <w:sz w:val="22"/>
          <w:szCs w:val="22"/>
        </w:rPr>
        <w:t>Evidence of an increase in the credit or other financial assurance as specified to cover the increase, whenever the current cost estimate increases to an amount greater than the amount of the credit, as provided under 40 CFR 261.143(c)(7).</w:t>
      </w:r>
    </w:p>
    <w:p w:rsidR="00784B38" w:rsidRPr="00784B38" w:rsidP="00784B38" w14:paraId="21B5EBA3" w14:textId="1C28BFB8">
      <w:pPr>
        <w:keepNext/>
        <w:spacing w:before="240" w:after="240"/>
        <w:ind w:left="720"/>
        <w:rPr>
          <w:rFonts w:cstheme="minorHAnsi"/>
          <w:u w:val="single"/>
        </w:rPr>
      </w:pPr>
      <w:r w:rsidRPr="00784B38">
        <w:rPr>
          <w:rFonts w:cstheme="minorHAnsi"/>
          <w:u w:val="single"/>
        </w:rPr>
        <w:t>Insurance</w:t>
      </w:r>
    </w:p>
    <w:p w:rsidR="00784B38" w:rsidRPr="00784B38" w:rsidP="006A7810" w14:paraId="5B1D9B0A"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784B38">
        <w:rPr>
          <w:rFonts w:asciiTheme="minorHAnsi" w:hAnsiTheme="minorHAnsi" w:cstheme="minorHAnsi"/>
          <w:sz w:val="22"/>
          <w:szCs w:val="22"/>
        </w:rPr>
        <w:t xml:space="preserve">A certificate of insurance whose wording is identical to the wording specified in 40 CFR 261.151(d).  </w:t>
      </w:r>
    </w:p>
    <w:p w:rsidR="00784B38" w:rsidRPr="00784B38" w:rsidP="006A7810" w14:paraId="19D1ABC5"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784B38">
        <w:rPr>
          <w:rFonts w:asciiTheme="minorHAnsi" w:hAnsiTheme="minorHAnsi" w:cstheme="minorHAnsi"/>
          <w:sz w:val="22"/>
          <w:szCs w:val="22"/>
        </w:rPr>
        <w:t>A request for reimbursements for expenditures to EPA, including itemized bills, as specified under 40 CFR 261.143(d)(5).</w:t>
      </w:r>
    </w:p>
    <w:p w:rsidR="00784B38" w:rsidRPr="00784B38" w:rsidP="006A7810" w14:paraId="1BB775F1"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784B38">
        <w:rPr>
          <w:rFonts w:asciiTheme="minorHAnsi" w:hAnsiTheme="minorHAnsi" w:cstheme="minorHAnsi"/>
          <w:sz w:val="22"/>
          <w:szCs w:val="22"/>
        </w:rPr>
        <w:t xml:space="preserve">A notice sent by certified mail from the insurer that it has elected to cancel, terminate, or fail to renew the policy, as specified under 40 CFR 261.143(d)(8).  </w:t>
      </w:r>
    </w:p>
    <w:p w:rsidR="00784B38" w:rsidRPr="00784B38" w:rsidP="006A7810" w14:paraId="68345C11"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784B38">
        <w:rPr>
          <w:rFonts w:asciiTheme="minorHAnsi" w:hAnsiTheme="minorHAnsi" w:cstheme="minorHAnsi"/>
          <w:sz w:val="22"/>
          <w:szCs w:val="22"/>
        </w:rPr>
        <w:t xml:space="preserve">Evidence of an increase in the credit or other financial assurance as specified to cover the increase, whenever the current cost estimate increases to an amount greater than the face amount of the policy, as specified under 40 CFR 261.143(d)(9). </w:t>
      </w:r>
    </w:p>
    <w:p w:rsidR="00784B38" w:rsidRPr="00784B38" w:rsidP="00784B38" w14:paraId="628380FB" w14:textId="58DC99D3">
      <w:pPr>
        <w:keepNext/>
        <w:spacing w:before="240" w:after="240"/>
        <w:ind w:left="720"/>
        <w:rPr>
          <w:rFonts w:cstheme="minorHAnsi"/>
          <w:u w:val="single"/>
        </w:rPr>
      </w:pPr>
      <w:r w:rsidRPr="00784B38">
        <w:rPr>
          <w:rFonts w:cstheme="minorHAnsi"/>
          <w:u w:val="single"/>
        </w:rPr>
        <w:t>Financial Test and Corporate Guarantee</w:t>
      </w:r>
    </w:p>
    <w:p w:rsidR="00784B38" w:rsidRPr="00784B38" w:rsidP="006A7810" w14:paraId="69F80BDA"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784B38">
        <w:rPr>
          <w:rFonts w:asciiTheme="minorHAnsi" w:hAnsiTheme="minorHAnsi" w:cstheme="minorHAnsi"/>
          <w:sz w:val="22"/>
          <w:szCs w:val="22"/>
        </w:rPr>
        <w:t>Information required under 40 CFR 261.143(e)(3):</w:t>
      </w:r>
    </w:p>
    <w:p w:rsidR="00784B38" w:rsidRPr="00784B38" w:rsidP="006A7810" w14:paraId="6BEB8EE6" w14:textId="77777777">
      <w:pPr>
        <w:widowControl w:val="0"/>
        <w:numPr>
          <w:ilvl w:val="0"/>
          <w:numId w:val="9"/>
        </w:numPr>
        <w:autoSpaceDE w:val="0"/>
        <w:autoSpaceDN w:val="0"/>
        <w:adjustRightInd w:val="0"/>
        <w:spacing w:after="0" w:line="240" w:lineRule="auto"/>
        <w:rPr>
          <w:rFonts w:cstheme="minorHAnsi"/>
        </w:rPr>
      </w:pPr>
      <w:r w:rsidRPr="00784B38">
        <w:rPr>
          <w:rFonts w:cstheme="minorHAnsi"/>
        </w:rPr>
        <w:t>A letter signed by the owner's or operator's chief financial officer and worded as specified in 40 CFR 261.151(e).</w:t>
      </w:r>
    </w:p>
    <w:p w:rsidR="00784B38" w:rsidRPr="00784B38" w:rsidP="006A7810" w14:paraId="46D5EC30" w14:textId="77777777">
      <w:pPr>
        <w:widowControl w:val="0"/>
        <w:numPr>
          <w:ilvl w:val="0"/>
          <w:numId w:val="9"/>
        </w:numPr>
        <w:autoSpaceDE w:val="0"/>
        <w:autoSpaceDN w:val="0"/>
        <w:adjustRightInd w:val="0"/>
        <w:spacing w:after="0" w:line="240" w:lineRule="auto"/>
        <w:rPr>
          <w:rFonts w:cstheme="minorHAnsi"/>
        </w:rPr>
      </w:pPr>
      <w:r w:rsidRPr="00784B38">
        <w:rPr>
          <w:rFonts w:cstheme="minorHAnsi"/>
        </w:rPr>
        <w:t>A copy of the independent certified public accountant's report on examination of the owner's or operator's financial statements for the latest completed fiscal year.</w:t>
      </w:r>
    </w:p>
    <w:p w:rsidR="00784B38" w:rsidRPr="00784B38" w:rsidP="006A7810" w14:paraId="17D2D72A" w14:textId="77777777">
      <w:pPr>
        <w:widowControl w:val="0"/>
        <w:numPr>
          <w:ilvl w:val="0"/>
          <w:numId w:val="9"/>
        </w:numPr>
        <w:autoSpaceDE w:val="0"/>
        <w:autoSpaceDN w:val="0"/>
        <w:adjustRightInd w:val="0"/>
        <w:spacing w:after="0" w:line="240" w:lineRule="auto"/>
        <w:rPr>
          <w:rFonts w:cstheme="minorHAnsi"/>
        </w:rPr>
      </w:pPr>
      <w:r w:rsidRPr="00784B38">
        <w:rPr>
          <w:rFonts w:cstheme="minorHAnsi"/>
        </w:rPr>
        <w:t>A special report from the owner’s or operator’s independent certified public accountant to the owner or operator, if required. The special report shall be based upon an agreed upon procedures engagement in accordance with professional auditing standards and shall describe the procedures performed in comparing the data in the chief financial officer’s letter derived from the independently audited, year-end financial statements for the latest fiscal year with the amounts in such financial statements, the findings of the comparison, and the reasons for any differences.</w:t>
      </w:r>
    </w:p>
    <w:p w:rsidR="00784B38" w:rsidRPr="00784B38" w:rsidP="006A7810" w14:paraId="0E95250D"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784B38">
        <w:rPr>
          <w:rFonts w:asciiTheme="minorHAnsi" w:hAnsiTheme="minorHAnsi" w:cstheme="minorHAnsi"/>
          <w:sz w:val="22"/>
          <w:szCs w:val="22"/>
        </w:rPr>
        <w:t>A letter as required under 40 CFR 261.143(e)(4) from the owner/</w:t>
      </w:r>
      <w:r w:rsidRPr="00784B38">
        <w:rPr>
          <w:rFonts w:asciiTheme="minorHAnsi" w:hAnsiTheme="minorHAnsi" w:cstheme="minorHAnsi"/>
          <w:sz w:val="22"/>
          <w:szCs w:val="22"/>
        </w:rPr>
        <w:t>operator’s</w:t>
      </w:r>
      <w:r w:rsidRPr="00784B38">
        <w:rPr>
          <w:rFonts w:asciiTheme="minorHAnsi" w:hAnsiTheme="minorHAnsi" w:cstheme="minorHAnsi"/>
          <w:sz w:val="22"/>
          <w:szCs w:val="22"/>
        </w:rPr>
        <w:t xml:space="preserve"> chief financial officer that:</w:t>
      </w:r>
    </w:p>
    <w:p w:rsidR="00784B38" w:rsidRPr="00784B38" w:rsidP="006A7810" w14:paraId="0ABB1F72" w14:textId="77777777">
      <w:pPr>
        <w:widowControl w:val="0"/>
        <w:numPr>
          <w:ilvl w:val="0"/>
          <w:numId w:val="9"/>
        </w:numPr>
        <w:autoSpaceDE w:val="0"/>
        <w:autoSpaceDN w:val="0"/>
        <w:adjustRightInd w:val="0"/>
        <w:spacing w:after="0" w:line="240" w:lineRule="auto"/>
        <w:rPr>
          <w:rFonts w:cstheme="minorHAnsi"/>
        </w:rPr>
      </w:pPr>
      <w:r w:rsidRPr="00784B38">
        <w:rPr>
          <w:rFonts w:cstheme="minorHAnsi"/>
        </w:rPr>
        <w:t xml:space="preserve">Requests the </w:t>
      </w:r>
      <w:r w:rsidRPr="00784B38">
        <w:rPr>
          <w:rFonts w:cstheme="minorHAnsi"/>
        </w:rPr>
        <w:t>extension;</w:t>
      </w:r>
    </w:p>
    <w:p w:rsidR="00784B38" w:rsidRPr="00784B38" w:rsidP="006A7810" w14:paraId="47B202F9" w14:textId="77777777">
      <w:pPr>
        <w:widowControl w:val="0"/>
        <w:numPr>
          <w:ilvl w:val="0"/>
          <w:numId w:val="9"/>
        </w:numPr>
        <w:autoSpaceDE w:val="0"/>
        <w:autoSpaceDN w:val="0"/>
        <w:adjustRightInd w:val="0"/>
        <w:spacing w:after="0" w:line="240" w:lineRule="auto"/>
        <w:rPr>
          <w:rFonts w:cstheme="minorHAnsi"/>
        </w:rPr>
      </w:pPr>
      <w:r w:rsidRPr="00784B38">
        <w:rPr>
          <w:rFonts w:cstheme="minorHAnsi"/>
        </w:rPr>
        <w:t xml:space="preserve">Certifies that he has grounds to believe that the owner or operator meets the criteria of the financial </w:t>
      </w:r>
      <w:r w:rsidRPr="00784B38">
        <w:rPr>
          <w:rFonts w:cstheme="minorHAnsi"/>
        </w:rPr>
        <w:t>test;</w:t>
      </w:r>
    </w:p>
    <w:p w:rsidR="00784B38" w:rsidRPr="00784B38" w:rsidP="006A7810" w14:paraId="1328EAE5" w14:textId="77777777">
      <w:pPr>
        <w:widowControl w:val="0"/>
        <w:numPr>
          <w:ilvl w:val="0"/>
          <w:numId w:val="9"/>
        </w:numPr>
        <w:autoSpaceDE w:val="0"/>
        <w:autoSpaceDN w:val="0"/>
        <w:adjustRightInd w:val="0"/>
        <w:spacing w:after="0" w:line="240" w:lineRule="auto"/>
        <w:rPr>
          <w:rFonts w:cstheme="minorHAnsi"/>
        </w:rPr>
      </w:pPr>
      <w:r w:rsidRPr="00784B38">
        <w:rPr>
          <w:rFonts w:cstheme="minorHAnsi"/>
        </w:rPr>
        <w:t xml:space="preserve">Specifies for each facility to be covered by the test the EPA Identification Number (if any issued), name, address, and current cost estimates to be covered by the </w:t>
      </w:r>
      <w:r w:rsidRPr="00784B38">
        <w:rPr>
          <w:rFonts w:cstheme="minorHAnsi"/>
        </w:rPr>
        <w:t>test;</w:t>
      </w:r>
    </w:p>
    <w:p w:rsidR="00784B38" w:rsidRPr="00784B38" w:rsidP="006A7810" w14:paraId="23C7FDE7" w14:textId="77777777">
      <w:pPr>
        <w:widowControl w:val="0"/>
        <w:numPr>
          <w:ilvl w:val="0"/>
          <w:numId w:val="9"/>
        </w:numPr>
        <w:autoSpaceDE w:val="0"/>
        <w:autoSpaceDN w:val="0"/>
        <w:adjustRightInd w:val="0"/>
        <w:spacing w:after="0" w:line="240" w:lineRule="auto"/>
        <w:rPr>
          <w:rFonts w:cstheme="minorHAnsi"/>
        </w:rPr>
      </w:pPr>
      <w:r w:rsidRPr="00784B38">
        <w:rPr>
          <w:rFonts w:cstheme="minorHAnsi"/>
        </w:rPr>
        <w:t xml:space="preserve">Specifies the date ending the owner's or operator's last complete fiscal year before the effective date of these </w:t>
      </w:r>
      <w:r w:rsidRPr="00784B38">
        <w:rPr>
          <w:rFonts w:cstheme="minorHAnsi"/>
        </w:rPr>
        <w:t>regulations;</w:t>
      </w:r>
    </w:p>
    <w:p w:rsidR="00784B38" w:rsidRPr="00784B38" w:rsidP="006A7810" w14:paraId="4A644EEC" w14:textId="77777777">
      <w:pPr>
        <w:widowControl w:val="0"/>
        <w:numPr>
          <w:ilvl w:val="0"/>
          <w:numId w:val="9"/>
        </w:numPr>
        <w:autoSpaceDE w:val="0"/>
        <w:autoSpaceDN w:val="0"/>
        <w:adjustRightInd w:val="0"/>
        <w:spacing w:after="0" w:line="240" w:lineRule="auto"/>
        <w:rPr>
          <w:rFonts w:cstheme="minorHAnsi"/>
        </w:rPr>
      </w:pPr>
      <w:r w:rsidRPr="00784B38">
        <w:rPr>
          <w:rFonts w:cstheme="minorHAnsi"/>
        </w:rPr>
        <w:t>Specifies the date, no later than 90 days after the end of such fiscal year, when he will submit the documents specified in paragraph (e)(3) of this section; and</w:t>
      </w:r>
    </w:p>
    <w:p w:rsidR="00784B38" w:rsidRPr="00784B38" w:rsidP="006A7810" w14:paraId="0534A2EF" w14:textId="77777777">
      <w:pPr>
        <w:widowControl w:val="0"/>
        <w:numPr>
          <w:ilvl w:val="0"/>
          <w:numId w:val="9"/>
        </w:numPr>
        <w:autoSpaceDE w:val="0"/>
        <w:autoSpaceDN w:val="0"/>
        <w:adjustRightInd w:val="0"/>
        <w:spacing w:after="0" w:line="240" w:lineRule="auto"/>
        <w:rPr>
          <w:rFonts w:cstheme="minorHAnsi"/>
        </w:rPr>
      </w:pPr>
      <w:r w:rsidRPr="00784B38">
        <w:rPr>
          <w:rFonts w:cstheme="minorHAnsi"/>
        </w:rPr>
        <w:t>Certifies that the year-end financial statements of the owner or operator for such fiscal year will be audited by an independent certified public accountant.</w:t>
      </w:r>
    </w:p>
    <w:p w:rsidR="00784B38" w:rsidRPr="00784B38" w:rsidP="006A7810" w14:paraId="4F5B4D37"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784B38">
        <w:rPr>
          <w:rFonts w:asciiTheme="minorHAnsi" w:hAnsiTheme="minorHAnsi" w:cstheme="minorHAnsi"/>
          <w:sz w:val="22"/>
          <w:szCs w:val="22"/>
        </w:rPr>
        <w:t xml:space="preserve">Annual update of information as required under 40 CFR 261.143(e)(5), after the initial submission of these items. </w:t>
      </w:r>
    </w:p>
    <w:p w:rsidR="00784B38" w:rsidRPr="00784B38" w:rsidP="006A7810" w14:paraId="7CAE1F21"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784B38">
        <w:rPr>
          <w:rFonts w:asciiTheme="minorHAnsi" w:hAnsiTheme="minorHAnsi" w:cstheme="minorHAnsi"/>
          <w:sz w:val="22"/>
          <w:szCs w:val="22"/>
        </w:rPr>
        <w:t xml:space="preserve">Notice as required under 40 CFR 261.143(e)(6) from the owner/operator to the Regional Administrator of intent to establish alternate financial assurance as specified in this section. </w:t>
      </w:r>
    </w:p>
    <w:p w:rsidR="00784B38" w:rsidRPr="00784B38" w:rsidP="006A7810" w14:paraId="3EED2143"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784B38">
        <w:rPr>
          <w:rFonts w:asciiTheme="minorHAnsi" w:hAnsiTheme="minorHAnsi" w:cstheme="minorHAnsi"/>
          <w:sz w:val="22"/>
          <w:szCs w:val="22"/>
        </w:rPr>
        <w:t>Reports as required under 40 CFR 261.143(e)(7) of financial condition from the owner or operator in addition to those specified in paragraph (e)(3) of this section, if requested by the Regional Administrator.</w:t>
      </w:r>
    </w:p>
    <w:p w:rsidR="00784B38" w:rsidRPr="00784B38" w:rsidP="006A7810" w14:paraId="2A21CCF3"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784B38">
        <w:rPr>
          <w:rFonts w:asciiTheme="minorHAnsi" w:hAnsiTheme="minorHAnsi" w:cstheme="minorHAnsi"/>
          <w:sz w:val="22"/>
          <w:szCs w:val="22"/>
        </w:rPr>
        <w:t>A guarantee whose wording is identical to the wording specified in 40 CFR 261.151(g)(1). A certified copy of the guarantee must accompany the items sent to the Regional Administrator. The terms of the guarantee must address the criteria specified in 40 CFR 261.143(e)(10)(</w:t>
      </w:r>
      <w:r w:rsidRPr="00784B38">
        <w:rPr>
          <w:rFonts w:asciiTheme="minorHAnsi" w:hAnsiTheme="minorHAnsi" w:cstheme="minorHAnsi"/>
          <w:sz w:val="22"/>
          <w:szCs w:val="22"/>
        </w:rPr>
        <w:t>i</w:t>
      </w:r>
      <w:r w:rsidRPr="00784B38">
        <w:rPr>
          <w:rFonts w:asciiTheme="minorHAnsi" w:hAnsiTheme="minorHAnsi" w:cstheme="minorHAnsi"/>
          <w:sz w:val="22"/>
          <w:szCs w:val="22"/>
        </w:rPr>
        <w:t>)-(iii).</w:t>
      </w:r>
    </w:p>
    <w:p w:rsidR="00784B38" w:rsidRPr="00784B38" w:rsidP="006A7810" w14:paraId="6DC0564C"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784B38">
        <w:rPr>
          <w:rFonts w:asciiTheme="minorHAnsi" w:hAnsiTheme="minorHAnsi" w:cstheme="minorHAnsi"/>
          <w:sz w:val="22"/>
          <w:szCs w:val="22"/>
        </w:rPr>
        <w:t xml:space="preserve">A letter under 40 CFR 261.143(e)(10) from the guarantor's chief financial officer.  If the guarantor's parent corporation is also the parent corporation of the owner or operator, the letter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  </w:t>
      </w:r>
    </w:p>
    <w:p w:rsidR="00290000" w:rsidRPr="00290000" w:rsidP="006A7810" w14:paraId="0B49930F" w14:textId="241251E5">
      <w:pPr>
        <w:pStyle w:val="BodyTextDSW"/>
        <w:keepNext/>
        <w:numPr>
          <w:ilvl w:val="0"/>
          <w:numId w:val="11"/>
        </w:numPr>
        <w:spacing w:before="240" w:after="240"/>
        <w:rPr>
          <w:rFonts w:asciiTheme="minorHAnsi" w:hAnsiTheme="minorHAnsi" w:cstheme="minorHAnsi"/>
          <w:b/>
          <w:bCs/>
          <w:sz w:val="22"/>
          <w:szCs w:val="22"/>
        </w:rPr>
      </w:pPr>
      <w:r w:rsidRPr="00290000">
        <w:rPr>
          <w:rFonts w:asciiTheme="minorHAnsi" w:hAnsiTheme="minorHAnsi" w:cstheme="minorHAnsi"/>
          <w:b/>
          <w:bCs/>
          <w:sz w:val="22"/>
          <w:szCs w:val="22"/>
        </w:rPr>
        <w:t>Receipt Confirmations</w:t>
      </w:r>
    </w:p>
    <w:p w:rsidR="00290000" w:rsidP="006A7810" w14:paraId="209B53DC" w14:textId="77777777">
      <w:pPr>
        <w:pStyle w:val="BodyTextDSW"/>
        <w:keepNext/>
        <w:numPr>
          <w:ilvl w:val="1"/>
          <w:numId w:val="8"/>
        </w:numPr>
        <w:rPr>
          <w:rFonts w:asciiTheme="minorHAnsi" w:hAnsiTheme="minorHAnsi" w:cstheme="minorHAnsi"/>
          <w:sz w:val="22"/>
          <w:szCs w:val="22"/>
        </w:rPr>
      </w:pPr>
      <w:r w:rsidRPr="00290000">
        <w:rPr>
          <w:rFonts w:asciiTheme="minorHAnsi" w:hAnsiTheme="minorHAnsi" w:cstheme="minorHAnsi"/>
          <w:sz w:val="22"/>
          <w:szCs w:val="22"/>
        </w:rPr>
        <w:t>Records of shipments and confirmation of receipts</w:t>
      </w:r>
    </w:p>
    <w:p w:rsidR="00290000" w:rsidRPr="00290000" w:rsidP="00290000" w14:paraId="1E2371EE" w14:textId="24D3F7B3">
      <w:pPr>
        <w:pStyle w:val="BodyTextDSW"/>
        <w:ind w:firstLine="0"/>
        <w:rPr>
          <w:rFonts w:asciiTheme="minorHAnsi" w:hAnsiTheme="minorHAnsi" w:cstheme="minorHAnsi"/>
          <w:b/>
          <w:sz w:val="22"/>
          <w:szCs w:val="22"/>
        </w:rPr>
      </w:pPr>
      <w:r>
        <w:rPr>
          <w:rFonts w:asciiTheme="minorHAnsi" w:hAnsiTheme="minorHAnsi" w:cstheme="minorHAnsi"/>
          <w:b/>
          <w:sz w:val="22"/>
          <w:szCs w:val="22"/>
        </w:rPr>
        <w:t xml:space="preserve">Requirement 2: </w:t>
      </w:r>
      <w:r w:rsidRPr="00290000">
        <w:rPr>
          <w:rFonts w:asciiTheme="minorHAnsi" w:hAnsiTheme="minorHAnsi" w:cstheme="minorHAnsi"/>
          <w:b/>
          <w:sz w:val="22"/>
          <w:szCs w:val="22"/>
        </w:rPr>
        <w:t>Hazardous Secondary Material Generated and Reclaimed under the Control of the Generator</w:t>
      </w:r>
    </w:p>
    <w:p w:rsidR="00290000" w:rsidRPr="00290000" w:rsidP="006A7810" w14:paraId="4F7A8C35" w14:textId="0A8E49B2">
      <w:pPr>
        <w:pStyle w:val="BodyTextDSW"/>
        <w:keepNext/>
        <w:numPr>
          <w:ilvl w:val="0"/>
          <w:numId w:val="12"/>
        </w:numPr>
        <w:spacing w:before="240" w:after="240"/>
        <w:rPr>
          <w:rFonts w:asciiTheme="minorHAnsi" w:hAnsiTheme="minorHAnsi" w:cstheme="minorHAnsi"/>
          <w:b/>
          <w:bCs/>
          <w:sz w:val="22"/>
          <w:szCs w:val="22"/>
        </w:rPr>
      </w:pPr>
      <w:r w:rsidRPr="00290000">
        <w:rPr>
          <w:rFonts w:asciiTheme="minorHAnsi" w:hAnsiTheme="minorHAnsi" w:cstheme="minorHAnsi"/>
          <w:b/>
          <w:bCs/>
          <w:sz w:val="22"/>
          <w:szCs w:val="22"/>
        </w:rPr>
        <w:t xml:space="preserve">Recordkeeping Requirement for Tolling Arrangements </w:t>
      </w:r>
    </w:p>
    <w:p w:rsidR="00290000" w:rsidRPr="00290000" w:rsidP="006A7810" w14:paraId="2B61BB66" w14:textId="77777777">
      <w:pPr>
        <w:pStyle w:val="BodyTextDSW"/>
        <w:numPr>
          <w:ilvl w:val="0"/>
          <w:numId w:val="10"/>
        </w:numPr>
        <w:rPr>
          <w:rFonts w:asciiTheme="minorHAnsi" w:hAnsiTheme="minorHAnsi" w:cstheme="minorHAnsi"/>
          <w:sz w:val="22"/>
          <w:szCs w:val="22"/>
        </w:rPr>
      </w:pPr>
      <w:r w:rsidRPr="00290000">
        <w:rPr>
          <w:rFonts w:asciiTheme="minorHAnsi" w:hAnsiTheme="minorHAnsi" w:cstheme="minorHAnsi"/>
          <w:sz w:val="22"/>
          <w:szCs w:val="22"/>
        </w:rPr>
        <w:t xml:space="preserve">Routine business records (e.g., financial records, bills of lading, copies of DOT shipping papers, or electronic confirmations) or new records that contain: </w:t>
      </w:r>
    </w:p>
    <w:p w:rsidR="00290000" w:rsidRPr="00290000" w:rsidP="006A7810" w14:paraId="5F5F1257" w14:textId="77777777">
      <w:pPr>
        <w:widowControl w:val="0"/>
        <w:numPr>
          <w:ilvl w:val="0"/>
          <w:numId w:val="9"/>
        </w:numPr>
        <w:autoSpaceDE w:val="0"/>
        <w:autoSpaceDN w:val="0"/>
        <w:adjustRightInd w:val="0"/>
        <w:spacing w:after="0" w:line="240" w:lineRule="auto"/>
        <w:rPr>
          <w:rFonts w:cstheme="minorHAnsi"/>
        </w:rPr>
      </w:pPr>
      <w:r w:rsidRPr="00290000">
        <w:rPr>
          <w:rFonts w:cstheme="minorHAnsi"/>
        </w:rPr>
        <w:t xml:space="preserve">The name of the </w:t>
      </w:r>
      <w:r w:rsidRPr="00290000">
        <w:rPr>
          <w:rFonts w:cstheme="minorHAnsi"/>
        </w:rPr>
        <w:t>transporter;</w:t>
      </w:r>
      <w:r w:rsidRPr="00290000">
        <w:rPr>
          <w:rFonts w:cstheme="minorHAnsi"/>
        </w:rPr>
        <w:t xml:space="preserve"> </w:t>
      </w:r>
    </w:p>
    <w:p w:rsidR="00290000" w:rsidRPr="00290000" w:rsidP="006A7810" w14:paraId="5D4F8F16" w14:textId="77777777">
      <w:pPr>
        <w:widowControl w:val="0"/>
        <w:numPr>
          <w:ilvl w:val="0"/>
          <w:numId w:val="9"/>
        </w:numPr>
        <w:autoSpaceDE w:val="0"/>
        <w:autoSpaceDN w:val="0"/>
        <w:adjustRightInd w:val="0"/>
        <w:spacing w:after="0" w:line="240" w:lineRule="auto"/>
        <w:rPr>
          <w:rFonts w:cstheme="minorHAnsi"/>
        </w:rPr>
      </w:pPr>
      <w:r w:rsidRPr="00290000">
        <w:rPr>
          <w:rFonts w:cstheme="minorHAnsi"/>
        </w:rPr>
        <w:t>The date of the shipment; and</w:t>
      </w:r>
    </w:p>
    <w:p w:rsidR="00290000" w:rsidRPr="00290000" w:rsidP="006A7810" w14:paraId="50312605" w14:textId="77777777">
      <w:pPr>
        <w:widowControl w:val="0"/>
        <w:numPr>
          <w:ilvl w:val="0"/>
          <w:numId w:val="9"/>
        </w:numPr>
        <w:autoSpaceDE w:val="0"/>
        <w:autoSpaceDN w:val="0"/>
        <w:adjustRightInd w:val="0"/>
        <w:spacing w:after="0" w:line="240" w:lineRule="auto"/>
        <w:rPr>
          <w:rFonts w:cstheme="minorHAnsi"/>
        </w:rPr>
      </w:pPr>
      <w:r w:rsidRPr="00290000">
        <w:rPr>
          <w:rFonts w:cstheme="minorHAnsi"/>
        </w:rPr>
        <w:t>The type and quantity of the hazardous secondary material shipped or received pursuant to the written contract.</w:t>
      </w:r>
    </w:p>
    <w:p w:rsidR="00290000" w:rsidRPr="00290000" w:rsidP="006A7810" w14:paraId="4224047C" w14:textId="7E65980E">
      <w:pPr>
        <w:pStyle w:val="BodyTextDSW"/>
        <w:keepNext/>
        <w:numPr>
          <w:ilvl w:val="0"/>
          <w:numId w:val="12"/>
        </w:numPr>
        <w:spacing w:before="240" w:after="240"/>
        <w:rPr>
          <w:rFonts w:asciiTheme="minorHAnsi" w:hAnsiTheme="minorHAnsi" w:cstheme="minorHAnsi"/>
          <w:b/>
          <w:bCs/>
          <w:sz w:val="22"/>
          <w:szCs w:val="22"/>
        </w:rPr>
      </w:pPr>
      <w:r w:rsidRPr="00290000">
        <w:rPr>
          <w:rFonts w:asciiTheme="minorHAnsi" w:hAnsiTheme="minorHAnsi" w:cstheme="minorHAnsi"/>
          <w:b/>
          <w:bCs/>
          <w:sz w:val="22"/>
          <w:szCs w:val="22"/>
        </w:rPr>
        <w:t>Emergency Preparedness and Response</w:t>
      </w:r>
    </w:p>
    <w:p w:rsidR="00290000" w:rsidRPr="00290000" w:rsidP="006A7810" w14:paraId="7ACCE308" w14:textId="77777777">
      <w:pPr>
        <w:pStyle w:val="BodyTextDSW"/>
        <w:numPr>
          <w:ilvl w:val="0"/>
          <w:numId w:val="10"/>
        </w:numPr>
        <w:rPr>
          <w:rFonts w:asciiTheme="minorHAnsi" w:hAnsiTheme="minorHAnsi" w:cstheme="minorHAnsi"/>
          <w:sz w:val="22"/>
          <w:szCs w:val="22"/>
        </w:rPr>
      </w:pPr>
      <w:r w:rsidRPr="00290000">
        <w:rPr>
          <w:rFonts w:asciiTheme="minorHAnsi" w:hAnsiTheme="minorHAnsi" w:cstheme="minorHAnsi"/>
          <w:sz w:val="22"/>
          <w:szCs w:val="22"/>
        </w:rPr>
        <w:t>Personnel training records should include job titles for each position and the name of each person filling each job, a written job description and necessary qualifications for each position, and the training given to the individual filling that position</w:t>
      </w:r>
    </w:p>
    <w:p w:rsidR="00290000" w:rsidRPr="00290000" w:rsidP="006A7810" w14:paraId="212EAFE1" w14:textId="77777777">
      <w:pPr>
        <w:pStyle w:val="BodyTextDSW"/>
        <w:numPr>
          <w:ilvl w:val="0"/>
          <w:numId w:val="10"/>
        </w:numPr>
        <w:rPr>
          <w:rFonts w:asciiTheme="minorHAnsi" w:hAnsiTheme="minorHAnsi" w:cstheme="minorHAnsi"/>
          <w:sz w:val="22"/>
          <w:szCs w:val="22"/>
        </w:rPr>
      </w:pPr>
      <w:r w:rsidRPr="00290000">
        <w:rPr>
          <w:rFonts w:asciiTheme="minorHAnsi" w:hAnsiTheme="minorHAnsi" w:cstheme="minorHAnsi"/>
          <w:sz w:val="22"/>
          <w:szCs w:val="22"/>
        </w:rPr>
        <w:t>Contingency plans should include a description of response actions, a description of the arrangements agreed to by local police authorities, contact lists for emergency coordinators, a list of emergency equipment, and an evacuation plan for the facility personnel</w:t>
      </w:r>
    </w:p>
    <w:p w:rsidR="00290000" w:rsidRPr="00290000" w:rsidP="006A7810" w14:paraId="171E1BE3" w14:textId="77777777">
      <w:pPr>
        <w:pStyle w:val="BodyTextDSW"/>
        <w:numPr>
          <w:ilvl w:val="0"/>
          <w:numId w:val="10"/>
        </w:numPr>
        <w:rPr>
          <w:rFonts w:asciiTheme="minorHAnsi" w:hAnsiTheme="minorHAnsi" w:cstheme="minorHAnsi"/>
          <w:sz w:val="22"/>
          <w:szCs w:val="22"/>
        </w:rPr>
      </w:pPr>
      <w:r w:rsidRPr="00290000">
        <w:rPr>
          <w:rFonts w:asciiTheme="minorHAnsi" w:hAnsiTheme="minorHAnsi" w:cstheme="minorHAnsi"/>
          <w:sz w:val="22"/>
          <w:szCs w:val="22"/>
        </w:rPr>
        <w:t>Documentation of whether State or local authorities decline to enter into agreement to become more familiar with the generator’s facility and its waste</w:t>
      </w:r>
    </w:p>
    <w:p w:rsidR="00290000" w:rsidRPr="00290000" w:rsidP="006A7810" w14:paraId="7920A270" w14:textId="77777777">
      <w:pPr>
        <w:pStyle w:val="BodyTextDSW"/>
        <w:numPr>
          <w:ilvl w:val="0"/>
          <w:numId w:val="10"/>
        </w:numPr>
        <w:rPr>
          <w:rFonts w:asciiTheme="minorHAnsi" w:hAnsiTheme="minorHAnsi" w:cstheme="minorHAnsi"/>
          <w:sz w:val="22"/>
          <w:szCs w:val="22"/>
        </w:rPr>
      </w:pPr>
      <w:r w:rsidRPr="00290000">
        <w:rPr>
          <w:rFonts w:asciiTheme="minorHAnsi" w:hAnsiTheme="minorHAnsi" w:cstheme="minorHAnsi"/>
          <w:sz w:val="22"/>
          <w:szCs w:val="22"/>
        </w:rPr>
        <w:t xml:space="preserve">Notification to fire department of imminent or actual </w:t>
      </w:r>
      <w:r w:rsidRPr="00290000">
        <w:rPr>
          <w:rFonts w:asciiTheme="minorHAnsi" w:hAnsiTheme="minorHAnsi" w:cstheme="minorHAnsi"/>
          <w:sz w:val="22"/>
          <w:szCs w:val="22"/>
        </w:rPr>
        <w:t>emergency situation</w:t>
      </w:r>
    </w:p>
    <w:p w:rsidR="00290000" w:rsidRPr="00290000" w:rsidP="006A7810" w14:paraId="74048DC2" w14:textId="77777777">
      <w:pPr>
        <w:pStyle w:val="BodyTextDSW"/>
        <w:numPr>
          <w:ilvl w:val="0"/>
          <w:numId w:val="10"/>
        </w:numPr>
        <w:rPr>
          <w:rFonts w:asciiTheme="minorHAnsi" w:hAnsiTheme="minorHAnsi" w:cstheme="minorHAnsi"/>
          <w:sz w:val="22"/>
          <w:szCs w:val="22"/>
        </w:rPr>
      </w:pPr>
      <w:r w:rsidRPr="00290000">
        <w:rPr>
          <w:rFonts w:asciiTheme="minorHAnsi" w:hAnsiTheme="minorHAnsi" w:cstheme="minorHAnsi"/>
          <w:sz w:val="22"/>
          <w:szCs w:val="22"/>
        </w:rPr>
        <w:t>Emergency report to the OSC or NRC, including:</w:t>
      </w:r>
    </w:p>
    <w:p w:rsidR="00290000" w:rsidRPr="00290000" w:rsidP="006A7810" w14:paraId="6DBF3B0B" w14:textId="77777777">
      <w:pPr>
        <w:widowControl w:val="0"/>
        <w:numPr>
          <w:ilvl w:val="0"/>
          <w:numId w:val="9"/>
        </w:numPr>
        <w:autoSpaceDE w:val="0"/>
        <w:autoSpaceDN w:val="0"/>
        <w:adjustRightInd w:val="0"/>
        <w:spacing w:after="0" w:line="240" w:lineRule="auto"/>
        <w:rPr>
          <w:rFonts w:cstheme="minorHAnsi"/>
        </w:rPr>
      </w:pPr>
      <w:r w:rsidRPr="00290000">
        <w:rPr>
          <w:rFonts w:cstheme="minorHAnsi"/>
        </w:rPr>
        <w:t xml:space="preserve">Name and telephone number of </w:t>
      </w:r>
      <w:r w:rsidRPr="00290000">
        <w:rPr>
          <w:rFonts w:cstheme="minorHAnsi"/>
        </w:rPr>
        <w:t>reporter;</w:t>
      </w:r>
    </w:p>
    <w:p w:rsidR="00290000" w:rsidRPr="00290000" w:rsidP="006A7810" w14:paraId="5C4900AB" w14:textId="77777777">
      <w:pPr>
        <w:widowControl w:val="0"/>
        <w:numPr>
          <w:ilvl w:val="0"/>
          <w:numId w:val="9"/>
        </w:numPr>
        <w:autoSpaceDE w:val="0"/>
        <w:autoSpaceDN w:val="0"/>
        <w:adjustRightInd w:val="0"/>
        <w:spacing w:after="0" w:line="240" w:lineRule="auto"/>
        <w:rPr>
          <w:rFonts w:cstheme="minorHAnsi"/>
        </w:rPr>
      </w:pPr>
      <w:r w:rsidRPr="00290000">
        <w:rPr>
          <w:rFonts w:cstheme="minorHAnsi"/>
        </w:rPr>
        <w:t xml:space="preserve">Name and address of </w:t>
      </w:r>
      <w:r w:rsidRPr="00290000">
        <w:rPr>
          <w:rFonts w:cstheme="minorHAnsi"/>
        </w:rPr>
        <w:t>facility;</w:t>
      </w:r>
    </w:p>
    <w:p w:rsidR="00290000" w:rsidRPr="00290000" w:rsidP="006A7810" w14:paraId="77AB7AB5" w14:textId="77777777">
      <w:pPr>
        <w:widowControl w:val="0"/>
        <w:numPr>
          <w:ilvl w:val="0"/>
          <w:numId w:val="9"/>
        </w:numPr>
        <w:autoSpaceDE w:val="0"/>
        <w:autoSpaceDN w:val="0"/>
        <w:adjustRightInd w:val="0"/>
        <w:spacing w:after="0" w:line="240" w:lineRule="auto"/>
        <w:rPr>
          <w:rFonts w:cstheme="minorHAnsi"/>
        </w:rPr>
      </w:pPr>
      <w:r w:rsidRPr="00290000">
        <w:rPr>
          <w:rFonts w:cstheme="minorHAnsi"/>
        </w:rPr>
        <w:t xml:space="preserve">Time and type of </w:t>
      </w:r>
      <w:r w:rsidRPr="00290000">
        <w:rPr>
          <w:rFonts w:cstheme="minorHAnsi"/>
        </w:rPr>
        <w:t>incident;</w:t>
      </w:r>
    </w:p>
    <w:p w:rsidR="00290000" w:rsidRPr="00290000" w:rsidP="006A7810" w14:paraId="088F62C0" w14:textId="77777777">
      <w:pPr>
        <w:widowControl w:val="0"/>
        <w:numPr>
          <w:ilvl w:val="0"/>
          <w:numId w:val="9"/>
        </w:numPr>
        <w:autoSpaceDE w:val="0"/>
        <w:autoSpaceDN w:val="0"/>
        <w:adjustRightInd w:val="0"/>
        <w:spacing w:after="0" w:line="240" w:lineRule="auto"/>
        <w:rPr>
          <w:rFonts w:cstheme="minorHAnsi"/>
        </w:rPr>
      </w:pPr>
      <w:r w:rsidRPr="00290000">
        <w:rPr>
          <w:rFonts w:cstheme="minorHAnsi"/>
        </w:rPr>
        <w:t xml:space="preserve">Name and quantity of material(s) </w:t>
      </w:r>
      <w:r w:rsidRPr="00290000">
        <w:rPr>
          <w:rFonts w:cstheme="minorHAnsi"/>
        </w:rPr>
        <w:t>involved;</w:t>
      </w:r>
    </w:p>
    <w:p w:rsidR="00290000" w:rsidRPr="00290000" w:rsidP="006A7810" w14:paraId="7FCC0FED" w14:textId="77777777">
      <w:pPr>
        <w:widowControl w:val="0"/>
        <w:numPr>
          <w:ilvl w:val="0"/>
          <w:numId w:val="9"/>
        </w:numPr>
        <w:autoSpaceDE w:val="0"/>
        <w:autoSpaceDN w:val="0"/>
        <w:adjustRightInd w:val="0"/>
        <w:spacing w:after="0" w:line="240" w:lineRule="auto"/>
        <w:rPr>
          <w:rFonts w:cstheme="minorHAnsi"/>
        </w:rPr>
      </w:pPr>
      <w:r w:rsidRPr="00290000">
        <w:rPr>
          <w:rFonts w:cstheme="minorHAnsi"/>
        </w:rPr>
        <w:t>The extent of injuries; and</w:t>
      </w:r>
    </w:p>
    <w:p w:rsidR="00290000" w:rsidRPr="00290000" w:rsidP="006A7810" w14:paraId="528BEF6F" w14:textId="77777777">
      <w:pPr>
        <w:widowControl w:val="0"/>
        <w:numPr>
          <w:ilvl w:val="0"/>
          <w:numId w:val="9"/>
        </w:numPr>
        <w:autoSpaceDE w:val="0"/>
        <w:autoSpaceDN w:val="0"/>
        <w:adjustRightInd w:val="0"/>
        <w:spacing w:after="0" w:line="240" w:lineRule="auto"/>
        <w:rPr>
          <w:rFonts w:cstheme="minorHAnsi"/>
        </w:rPr>
      </w:pPr>
      <w:r w:rsidRPr="00290000">
        <w:rPr>
          <w:rFonts w:cstheme="minorHAnsi"/>
        </w:rPr>
        <w:t>Possible hazards to human health or the environment outside the facility</w:t>
      </w:r>
    </w:p>
    <w:p w:rsidR="00AF709A" w:rsidRPr="00AF709A" w:rsidP="006A7810" w14:paraId="17A14B74" w14:textId="038E2F34">
      <w:pPr>
        <w:pStyle w:val="BodyTextDSW"/>
        <w:keepNext/>
        <w:numPr>
          <w:ilvl w:val="0"/>
          <w:numId w:val="12"/>
        </w:numPr>
        <w:spacing w:before="240" w:after="240"/>
        <w:rPr>
          <w:rFonts w:asciiTheme="minorHAnsi" w:hAnsiTheme="minorHAnsi" w:cstheme="minorHAnsi"/>
          <w:b/>
          <w:bCs/>
          <w:sz w:val="22"/>
          <w:szCs w:val="22"/>
        </w:rPr>
      </w:pPr>
      <w:r w:rsidRPr="00AF709A">
        <w:rPr>
          <w:rFonts w:asciiTheme="minorHAnsi" w:hAnsiTheme="minorHAnsi" w:cstheme="minorHAnsi"/>
          <w:b/>
          <w:bCs/>
          <w:sz w:val="22"/>
          <w:szCs w:val="22"/>
        </w:rPr>
        <w:t>Certifications</w:t>
      </w:r>
    </w:p>
    <w:p w:rsidR="00AF709A" w:rsidRPr="00AF709A" w:rsidP="006A7810" w14:paraId="21D85225" w14:textId="77777777">
      <w:pPr>
        <w:pStyle w:val="BodyTextDSW"/>
        <w:numPr>
          <w:ilvl w:val="0"/>
          <w:numId w:val="10"/>
        </w:numPr>
        <w:rPr>
          <w:rFonts w:asciiTheme="minorHAnsi" w:hAnsiTheme="minorHAnsi" w:cstheme="minorHAnsi"/>
          <w:sz w:val="22"/>
          <w:szCs w:val="22"/>
        </w:rPr>
      </w:pPr>
      <w:r w:rsidRPr="00AF709A">
        <w:rPr>
          <w:rFonts w:asciiTheme="minorHAnsi" w:hAnsiTheme="minorHAnsi" w:cstheme="minorHAnsi"/>
          <w:sz w:val="22"/>
          <w:szCs w:val="22"/>
        </w:rPr>
        <w:t>For generators generating and reclaiming within the same company, a certification from the generator stating one of the following:</w:t>
      </w:r>
    </w:p>
    <w:p w:rsidR="00AF709A" w:rsidRPr="00AF709A" w:rsidP="006A7810" w14:paraId="02D42758" w14:textId="77777777">
      <w:pPr>
        <w:numPr>
          <w:ilvl w:val="0"/>
          <w:numId w:val="9"/>
        </w:numPr>
        <w:autoSpaceDE w:val="0"/>
        <w:autoSpaceDN w:val="0"/>
        <w:adjustRightInd w:val="0"/>
        <w:spacing w:after="120" w:line="240" w:lineRule="auto"/>
        <w:rPr>
          <w:rFonts w:cstheme="minorHAnsi"/>
        </w:rPr>
      </w:pPr>
      <w:r w:rsidRPr="00AF709A">
        <w:rPr>
          <w:rFonts w:cstheme="minorHAnsi"/>
        </w:rPr>
        <w:t xml:space="preserve">“On behalf of [insert generator facility name], I certify that this facility will send the indicated hazardous secondary material to [insert reclaimer facility name], which is controlled by [insert generator facility name] and that [insert the name of either facility] has acknowledged full responsibility for the safe management of the hazardous secondary material;” or </w:t>
      </w:r>
    </w:p>
    <w:p w:rsidR="00AF709A" w:rsidRPr="00AF709A" w:rsidP="006A7810" w14:paraId="1FF5FC8A" w14:textId="77777777">
      <w:pPr>
        <w:widowControl w:val="0"/>
        <w:numPr>
          <w:ilvl w:val="0"/>
          <w:numId w:val="9"/>
        </w:numPr>
        <w:autoSpaceDE w:val="0"/>
        <w:autoSpaceDN w:val="0"/>
        <w:adjustRightInd w:val="0"/>
        <w:spacing w:after="120" w:line="240" w:lineRule="auto"/>
        <w:rPr>
          <w:rFonts w:cstheme="minorHAnsi"/>
        </w:rPr>
      </w:pPr>
      <w:r w:rsidRPr="00AF709A">
        <w:rPr>
          <w:rFonts w:cstheme="minorHAnsi"/>
        </w:rPr>
        <w:t xml:space="preserve">“On behalf of [insert generator facility name], I certify that this facility will send the indicated hazardous secondary material to [insert reclaimer facility name], that both facilities are under common control, and that [insert name of either facility] has acknowledged full responsibility for the safe management of the hazardous secondary material.” </w:t>
      </w:r>
    </w:p>
    <w:p w:rsidR="00AF709A" w:rsidRPr="00AF709A" w:rsidP="006A7810" w14:paraId="3AE5FBFF" w14:textId="77777777">
      <w:pPr>
        <w:pStyle w:val="BodyTextDSW"/>
        <w:numPr>
          <w:ilvl w:val="0"/>
          <w:numId w:val="10"/>
        </w:numPr>
        <w:rPr>
          <w:rFonts w:asciiTheme="minorHAnsi" w:hAnsiTheme="minorHAnsi" w:cstheme="minorHAnsi"/>
          <w:sz w:val="22"/>
          <w:szCs w:val="22"/>
        </w:rPr>
      </w:pPr>
      <w:r w:rsidRPr="00AF709A">
        <w:rPr>
          <w:rFonts w:asciiTheme="minorHAnsi" w:hAnsiTheme="minorHAnsi" w:cstheme="minorHAnsi"/>
          <w:sz w:val="22"/>
          <w:szCs w:val="22"/>
        </w:rPr>
        <w:t xml:space="preserve">For generators generating and reclaiming under a tolling arrangement, a certification from the tolling contractor stating the following: “On behalf of [insert tolling contractor name], I certify that [insert tolling contractor name] has a written contract with [insert toll manufacturer name] to manufacture [insert name of product or intermediate] which is made from specified unused materials, and that [insert tolling contractor name] will reclaim the hazardous secondary materials generated during this manufacture. On behalf of [insert tolling contractor name], I also certify that [insert tolling contractor name] retains ownership of, and responsibility for, the hazardous secondary materials that are generated </w:t>
      </w:r>
      <w:r w:rsidRPr="00AF709A">
        <w:rPr>
          <w:rFonts w:asciiTheme="minorHAnsi" w:hAnsiTheme="minorHAnsi" w:cstheme="minorHAnsi"/>
          <w:sz w:val="22"/>
          <w:szCs w:val="22"/>
        </w:rPr>
        <w:t>during the course of</w:t>
      </w:r>
      <w:r w:rsidRPr="00AF709A">
        <w:rPr>
          <w:rFonts w:asciiTheme="minorHAnsi" w:hAnsiTheme="minorHAnsi" w:cstheme="minorHAnsi"/>
          <w:sz w:val="22"/>
          <w:szCs w:val="22"/>
        </w:rPr>
        <w:t xml:space="preserve"> the manufacture, including any releases of hazardous secondary materials that occur during the manufacturing process.”  </w:t>
      </w:r>
    </w:p>
    <w:p w:rsidR="00AF709A" w:rsidRPr="00AF709A" w:rsidP="00AF709A" w14:paraId="4E2BE885" w14:textId="376B3B77">
      <w:pPr>
        <w:pStyle w:val="BodyTextDSW"/>
        <w:ind w:firstLine="0"/>
        <w:rPr>
          <w:rFonts w:asciiTheme="minorHAnsi" w:hAnsiTheme="minorHAnsi" w:cstheme="minorHAnsi"/>
          <w:b/>
          <w:sz w:val="22"/>
          <w:szCs w:val="22"/>
        </w:rPr>
      </w:pPr>
      <w:r>
        <w:rPr>
          <w:rFonts w:asciiTheme="minorHAnsi" w:hAnsiTheme="minorHAnsi" w:cstheme="minorHAnsi"/>
          <w:b/>
          <w:sz w:val="22"/>
          <w:szCs w:val="22"/>
        </w:rPr>
        <w:t xml:space="preserve">Requirement 3: </w:t>
      </w:r>
      <w:r w:rsidRPr="00AF709A">
        <w:rPr>
          <w:rFonts w:asciiTheme="minorHAnsi" w:hAnsiTheme="minorHAnsi" w:cstheme="minorHAnsi"/>
          <w:b/>
          <w:sz w:val="22"/>
          <w:szCs w:val="22"/>
        </w:rPr>
        <w:t>Solid Waste Variances and Non-Waste Determinations</w:t>
      </w:r>
    </w:p>
    <w:p w:rsidR="00AF709A" w:rsidRPr="00AF709A" w:rsidP="006A7810" w14:paraId="058419E6" w14:textId="75C2784D">
      <w:pPr>
        <w:pStyle w:val="BodyTextDSW"/>
        <w:keepNext/>
        <w:numPr>
          <w:ilvl w:val="0"/>
          <w:numId w:val="13"/>
        </w:numPr>
        <w:spacing w:before="240" w:after="240"/>
        <w:rPr>
          <w:rFonts w:asciiTheme="minorHAnsi" w:hAnsiTheme="minorHAnsi" w:cstheme="minorHAnsi"/>
          <w:b/>
          <w:bCs/>
          <w:sz w:val="22"/>
          <w:szCs w:val="22"/>
        </w:rPr>
      </w:pPr>
      <w:r w:rsidRPr="00AF709A">
        <w:rPr>
          <w:rFonts w:asciiTheme="minorHAnsi" w:hAnsiTheme="minorHAnsi" w:cstheme="minorHAnsi"/>
          <w:b/>
          <w:bCs/>
          <w:sz w:val="22"/>
          <w:szCs w:val="22"/>
        </w:rPr>
        <w:t>Variances from Classification as a Solid Waste</w:t>
      </w:r>
    </w:p>
    <w:p w:rsidR="00AF709A" w:rsidRPr="00AF709A" w:rsidP="00AF709A" w14:paraId="000C8A12" w14:textId="0260660C">
      <w:pPr>
        <w:pStyle w:val="BodyTextDSW"/>
        <w:rPr>
          <w:rFonts w:asciiTheme="minorHAnsi" w:hAnsiTheme="minorHAnsi" w:cstheme="minorHAnsi"/>
          <w:sz w:val="22"/>
          <w:szCs w:val="22"/>
        </w:rPr>
      </w:pPr>
      <w:r w:rsidRPr="00AF709A">
        <w:rPr>
          <w:rFonts w:asciiTheme="minorHAnsi" w:hAnsiTheme="minorHAnsi" w:cstheme="minorHAnsi"/>
          <w:sz w:val="22"/>
          <w:szCs w:val="22"/>
        </w:rPr>
        <w:t xml:space="preserve">Under current 40 CFR 260.31, the Regional Administrator may grant a request for a variance from classification of a solid waste for (1) materials that are accumulated speculatively if sufficient amounts of the material will be recycled or transferred for recycling in the following year (§ 260.31(a)); (2) for materials that are reclaimed and then reused as feedstock within the original production process (§ 260.31(b)); and (3) for materials that have been reclaimed but must be reclaimed further if the resulting partially-reclaiming material is commodity-like (“partial reclamation variance”) (§ 260.31(c)). </w:t>
      </w:r>
    </w:p>
    <w:p w:rsidR="00AF709A" w:rsidRPr="00AF709A" w:rsidP="006A7810" w14:paraId="7C1986BD"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AF709A">
        <w:rPr>
          <w:rFonts w:asciiTheme="minorHAnsi" w:hAnsiTheme="minorHAnsi" w:cstheme="minorHAnsi"/>
          <w:sz w:val="22"/>
          <w:szCs w:val="22"/>
        </w:rPr>
        <w:t>Application under section 260.31(c) for partial reclamation variance:</w:t>
      </w:r>
    </w:p>
    <w:p w:rsidR="00AF709A" w:rsidRPr="00AF709A" w:rsidP="006A7810" w14:paraId="7A52F552" w14:textId="77777777">
      <w:pPr>
        <w:widowControl w:val="0"/>
        <w:numPr>
          <w:ilvl w:val="0"/>
          <w:numId w:val="9"/>
        </w:numPr>
        <w:autoSpaceDE w:val="0"/>
        <w:autoSpaceDN w:val="0"/>
        <w:adjustRightInd w:val="0"/>
        <w:spacing w:after="0" w:line="240" w:lineRule="auto"/>
        <w:rPr>
          <w:rFonts w:cstheme="minorHAnsi"/>
        </w:rPr>
      </w:pPr>
      <w:r w:rsidRPr="00AF709A">
        <w:rPr>
          <w:rFonts w:cstheme="minorHAnsi"/>
        </w:rPr>
        <w:t xml:space="preserve">Whether the degree of partial reclamation the material has undergone is </w:t>
      </w:r>
      <w:r w:rsidRPr="00AF709A">
        <w:rPr>
          <w:rFonts w:cstheme="minorHAnsi"/>
        </w:rPr>
        <w:t xml:space="preserve">substantial as demonstrated by using a partial reclamation process other than the process that generated </w:t>
      </w:r>
      <w:r w:rsidRPr="00AF709A">
        <w:rPr>
          <w:rFonts w:cstheme="minorHAnsi"/>
        </w:rPr>
        <w:t>the hazardous</w:t>
      </w:r>
      <w:r w:rsidRPr="00AF709A">
        <w:rPr>
          <w:rFonts w:cstheme="minorHAnsi"/>
        </w:rPr>
        <w:t xml:space="preserve"> </w:t>
      </w:r>
      <w:r w:rsidRPr="00AF709A">
        <w:rPr>
          <w:rFonts w:cstheme="minorHAnsi"/>
        </w:rPr>
        <w:t>waste;</w:t>
      </w:r>
    </w:p>
    <w:p w:rsidR="00AF709A" w:rsidRPr="00AF709A" w:rsidP="006A7810" w14:paraId="5B9A5195" w14:textId="77777777">
      <w:pPr>
        <w:widowControl w:val="0"/>
        <w:numPr>
          <w:ilvl w:val="0"/>
          <w:numId w:val="9"/>
        </w:numPr>
        <w:autoSpaceDE w:val="0"/>
        <w:autoSpaceDN w:val="0"/>
        <w:adjustRightInd w:val="0"/>
        <w:spacing w:after="0" w:line="240" w:lineRule="auto"/>
        <w:rPr>
          <w:rFonts w:cstheme="minorHAnsi"/>
        </w:rPr>
      </w:pPr>
      <w:r w:rsidRPr="00AF709A">
        <w:rPr>
          <w:rFonts w:cstheme="minorHAnsi"/>
        </w:rPr>
        <w:t xml:space="preserve">Whether the </w:t>
      </w:r>
      <w:r w:rsidRPr="00AF709A">
        <w:rPr>
          <w:rFonts w:cstheme="minorHAnsi"/>
        </w:rPr>
        <w:t>partially-reclaimed</w:t>
      </w:r>
      <w:r w:rsidRPr="00AF709A">
        <w:rPr>
          <w:rFonts w:cstheme="minorHAnsi"/>
        </w:rPr>
        <w:t xml:space="preserve"> material has sufficient economic value that it will be purchased for further </w:t>
      </w:r>
      <w:r w:rsidRPr="00AF709A">
        <w:rPr>
          <w:rFonts w:cstheme="minorHAnsi"/>
        </w:rPr>
        <w:t>reclamation;</w:t>
      </w:r>
    </w:p>
    <w:p w:rsidR="00AF709A" w:rsidRPr="00AF709A" w:rsidP="006A7810" w14:paraId="4A38B8A4" w14:textId="77777777">
      <w:pPr>
        <w:widowControl w:val="0"/>
        <w:numPr>
          <w:ilvl w:val="0"/>
          <w:numId w:val="9"/>
        </w:numPr>
        <w:autoSpaceDE w:val="0"/>
        <w:autoSpaceDN w:val="0"/>
        <w:adjustRightInd w:val="0"/>
        <w:spacing w:after="0" w:line="240" w:lineRule="auto"/>
        <w:rPr>
          <w:rFonts w:cstheme="minorHAnsi"/>
        </w:rPr>
      </w:pPr>
      <w:r w:rsidRPr="00AF709A">
        <w:rPr>
          <w:rFonts w:cstheme="minorHAnsi"/>
        </w:rPr>
        <w:t xml:space="preserve">Whether the </w:t>
      </w:r>
      <w:r w:rsidRPr="00AF709A">
        <w:rPr>
          <w:rFonts w:cstheme="minorHAnsi"/>
        </w:rPr>
        <w:t>partially-reclaimed</w:t>
      </w:r>
      <w:r w:rsidRPr="00AF709A">
        <w:rPr>
          <w:rFonts w:cstheme="minorHAnsi"/>
        </w:rPr>
        <w:t xml:space="preserve"> material is a viable substitute for a product or intermediate, produced from virgin or raw materials, which is used in subsequent production </w:t>
      </w:r>
      <w:r w:rsidRPr="00AF709A">
        <w:rPr>
          <w:rFonts w:cstheme="minorHAnsi"/>
        </w:rPr>
        <w:t>steps;</w:t>
      </w:r>
    </w:p>
    <w:p w:rsidR="00AF709A" w:rsidRPr="00AF709A" w:rsidP="006A7810" w14:paraId="7D103A8D" w14:textId="77777777">
      <w:pPr>
        <w:widowControl w:val="0"/>
        <w:numPr>
          <w:ilvl w:val="0"/>
          <w:numId w:val="9"/>
        </w:numPr>
        <w:autoSpaceDE w:val="0"/>
        <w:autoSpaceDN w:val="0"/>
        <w:adjustRightInd w:val="0"/>
        <w:spacing w:after="0" w:line="240" w:lineRule="auto"/>
        <w:rPr>
          <w:rFonts w:cstheme="minorHAnsi"/>
        </w:rPr>
      </w:pPr>
      <w:r w:rsidRPr="00AF709A">
        <w:rPr>
          <w:rFonts w:cstheme="minorHAnsi"/>
        </w:rPr>
        <w:t xml:space="preserve">Whether there is a market for the </w:t>
      </w:r>
      <w:r w:rsidRPr="00AF709A">
        <w:rPr>
          <w:rFonts w:cstheme="minorHAnsi"/>
        </w:rPr>
        <w:t>partially-reclaimed</w:t>
      </w:r>
      <w:r w:rsidRPr="00AF709A">
        <w:rPr>
          <w:rFonts w:cstheme="minorHAnsi"/>
        </w:rPr>
        <w:t xml:space="preserve"> material as demonstrated by known </w:t>
      </w:r>
      <w:r w:rsidRPr="00AF709A">
        <w:rPr>
          <w:rFonts w:cstheme="minorHAnsi"/>
        </w:rPr>
        <w:t>customer</w:t>
      </w:r>
      <w:r w:rsidRPr="00AF709A">
        <w:rPr>
          <w:rFonts w:cstheme="minorHAnsi"/>
        </w:rPr>
        <w:t>(s) who are further reclaiming the material (e.g., records of sales and/or contracts and evidence of subsequent use, such as bills of lading); and</w:t>
      </w:r>
    </w:p>
    <w:p w:rsidR="00AF709A" w:rsidRPr="00AF709A" w:rsidP="006A7810" w14:paraId="72A31E4B" w14:textId="77777777">
      <w:pPr>
        <w:widowControl w:val="0"/>
        <w:numPr>
          <w:ilvl w:val="0"/>
          <w:numId w:val="9"/>
        </w:numPr>
        <w:autoSpaceDE w:val="0"/>
        <w:autoSpaceDN w:val="0"/>
        <w:adjustRightInd w:val="0"/>
        <w:spacing w:after="0" w:line="240" w:lineRule="auto"/>
        <w:rPr>
          <w:rFonts w:cstheme="minorHAnsi"/>
        </w:rPr>
      </w:pPr>
      <w:r w:rsidRPr="00AF709A">
        <w:rPr>
          <w:rFonts w:cstheme="minorHAnsi"/>
        </w:rPr>
        <w:t xml:space="preserve">Whether the </w:t>
      </w:r>
      <w:r w:rsidRPr="00AF709A">
        <w:rPr>
          <w:rFonts w:cstheme="minorHAnsi"/>
        </w:rPr>
        <w:t>partially-reclaimed</w:t>
      </w:r>
      <w:r w:rsidRPr="00AF709A">
        <w:rPr>
          <w:rFonts w:cstheme="minorHAnsi"/>
        </w:rPr>
        <w:t xml:space="preserve"> material is handled to minimize loss.</w:t>
      </w:r>
    </w:p>
    <w:p w:rsidR="00AF709A" w:rsidRPr="006A7810" w:rsidP="006A7810" w14:paraId="314FCFAF" w14:textId="1B0ABF14">
      <w:pPr>
        <w:pStyle w:val="BodyTextDSW"/>
        <w:keepNext/>
        <w:numPr>
          <w:ilvl w:val="0"/>
          <w:numId w:val="13"/>
        </w:numPr>
        <w:spacing w:before="240" w:after="240"/>
        <w:rPr>
          <w:rFonts w:asciiTheme="minorHAnsi" w:hAnsiTheme="minorHAnsi" w:cstheme="minorHAnsi"/>
          <w:b/>
          <w:bCs/>
          <w:sz w:val="22"/>
          <w:szCs w:val="22"/>
        </w:rPr>
      </w:pPr>
      <w:r w:rsidRPr="006A7810">
        <w:rPr>
          <w:rFonts w:asciiTheme="minorHAnsi" w:hAnsiTheme="minorHAnsi" w:cstheme="minorHAnsi"/>
          <w:b/>
          <w:bCs/>
          <w:sz w:val="22"/>
          <w:szCs w:val="22"/>
        </w:rPr>
        <w:t>Non-Waste Determinations under 40 CFR 260.34</w:t>
      </w:r>
    </w:p>
    <w:p w:rsidR="00AF709A" w:rsidRPr="006A7810" w:rsidP="00AF709A" w14:paraId="57BA37E8" w14:textId="042DE8DF">
      <w:pPr>
        <w:pStyle w:val="BodyTextDSW"/>
        <w:rPr>
          <w:rFonts w:asciiTheme="minorHAnsi" w:hAnsiTheme="minorHAnsi" w:cstheme="minorHAnsi"/>
          <w:sz w:val="22"/>
          <w:szCs w:val="22"/>
        </w:rPr>
      </w:pPr>
      <w:r w:rsidRPr="006A7810">
        <w:rPr>
          <w:rFonts w:asciiTheme="minorHAnsi" w:hAnsiTheme="minorHAnsi" w:cstheme="minorHAnsi"/>
          <w:sz w:val="22"/>
          <w:szCs w:val="22"/>
        </w:rPr>
        <w:t xml:space="preserve">Under current 40 CFR 260.30, </w:t>
      </w:r>
      <w:r w:rsidRPr="006A7810">
        <w:rPr>
          <w:rFonts w:asciiTheme="minorHAnsi" w:hAnsiTheme="minorHAnsi" w:cstheme="minorHAnsi"/>
          <w:sz w:val="22"/>
          <w:szCs w:val="22"/>
        </w:rPr>
        <w:t>persons</w:t>
      </w:r>
      <w:r w:rsidRPr="006A7810">
        <w:rPr>
          <w:rFonts w:asciiTheme="minorHAnsi" w:hAnsiTheme="minorHAnsi" w:cstheme="minorHAnsi"/>
          <w:sz w:val="22"/>
          <w:szCs w:val="22"/>
        </w:rPr>
        <w:t xml:space="preserve"> may apply for a non-waste determination </w:t>
      </w:r>
      <w:r w:rsidRPr="006A7810">
        <w:rPr>
          <w:rFonts w:asciiTheme="minorHAnsi" w:hAnsiTheme="minorHAnsi" w:cstheme="minorHAnsi"/>
          <w:sz w:val="22"/>
          <w:szCs w:val="22"/>
        </w:rPr>
        <w:t>in order to</w:t>
      </w:r>
      <w:r w:rsidRPr="006A7810">
        <w:rPr>
          <w:rFonts w:asciiTheme="minorHAnsi" w:hAnsiTheme="minorHAnsi" w:cstheme="minorHAnsi"/>
          <w:sz w:val="22"/>
          <w:szCs w:val="22"/>
        </w:rPr>
        <w:t xml:space="preserve"> receive a formal determination that their hazardous secondary materials are not discarded and, therefore, are not solid </w:t>
      </w:r>
      <w:r w:rsidRPr="006A7810">
        <w:rPr>
          <w:rFonts w:asciiTheme="minorHAnsi" w:hAnsiTheme="minorHAnsi" w:cstheme="minorHAnsi"/>
          <w:sz w:val="22"/>
          <w:szCs w:val="22"/>
        </w:rPr>
        <w:t>wastes</w:t>
      </w:r>
      <w:r w:rsidRPr="006A7810">
        <w:rPr>
          <w:rFonts w:asciiTheme="minorHAnsi" w:hAnsiTheme="minorHAnsi" w:cstheme="minorHAnsi"/>
          <w:sz w:val="22"/>
          <w:szCs w:val="22"/>
        </w:rPr>
        <w:t xml:space="preserve"> when legitimately reclaimed. There are two types of non-waste determinations: (1) a determination for hazardous secondary materials reclaimed in a continuous industrial process; and (2) a determination for hazardous secondary materials indistinguishable in all relevant aspects from a product or intermediate. Each non-waste determination is based on a set of criteria that is codified in 40 CFR 260.34.</w:t>
      </w:r>
    </w:p>
    <w:p w:rsidR="00AF709A" w:rsidRPr="006A7810" w:rsidP="006A7810" w14:paraId="1DFF9A79"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6A7810">
        <w:rPr>
          <w:rFonts w:asciiTheme="minorHAnsi" w:hAnsiTheme="minorHAnsi" w:cstheme="minorHAnsi"/>
          <w:sz w:val="22"/>
          <w:szCs w:val="22"/>
        </w:rPr>
        <w:t xml:space="preserve">Application under section 260.34(b) for a non-waste determination for hazardous secondary material which is reclaimed in a continuous industrial process. The application must demonstrate that the material is a part of the production process and is not discarded and </w:t>
      </w:r>
      <w:r w:rsidRPr="006A7810">
        <w:rPr>
          <w:rFonts w:asciiTheme="minorHAnsi" w:hAnsiTheme="minorHAnsi" w:cstheme="minorHAnsi"/>
          <w:sz w:val="22"/>
          <w:szCs w:val="22"/>
        </w:rPr>
        <w:t>address</w:t>
      </w:r>
      <w:r w:rsidRPr="006A7810">
        <w:rPr>
          <w:rFonts w:asciiTheme="minorHAnsi" w:hAnsiTheme="minorHAnsi" w:cstheme="minorHAnsi"/>
          <w:sz w:val="22"/>
          <w:szCs w:val="22"/>
        </w:rPr>
        <w:t xml:space="preserve"> the EPA criteria.</w:t>
      </w:r>
    </w:p>
    <w:p w:rsidR="00AF709A" w:rsidRPr="006A7810" w:rsidP="006A7810" w14:paraId="31A41B3F" w14:textId="23B73CA7">
      <w:pPr>
        <w:pStyle w:val="BodyTextDSW"/>
        <w:numPr>
          <w:ilvl w:val="0"/>
          <w:numId w:val="8"/>
        </w:numPr>
        <w:tabs>
          <w:tab w:val="clear" w:pos="1080"/>
          <w:tab w:val="num" w:pos="1620"/>
        </w:tabs>
        <w:ind w:left="1627"/>
        <w:rPr>
          <w:rFonts w:asciiTheme="minorHAnsi" w:hAnsiTheme="minorHAnsi" w:cstheme="minorHAnsi"/>
          <w:sz w:val="22"/>
          <w:szCs w:val="22"/>
        </w:rPr>
      </w:pPr>
      <w:r w:rsidRPr="006A7810">
        <w:rPr>
          <w:rFonts w:asciiTheme="minorHAnsi" w:hAnsiTheme="minorHAnsi" w:cstheme="minorHAnsi"/>
          <w:sz w:val="22"/>
          <w:szCs w:val="22"/>
        </w:rPr>
        <w:t xml:space="preserve">Application under section 260.34(c) for a non-waste determination for hazardous secondary material which is indistinguishable in all relevant aspects </w:t>
      </w:r>
      <w:r w:rsidRPr="006A7810">
        <w:rPr>
          <w:rFonts w:asciiTheme="minorHAnsi" w:hAnsiTheme="minorHAnsi" w:cstheme="minorHAnsi"/>
          <w:sz w:val="22"/>
          <w:szCs w:val="22"/>
        </w:rPr>
        <w:t>from</w:t>
      </w:r>
      <w:r w:rsidRPr="006A7810">
        <w:rPr>
          <w:rFonts w:asciiTheme="minorHAnsi" w:hAnsiTheme="minorHAnsi" w:cstheme="minorHAnsi"/>
          <w:sz w:val="22"/>
          <w:szCs w:val="22"/>
        </w:rPr>
        <w:t xml:space="preserve"> a product or intermediate. The application must demonstrate that the hazardous secondary material is comparable to a product or intermediate and is not </w:t>
      </w:r>
      <w:r w:rsidRPr="006A7810">
        <w:rPr>
          <w:rFonts w:asciiTheme="minorHAnsi" w:hAnsiTheme="minorHAnsi" w:cstheme="minorHAnsi"/>
          <w:sz w:val="22"/>
          <w:szCs w:val="22"/>
        </w:rPr>
        <w:t>discarded, and</w:t>
      </w:r>
      <w:r w:rsidRPr="006A7810">
        <w:rPr>
          <w:rFonts w:asciiTheme="minorHAnsi" w:hAnsiTheme="minorHAnsi" w:cstheme="minorHAnsi"/>
          <w:sz w:val="22"/>
          <w:szCs w:val="22"/>
        </w:rPr>
        <w:t xml:space="preserve"> address the EPA criteria.</w:t>
      </w:r>
    </w:p>
    <w:p w:rsidR="006A7810" w:rsidRPr="006A7810" w:rsidP="006A7810" w14:paraId="3E747D63" w14:textId="5D279474">
      <w:pPr>
        <w:pStyle w:val="BodyTextDSW"/>
        <w:ind w:firstLine="0"/>
        <w:rPr>
          <w:rFonts w:asciiTheme="minorHAnsi" w:hAnsiTheme="minorHAnsi" w:cstheme="minorHAnsi"/>
          <w:b/>
          <w:sz w:val="22"/>
          <w:szCs w:val="22"/>
        </w:rPr>
      </w:pPr>
      <w:r>
        <w:rPr>
          <w:rFonts w:asciiTheme="minorHAnsi" w:hAnsiTheme="minorHAnsi" w:cstheme="minorHAnsi"/>
          <w:b/>
          <w:sz w:val="22"/>
          <w:szCs w:val="22"/>
        </w:rPr>
        <w:t xml:space="preserve">Requirement 4: </w:t>
      </w:r>
      <w:r w:rsidRPr="006A7810">
        <w:rPr>
          <w:rFonts w:asciiTheme="minorHAnsi" w:hAnsiTheme="minorHAnsi" w:cstheme="minorHAnsi"/>
          <w:b/>
          <w:sz w:val="22"/>
          <w:szCs w:val="22"/>
        </w:rPr>
        <w:t>Remanufacturing Exclusion</w:t>
      </w:r>
    </w:p>
    <w:p w:rsidR="006A7810" w:rsidRPr="006A7810" w:rsidP="006A7810" w14:paraId="15FB0A0C" w14:textId="77777777">
      <w:pPr>
        <w:pStyle w:val="BodyTextDSW"/>
        <w:rPr>
          <w:rFonts w:asciiTheme="minorHAnsi" w:hAnsiTheme="minorHAnsi" w:cstheme="minorHAnsi"/>
          <w:sz w:val="22"/>
          <w:szCs w:val="22"/>
        </w:rPr>
      </w:pPr>
      <w:r w:rsidRPr="006A7810">
        <w:rPr>
          <w:rFonts w:asciiTheme="minorHAnsi" w:hAnsiTheme="minorHAnsi" w:cstheme="minorHAnsi"/>
          <w:sz w:val="22"/>
          <w:szCs w:val="22"/>
        </w:rPr>
        <w:t xml:space="preserve">EPA requires that </w:t>
      </w:r>
      <w:r w:rsidRPr="006A7810">
        <w:rPr>
          <w:rFonts w:asciiTheme="minorHAnsi" w:hAnsiTheme="minorHAnsi" w:cstheme="minorHAnsi"/>
          <w:sz w:val="22"/>
          <w:szCs w:val="22"/>
        </w:rPr>
        <w:t>all of</w:t>
      </w:r>
      <w:r w:rsidRPr="006A7810">
        <w:rPr>
          <w:rFonts w:asciiTheme="minorHAnsi" w:hAnsiTheme="minorHAnsi" w:cstheme="minorHAnsi"/>
          <w:sz w:val="22"/>
          <w:szCs w:val="22"/>
        </w:rPr>
        <w:t xml:space="preserve"> the following conditions will need to be satisfied for eligibility under a remanufacturing exclusion:</w:t>
      </w:r>
    </w:p>
    <w:p w:rsidR="006A7810" w:rsidRPr="006A7810" w:rsidP="006A7810" w14:paraId="2C4AC4B1" w14:textId="77777777">
      <w:pPr>
        <w:keepNext/>
        <w:numPr>
          <w:ilvl w:val="0"/>
          <w:numId w:val="9"/>
        </w:numPr>
        <w:tabs>
          <w:tab w:val="num" w:pos="1080"/>
          <w:tab w:val="clear" w:pos="1987"/>
        </w:tabs>
        <w:autoSpaceDE w:val="0"/>
        <w:autoSpaceDN w:val="0"/>
        <w:adjustRightInd w:val="0"/>
        <w:spacing w:after="0" w:line="240" w:lineRule="auto"/>
        <w:ind w:left="1080"/>
      </w:pPr>
      <w:r w:rsidRPr="006A7810">
        <w:t>Remanufacturing plan including:</w:t>
      </w:r>
    </w:p>
    <w:p w:rsidR="006A7810" w:rsidRPr="006A7810" w:rsidP="006A7810" w14:paraId="4B688395" w14:textId="77777777">
      <w:pPr>
        <w:widowControl w:val="0"/>
        <w:numPr>
          <w:ilvl w:val="0"/>
          <w:numId w:val="14"/>
        </w:numPr>
        <w:tabs>
          <w:tab w:val="left" w:pos="2340"/>
        </w:tabs>
        <w:suppressAutoHyphens/>
        <w:autoSpaceDE w:val="0"/>
        <w:spacing w:after="0" w:line="240" w:lineRule="auto"/>
        <w:ind w:left="1433"/>
      </w:pPr>
      <w:r w:rsidRPr="006A7810">
        <w:t>Name, address and EPA ID number of the generator(s) and the remanufacturer(s)</w:t>
      </w:r>
    </w:p>
    <w:p w:rsidR="006A7810" w:rsidRPr="006A7810" w:rsidP="006A7810" w14:paraId="038CB756" w14:textId="77777777">
      <w:pPr>
        <w:widowControl w:val="0"/>
        <w:numPr>
          <w:ilvl w:val="0"/>
          <w:numId w:val="14"/>
        </w:numPr>
        <w:tabs>
          <w:tab w:val="left" w:pos="2340"/>
        </w:tabs>
        <w:suppressAutoHyphens/>
        <w:autoSpaceDE w:val="0"/>
        <w:spacing w:after="0" w:line="240" w:lineRule="auto"/>
        <w:ind w:left="1433"/>
      </w:pPr>
      <w:r w:rsidRPr="006A7810">
        <w:t xml:space="preserve">Types and expected annual volumes of solvents to be </w:t>
      </w:r>
      <w:r w:rsidRPr="006A7810">
        <w:t>remanufactured;</w:t>
      </w:r>
    </w:p>
    <w:p w:rsidR="006A7810" w:rsidRPr="006A7810" w:rsidP="006A7810" w14:paraId="4862074D" w14:textId="77777777">
      <w:pPr>
        <w:widowControl w:val="0"/>
        <w:numPr>
          <w:ilvl w:val="0"/>
          <w:numId w:val="14"/>
        </w:numPr>
        <w:tabs>
          <w:tab w:val="left" w:pos="2340"/>
        </w:tabs>
        <w:suppressAutoHyphens/>
        <w:autoSpaceDE w:val="0"/>
        <w:spacing w:after="0" w:line="240" w:lineRule="auto"/>
        <w:ind w:left="1433"/>
      </w:pPr>
      <w:r w:rsidRPr="006A7810">
        <w:t xml:space="preserve">The processes and industry sectors that generate the </w:t>
      </w:r>
      <w:r w:rsidRPr="006A7810">
        <w:t>solvents;</w:t>
      </w:r>
    </w:p>
    <w:p w:rsidR="006A7810" w:rsidRPr="006A7810" w:rsidP="006A7810" w14:paraId="73BF037D" w14:textId="77777777">
      <w:pPr>
        <w:widowControl w:val="0"/>
        <w:numPr>
          <w:ilvl w:val="0"/>
          <w:numId w:val="14"/>
        </w:numPr>
        <w:tabs>
          <w:tab w:val="left" w:pos="2340"/>
        </w:tabs>
        <w:suppressAutoHyphens/>
        <w:autoSpaceDE w:val="0"/>
        <w:spacing w:after="0" w:line="240" w:lineRule="auto"/>
        <w:ind w:left="1433"/>
      </w:pPr>
      <w:r w:rsidRPr="006A7810">
        <w:t xml:space="preserve">The specific uses and industry sectors for the remanufactured solvents; and </w:t>
      </w:r>
    </w:p>
    <w:p w:rsidR="006A7810" w:rsidRPr="006A7810" w:rsidP="006A7810" w14:paraId="01F5CF8B" w14:textId="77777777">
      <w:pPr>
        <w:widowControl w:val="0"/>
        <w:numPr>
          <w:ilvl w:val="0"/>
          <w:numId w:val="14"/>
        </w:numPr>
        <w:tabs>
          <w:tab w:val="left" w:pos="2340"/>
        </w:tabs>
        <w:suppressAutoHyphens/>
        <w:autoSpaceDE w:val="0"/>
        <w:spacing w:after="0" w:line="240" w:lineRule="auto"/>
        <w:ind w:left="1433"/>
      </w:pPr>
      <w:r w:rsidRPr="006A7810">
        <w:t>Certification from the remanufacturer</w:t>
      </w:r>
    </w:p>
    <w:p w:rsidR="006A7810" w:rsidRPr="006A7810" w:rsidP="006A7810" w14:paraId="4E27C829" w14:textId="77777777">
      <w:pPr>
        <w:keepNext/>
        <w:numPr>
          <w:ilvl w:val="0"/>
          <w:numId w:val="9"/>
        </w:numPr>
        <w:tabs>
          <w:tab w:val="num" w:pos="1080"/>
          <w:tab w:val="clear" w:pos="1987"/>
        </w:tabs>
        <w:autoSpaceDE w:val="0"/>
        <w:autoSpaceDN w:val="0"/>
        <w:adjustRightInd w:val="0"/>
        <w:spacing w:after="0" w:line="240" w:lineRule="auto"/>
        <w:ind w:left="1080"/>
      </w:pPr>
      <w:r w:rsidRPr="006A7810">
        <w:t>Records of shipments and confirmation of receipts</w:t>
      </w:r>
    </w:p>
    <w:p w:rsidR="006A7810" w:rsidRPr="006A7810" w:rsidP="006A7810" w14:paraId="67369D5E" w14:textId="77777777">
      <w:pPr>
        <w:keepNext/>
        <w:numPr>
          <w:ilvl w:val="0"/>
          <w:numId w:val="9"/>
        </w:numPr>
        <w:tabs>
          <w:tab w:val="num" w:pos="1080"/>
          <w:tab w:val="clear" w:pos="1987"/>
        </w:tabs>
        <w:autoSpaceDE w:val="0"/>
        <w:autoSpaceDN w:val="0"/>
        <w:adjustRightInd w:val="0"/>
        <w:spacing w:after="0" w:line="240" w:lineRule="auto"/>
        <w:ind w:left="1080"/>
      </w:pPr>
      <w:r w:rsidRPr="006A7810">
        <w:t>Management in tanks and containers</w:t>
      </w:r>
    </w:p>
    <w:p w:rsidR="006A7810" w:rsidRPr="006A7810" w:rsidP="006A7810" w14:paraId="35401323" w14:textId="77777777">
      <w:pPr>
        <w:widowControl w:val="0"/>
        <w:numPr>
          <w:ilvl w:val="0"/>
          <w:numId w:val="14"/>
        </w:numPr>
        <w:tabs>
          <w:tab w:val="left" w:pos="2340"/>
        </w:tabs>
        <w:suppressAutoHyphens/>
        <w:autoSpaceDE w:val="0"/>
        <w:spacing w:after="0" w:line="240" w:lineRule="auto"/>
        <w:ind w:left="1433"/>
      </w:pPr>
      <w:r w:rsidRPr="006A7810">
        <w:t xml:space="preserve">Prior to remanufacturing, </w:t>
      </w:r>
      <w:r w:rsidRPr="006A7810">
        <w:t>includes</w:t>
      </w:r>
      <w:r w:rsidRPr="006A7810">
        <w:t xml:space="preserve"> labels on the tanks and containers or a record of the </w:t>
      </w:r>
      <w:r w:rsidRPr="006A7810">
        <w:t>material being stored</w:t>
      </w:r>
    </w:p>
    <w:p w:rsidR="006A7810" w:rsidRPr="006A7810" w:rsidP="006A7810" w14:paraId="762B0672" w14:textId="77777777">
      <w:pPr>
        <w:keepNext/>
        <w:numPr>
          <w:ilvl w:val="0"/>
          <w:numId w:val="9"/>
        </w:numPr>
        <w:tabs>
          <w:tab w:val="num" w:pos="1080"/>
          <w:tab w:val="clear" w:pos="1987"/>
        </w:tabs>
        <w:autoSpaceDE w:val="0"/>
        <w:autoSpaceDN w:val="0"/>
        <w:adjustRightInd w:val="0"/>
        <w:spacing w:after="0" w:line="240" w:lineRule="auto"/>
        <w:ind w:left="1080"/>
      </w:pPr>
      <w:r w:rsidRPr="006A7810">
        <w:t>No speculative accumulation</w:t>
      </w:r>
    </w:p>
    <w:p w:rsidR="006A7810" w:rsidP="006A7810" w14:paraId="6BA3305C" w14:textId="77777777">
      <w:pPr>
        <w:widowControl w:val="0"/>
        <w:numPr>
          <w:ilvl w:val="0"/>
          <w:numId w:val="14"/>
        </w:numPr>
        <w:tabs>
          <w:tab w:val="left" w:pos="2340"/>
        </w:tabs>
        <w:suppressAutoHyphens/>
        <w:autoSpaceDE w:val="0"/>
        <w:spacing w:after="0" w:line="240" w:lineRule="auto"/>
        <w:ind w:left="1433"/>
      </w:pPr>
      <w:r w:rsidRPr="006A7810">
        <w:t>See requirements prohibiting speculative accumulation per 40 CFR 261.1(c)(8)</w:t>
      </w:r>
    </w:p>
    <w:p w:rsidR="006A7810" w:rsidRPr="006A7810" w:rsidP="006A7810" w14:paraId="55DB2E7F" w14:textId="345A4FF5">
      <w:pPr>
        <w:pStyle w:val="BodyTextDSW"/>
        <w:numPr>
          <w:ilvl w:val="0"/>
          <w:numId w:val="9"/>
        </w:numPr>
        <w:tabs>
          <w:tab w:val="num" w:pos="1627"/>
          <w:tab w:val="clear" w:pos="1987"/>
        </w:tabs>
        <w:ind w:left="1080"/>
        <w:rPr>
          <w:rFonts w:asciiTheme="minorHAnsi" w:hAnsiTheme="minorHAnsi" w:cstheme="minorHAnsi"/>
          <w:sz w:val="22"/>
          <w:szCs w:val="22"/>
        </w:rPr>
      </w:pPr>
      <w:r w:rsidRPr="006A7810">
        <w:rPr>
          <w:rFonts w:asciiTheme="minorHAnsi" w:hAnsiTheme="minorHAnsi" w:cstheme="minorHAnsi"/>
          <w:sz w:val="22"/>
          <w:szCs w:val="22"/>
        </w:rPr>
        <w:t>Petition to add other chemicals, industries, and/or chemical functions to the remanufacturing exclusion (includes a waste characterization test)</w:t>
      </w:r>
    </w:p>
    <w:p w:rsidR="006A7810" w:rsidRPr="006A7810" w:rsidP="006A7810" w14:paraId="53A1CB9F" w14:textId="60B2FB90">
      <w:pPr>
        <w:pStyle w:val="BodyTextDSW"/>
        <w:keepNext/>
        <w:ind w:firstLine="0"/>
        <w:rPr>
          <w:rFonts w:asciiTheme="minorHAnsi" w:hAnsiTheme="minorHAnsi" w:cstheme="minorHAnsi"/>
          <w:b/>
          <w:sz w:val="22"/>
          <w:szCs w:val="22"/>
        </w:rPr>
      </w:pPr>
      <w:r>
        <w:rPr>
          <w:rFonts w:asciiTheme="minorHAnsi" w:hAnsiTheme="minorHAnsi" w:cstheme="minorHAnsi"/>
          <w:b/>
          <w:sz w:val="22"/>
          <w:szCs w:val="22"/>
        </w:rPr>
        <w:t xml:space="preserve">Requirement 5: </w:t>
      </w:r>
      <w:r w:rsidRPr="006A7810">
        <w:rPr>
          <w:rFonts w:asciiTheme="minorHAnsi" w:hAnsiTheme="minorHAnsi" w:cstheme="minorHAnsi"/>
          <w:b/>
          <w:sz w:val="22"/>
          <w:szCs w:val="22"/>
        </w:rPr>
        <w:t>Recordkeeping for Speculative Accumulation</w:t>
      </w:r>
    </w:p>
    <w:p w:rsidR="006A7810" w:rsidRPr="006A7810" w:rsidP="005111C1" w14:paraId="12967E3E" w14:textId="77777777">
      <w:pPr>
        <w:widowControl w:val="0"/>
        <w:numPr>
          <w:ilvl w:val="0"/>
          <w:numId w:val="9"/>
        </w:numPr>
        <w:tabs>
          <w:tab w:val="clear" w:pos="1987"/>
        </w:tabs>
        <w:autoSpaceDE w:val="0"/>
        <w:autoSpaceDN w:val="0"/>
        <w:adjustRightInd w:val="0"/>
        <w:spacing w:after="0" w:line="240" w:lineRule="auto"/>
        <w:ind w:left="1170" w:hanging="540"/>
        <w:rPr>
          <w:rFonts w:cstheme="minorHAnsi"/>
        </w:rPr>
      </w:pPr>
      <w:r w:rsidRPr="006A7810">
        <w:rPr>
          <w:rFonts w:cstheme="minorHAnsi"/>
        </w:rPr>
        <w:t>Label on the storage unit indicating the first date that the excluded hazardous secondary material began to be accumulated; or</w:t>
      </w:r>
    </w:p>
    <w:p w:rsidR="006A7810" w:rsidRPr="006A7810" w:rsidP="005111C1" w14:paraId="3275CB1E" w14:textId="77777777">
      <w:pPr>
        <w:widowControl w:val="0"/>
        <w:numPr>
          <w:ilvl w:val="0"/>
          <w:numId w:val="9"/>
        </w:numPr>
        <w:tabs>
          <w:tab w:val="num" w:pos="1627"/>
          <w:tab w:val="clear" w:pos="1987"/>
        </w:tabs>
        <w:autoSpaceDE w:val="0"/>
        <w:autoSpaceDN w:val="0"/>
        <w:adjustRightInd w:val="0"/>
        <w:spacing w:after="0" w:line="240" w:lineRule="auto"/>
        <w:ind w:left="1080" w:hanging="450"/>
        <w:rPr>
          <w:rFonts w:cstheme="minorHAnsi"/>
        </w:rPr>
      </w:pPr>
      <w:r w:rsidRPr="006A7810">
        <w:rPr>
          <w:rFonts w:cstheme="minorHAnsi"/>
        </w:rPr>
        <w:t xml:space="preserve">Inventory </w:t>
      </w:r>
      <w:r w:rsidRPr="006A7810">
        <w:rPr>
          <w:rFonts w:cstheme="minorHAnsi"/>
        </w:rPr>
        <w:t>log</w:t>
      </w:r>
      <w:r w:rsidRPr="006A7810">
        <w:rPr>
          <w:rFonts w:cstheme="minorHAnsi"/>
        </w:rPr>
        <w:t xml:space="preserve"> to demonstrate that at least 75% </w:t>
      </w:r>
      <w:r w:rsidRPr="006A7810">
        <w:rPr>
          <w:rFonts w:cstheme="minorHAnsi"/>
        </w:rPr>
        <w:t>by weight</w:t>
      </w:r>
      <w:r w:rsidRPr="006A7810">
        <w:rPr>
          <w:rFonts w:cstheme="minorHAnsi"/>
        </w:rPr>
        <w:t xml:space="preserve"> or volume of material being recycled is transferred to a different site for recycling in a calendar year.</w:t>
      </w:r>
    </w:p>
    <w:p w:rsidR="006A7810" w:rsidRPr="006A7810" w:rsidP="006A7810" w14:paraId="1A5378DD" w14:textId="77777777">
      <w:pPr>
        <w:widowControl w:val="0"/>
        <w:tabs>
          <w:tab w:val="left" w:pos="2340"/>
        </w:tabs>
        <w:suppressAutoHyphens/>
        <w:autoSpaceDE w:val="0"/>
        <w:spacing w:after="0" w:line="240" w:lineRule="auto"/>
        <w:ind w:left="1073"/>
      </w:pPr>
    </w:p>
    <w:p w:rsidR="005111C1" w:rsidRPr="005111C1" w:rsidP="005111C1" w14:paraId="1C46F038" w14:textId="31D094C6">
      <w:pPr>
        <w:pStyle w:val="BodyTextDSW"/>
        <w:ind w:firstLine="0"/>
        <w:rPr>
          <w:rFonts w:asciiTheme="minorHAnsi" w:hAnsiTheme="minorHAnsi" w:cstheme="minorHAnsi"/>
          <w:b/>
          <w:sz w:val="22"/>
          <w:szCs w:val="22"/>
        </w:rPr>
      </w:pPr>
      <w:r>
        <w:rPr>
          <w:rFonts w:asciiTheme="minorHAnsi" w:hAnsiTheme="minorHAnsi" w:cstheme="minorHAnsi"/>
          <w:b/>
          <w:sz w:val="22"/>
          <w:szCs w:val="22"/>
        </w:rPr>
        <w:t xml:space="preserve">Requirement 6: </w:t>
      </w:r>
      <w:r w:rsidRPr="005111C1">
        <w:rPr>
          <w:rFonts w:asciiTheme="minorHAnsi" w:hAnsiTheme="minorHAnsi" w:cstheme="minorHAnsi"/>
          <w:b/>
          <w:sz w:val="22"/>
          <w:szCs w:val="22"/>
        </w:rPr>
        <w:t>Recordkeeping for Export under the Transfer-Based Exclusion</w:t>
      </w:r>
    </w:p>
    <w:p w:rsidR="005111C1" w:rsidRPr="005111C1" w:rsidP="005111C1" w14:paraId="687A45CB" w14:textId="77777777">
      <w:pPr>
        <w:pStyle w:val="BodyTextDSW"/>
        <w:ind w:firstLine="0"/>
        <w:rPr>
          <w:rFonts w:asciiTheme="minorHAnsi" w:hAnsiTheme="minorHAnsi" w:cstheme="minorHAnsi"/>
          <w:sz w:val="22"/>
          <w:szCs w:val="22"/>
        </w:rPr>
      </w:pPr>
      <w:r w:rsidRPr="005111C1">
        <w:rPr>
          <w:rFonts w:asciiTheme="minorHAnsi" w:hAnsiTheme="minorHAnsi" w:cstheme="minorHAnsi"/>
          <w:sz w:val="22"/>
          <w:szCs w:val="22"/>
        </w:rPr>
        <w:t xml:space="preserve">Generators </w:t>
      </w:r>
      <w:r w:rsidRPr="005111C1">
        <w:rPr>
          <w:rFonts w:asciiTheme="minorHAnsi" w:hAnsiTheme="minorHAnsi" w:cstheme="minorHAnsi"/>
          <w:sz w:val="22"/>
          <w:szCs w:val="22"/>
        </w:rPr>
        <w:t>are able to</w:t>
      </w:r>
      <w:r w:rsidRPr="005111C1">
        <w:rPr>
          <w:rFonts w:asciiTheme="minorHAnsi" w:hAnsiTheme="minorHAnsi" w:cstheme="minorHAnsi"/>
          <w:sz w:val="22"/>
          <w:szCs w:val="22"/>
        </w:rPr>
        <w:t xml:space="preserve"> export their hazardous waste secondary materials under the transfer-based exclusion if they provide notice and obtain consent of the receiving </w:t>
      </w:r>
      <w:r w:rsidRPr="005111C1">
        <w:rPr>
          <w:rFonts w:asciiTheme="minorHAnsi" w:hAnsiTheme="minorHAnsi" w:cstheme="minorHAnsi"/>
          <w:sz w:val="22"/>
          <w:szCs w:val="22"/>
        </w:rPr>
        <w:t>country, and</w:t>
      </w:r>
      <w:r w:rsidRPr="005111C1">
        <w:rPr>
          <w:rFonts w:asciiTheme="minorHAnsi" w:hAnsiTheme="minorHAnsi" w:cstheme="minorHAnsi"/>
          <w:sz w:val="22"/>
          <w:szCs w:val="22"/>
        </w:rPr>
        <w:t xml:space="preserve"> file an annual report.</w:t>
      </w:r>
    </w:p>
    <w:p w:rsidR="005111C1" w:rsidRPr="005111C1" w:rsidP="005111C1" w14:paraId="331DCFB6" w14:textId="77777777">
      <w:pPr>
        <w:pStyle w:val="BodyTextDSW"/>
        <w:numPr>
          <w:ilvl w:val="0"/>
          <w:numId w:val="8"/>
        </w:numPr>
        <w:tabs>
          <w:tab w:val="clear" w:pos="1080"/>
        </w:tabs>
        <w:rPr>
          <w:rFonts w:asciiTheme="minorHAnsi" w:hAnsiTheme="minorHAnsi" w:cstheme="minorHAnsi"/>
          <w:sz w:val="22"/>
          <w:szCs w:val="22"/>
        </w:rPr>
      </w:pPr>
      <w:r w:rsidRPr="005111C1">
        <w:rPr>
          <w:rFonts w:asciiTheme="minorHAnsi" w:hAnsiTheme="minorHAnsi" w:cstheme="minorHAnsi"/>
          <w:sz w:val="22"/>
          <w:szCs w:val="22"/>
        </w:rPr>
        <w:t xml:space="preserve">Keep copies of notifications and Acknowledgments of Consent to Export for a period of three years following receipt of the Acknowledgment.  </w:t>
      </w:r>
    </w:p>
    <w:p w:rsidR="00522347" w:rsidRPr="00585FF1" w:rsidP="00AE7F4C" w14:paraId="525DB5C1" w14:textId="77777777">
      <w:pPr>
        <w:pStyle w:val="SmallCircle"/>
        <w:tabs>
          <w:tab w:val="left" w:pos="720"/>
          <w:tab w:val="left" w:pos="1440"/>
          <w:tab w:val="left" w:pos="1800"/>
        </w:tabs>
        <w:ind w:firstLine="0"/>
        <w:rPr>
          <w:rFonts w:asciiTheme="minorHAnsi" w:hAnsiTheme="minorHAnsi" w:cstheme="minorHAnsi"/>
          <w:sz w:val="22"/>
          <w:szCs w:val="22"/>
        </w:rPr>
      </w:pPr>
    </w:p>
    <w:p w:rsidR="001172FE" w:rsidRPr="00585FF1" w:rsidP="00165275" w14:paraId="30C9E7F3" w14:textId="14374C3A">
      <w:pPr>
        <w:pBdr>
          <w:top w:val="single" w:sz="6" w:space="0" w:color="FFFFFF"/>
          <w:left w:val="single" w:sz="6" w:space="0" w:color="FFFFFF"/>
          <w:bottom w:val="single" w:sz="6" w:space="0" w:color="FFFFFF"/>
          <w:right w:val="single" w:sz="6" w:space="0" w:color="FFFFFF"/>
        </w:pBdr>
        <w:spacing w:before="60"/>
        <w:rPr>
          <w:rFonts w:cstheme="minorHAnsi"/>
          <w:b/>
          <w:bCs/>
        </w:rPr>
      </w:pPr>
      <w:r w:rsidRPr="00585FF1">
        <w:rPr>
          <w:rFonts w:cstheme="minorHAnsi"/>
          <w:b/>
          <w:bCs/>
        </w:rPr>
        <w:t xml:space="preserve">12c. </w:t>
      </w:r>
      <w:r w:rsidRPr="00585FF1" w:rsidR="00DD718B">
        <w:rPr>
          <w:rFonts w:cstheme="minorHAnsi"/>
          <w:b/>
          <w:bCs/>
        </w:rPr>
        <w:t>Respondent Activities</w:t>
      </w:r>
      <w:bookmarkStart w:id="18" w:name="_Toc156593385"/>
      <w:bookmarkEnd w:id="17"/>
    </w:p>
    <w:p w:rsidR="005111C1" w:rsidP="005111C1" w14:paraId="56C72B2F" w14:textId="77777777">
      <w:pPr>
        <w:pStyle w:val="BodyTextDSW"/>
        <w:spacing w:before="240" w:after="240"/>
        <w:ind w:firstLine="0"/>
        <w:rPr>
          <w:rFonts w:asciiTheme="minorHAnsi" w:hAnsiTheme="minorHAnsi" w:cstheme="minorHAnsi"/>
          <w:b/>
          <w:sz w:val="22"/>
          <w:szCs w:val="22"/>
        </w:rPr>
      </w:pPr>
      <w:r>
        <w:rPr>
          <w:rFonts w:asciiTheme="minorHAnsi" w:hAnsiTheme="minorHAnsi" w:cstheme="minorHAnsi"/>
          <w:b/>
          <w:sz w:val="22"/>
          <w:szCs w:val="22"/>
        </w:rPr>
        <w:t xml:space="preserve">Requirement 1: </w:t>
      </w:r>
      <w:r w:rsidRPr="00784B38">
        <w:rPr>
          <w:rFonts w:asciiTheme="minorHAnsi" w:hAnsiTheme="minorHAnsi" w:cstheme="minorHAnsi"/>
          <w:b/>
          <w:sz w:val="22"/>
          <w:szCs w:val="22"/>
        </w:rPr>
        <w:t>Off-Site Transfer Based Exclusion for Hazardous Secondary Material</w:t>
      </w:r>
    </w:p>
    <w:p w:rsidR="000505D2" w:rsidRPr="00784B38" w:rsidP="00EF765D" w14:paraId="59E7E59D" w14:textId="126F3646">
      <w:pPr>
        <w:pStyle w:val="BodyTextDSW"/>
        <w:keepNext/>
        <w:numPr>
          <w:ilvl w:val="0"/>
          <w:numId w:val="22"/>
        </w:numPr>
        <w:spacing w:before="240" w:after="240"/>
        <w:rPr>
          <w:rFonts w:asciiTheme="minorHAnsi" w:hAnsiTheme="minorHAnsi" w:cstheme="minorHAnsi"/>
          <w:b/>
          <w:bCs/>
          <w:sz w:val="22"/>
          <w:szCs w:val="22"/>
        </w:rPr>
      </w:pPr>
      <w:r w:rsidRPr="00784B38">
        <w:rPr>
          <w:rFonts w:asciiTheme="minorHAnsi" w:hAnsiTheme="minorHAnsi" w:cstheme="minorHAnsi"/>
          <w:b/>
          <w:bCs/>
          <w:sz w:val="22"/>
          <w:szCs w:val="22"/>
        </w:rPr>
        <w:t>Emergency Preparedness and Response</w:t>
      </w:r>
    </w:p>
    <w:p w:rsidR="005111C1" w:rsidRPr="005111C1" w:rsidP="000505D2" w14:paraId="279189EB" w14:textId="77777777">
      <w:pPr>
        <w:pStyle w:val="BodyTextDSW"/>
        <w:numPr>
          <w:ilvl w:val="1"/>
          <w:numId w:val="8"/>
        </w:numPr>
        <w:rPr>
          <w:rFonts w:asciiTheme="minorHAnsi" w:hAnsiTheme="minorHAnsi" w:cstheme="minorHAnsi"/>
          <w:sz w:val="22"/>
          <w:szCs w:val="22"/>
        </w:rPr>
      </w:pPr>
      <w:r w:rsidRPr="005111C1">
        <w:rPr>
          <w:rFonts w:asciiTheme="minorHAnsi" w:hAnsiTheme="minorHAnsi" w:cstheme="minorHAnsi"/>
          <w:sz w:val="22"/>
          <w:szCs w:val="22"/>
        </w:rPr>
        <w:t>Collect and maintain the personnel training records as described above</w:t>
      </w:r>
    </w:p>
    <w:p w:rsidR="005111C1" w:rsidRPr="005111C1" w:rsidP="000505D2" w14:paraId="1564C08F" w14:textId="77777777">
      <w:pPr>
        <w:pStyle w:val="BodyTextDSW"/>
        <w:numPr>
          <w:ilvl w:val="1"/>
          <w:numId w:val="8"/>
        </w:numPr>
        <w:rPr>
          <w:rFonts w:asciiTheme="minorHAnsi" w:hAnsiTheme="minorHAnsi" w:cstheme="minorHAnsi"/>
          <w:sz w:val="22"/>
          <w:szCs w:val="22"/>
        </w:rPr>
      </w:pPr>
      <w:r w:rsidRPr="005111C1">
        <w:rPr>
          <w:rFonts w:asciiTheme="minorHAnsi" w:hAnsiTheme="minorHAnsi" w:cstheme="minorHAnsi"/>
          <w:sz w:val="22"/>
          <w:szCs w:val="22"/>
        </w:rPr>
        <w:t>Under contingency planning requirements, generators must:</w:t>
      </w:r>
    </w:p>
    <w:p w:rsidR="005111C1" w:rsidRPr="005111C1" w:rsidP="000505D2" w14:paraId="553BECAA" w14:textId="77777777">
      <w:pPr>
        <w:widowControl w:val="0"/>
        <w:numPr>
          <w:ilvl w:val="1"/>
          <w:numId w:val="17"/>
        </w:numPr>
        <w:autoSpaceDE w:val="0"/>
        <w:autoSpaceDN w:val="0"/>
        <w:adjustRightInd w:val="0"/>
        <w:spacing w:after="0" w:line="240" w:lineRule="auto"/>
        <w:rPr>
          <w:rFonts w:cstheme="minorHAnsi"/>
        </w:rPr>
      </w:pPr>
      <w:r w:rsidRPr="005111C1">
        <w:rPr>
          <w:rFonts w:cstheme="minorHAnsi"/>
        </w:rPr>
        <w:t xml:space="preserve">Collect data required in contingency </w:t>
      </w:r>
      <w:r w:rsidRPr="005111C1">
        <w:rPr>
          <w:rFonts w:cstheme="minorHAnsi"/>
        </w:rPr>
        <w:t>plan;</w:t>
      </w:r>
    </w:p>
    <w:p w:rsidR="005111C1" w:rsidRPr="005111C1" w:rsidP="000505D2" w14:paraId="76F310DE" w14:textId="77777777">
      <w:pPr>
        <w:widowControl w:val="0"/>
        <w:numPr>
          <w:ilvl w:val="1"/>
          <w:numId w:val="17"/>
        </w:numPr>
        <w:autoSpaceDE w:val="0"/>
        <w:autoSpaceDN w:val="0"/>
        <w:adjustRightInd w:val="0"/>
        <w:spacing w:after="0" w:line="240" w:lineRule="auto"/>
        <w:rPr>
          <w:rFonts w:cstheme="minorHAnsi"/>
        </w:rPr>
      </w:pPr>
      <w:r w:rsidRPr="005111C1">
        <w:rPr>
          <w:rFonts w:cstheme="minorHAnsi"/>
        </w:rPr>
        <w:t xml:space="preserve">Document whether authorities decline </w:t>
      </w:r>
      <w:r w:rsidRPr="005111C1">
        <w:rPr>
          <w:rFonts w:cstheme="minorHAnsi"/>
        </w:rPr>
        <w:t>arrangement;</w:t>
      </w:r>
    </w:p>
    <w:p w:rsidR="005111C1" w:rsidRPr="005111C1" w:rsidP="000505D2" w14:paraId="65DB100E" w14:textId="77777777">
      <w:pPr>
        <w:widowControl w:val="0"/>
        <w:numPr>
          <w:ilvl w:val="1"/>
          <w:numId w:val="17"/>
        </w:numPr>
        <w:autoSpaceDE w:val="0"/>
        <w:autoSpaceDN w:val="0"/>
        <w:adjustRightInd w:val="0"/>
        <w:spacing w:after="0" w:line="240" w:lineRule="auto"/>
        <w:rPr>
          <w:rFonts w:cstheme="minorHAnsi"/>
        </w:rPr>
      </w:pPr>
      <w:r w:rsidRPr="005111C1">
        <w:rPr>
          <w:rFonts w:cstheme="minorHAnsi"/>
        </w:rPr>
        <w:t xml:space="preserve">Write contingency </w:t>
      </w:r>
      <w:r w:rsidRPr="005111C1">
        <w:rPr>
          <w:rFonts w:cstheme="minorHAnsi"/>
        </w:rPr>
        <w:t>plan;</w:t>
      </w:r>
      <w:r w:rsidRPr="005111C1">
        <w:rPr>
          <w:rFonts w:cstheme="minorHAnsi"/>
        </w:rPr>
        <w:t xml:space="preserve"> </w:t>
      </w:r>
    </w:p>
    <w:p w:rsidR="005111C1" w:rsidRPr="005111C1" w:rsidP="000505D2" w14:paraId="2003C939" w14:textId="77777777">
      <w:pPr>
        <w:widowControl w:val="0"/>
        <w:numPr>
          <w:ilvl w:val="1"/>
          <w:numId w:val="17"/>
        </w:numPr>
        <w:autoSpaceDE w:val="0"/>
        <w:autoSpaceDN w:val="0"/>
        <w:adjustRightInd w:val="0"/>
        <w:spacing w:after="0" w:line="240" w:lineRule="auto"/>
        <w:rPr>
          <w:rFonts w:cstheme="minorHAnsi"/>
        </w:rPr>
      </w:pPr>
      <w:r w:rsidRPr="005111C1">
        <w:rPr>
          <w:rFonts w:cstheme="minorHAnsi"/>
        </w:rPr>
        <w:t xml:space="preserve">Maintain contingency </w:t>
      </w:r>
      <w:r w:rsidRPr="005111C1">
        <w:rPr>
          <w:rFonts w:cstheme="minorHAnsi"/>
        </w:rPr>
        <w:t>plan;</w:t>
      </w:r>
    </w:p>
    <w:p w:rsidR="005111C1" w:rsidRPr="005111C1" w:rsidP="000505D2" w14:paraId="4C4B44E8" w14:textId="77777777">
      <w:pPr>
        <w:widowControl w:val="0"/>
        <w:numPr>
          <w:ilvl w:val="1"/>
          <w:numId w:val="17"/>
        </w:numPr>
        <w:autoSpaceDE w:val="0"/>
        <w:autoSpaceDN w:val="0"/>
        <w:adjustRightInd w:val="0"/>
        <w:spacing w:after="0" w:line="240" w:lineRule="auto"/>
        <w:rPr>
          <w:rFonts w:cstheme="minorHAnsi"/>
        </w:rPr>
      </w:pPr>
      <w:r w:rsidRPr="005111C1">
        <w:rPr>
          <w:rFonts w:cstheme="minorHAnsi"/>
        </w:rPr>
        <w:t xml:space="preserve">Submit contingency </w:t>
      </w:r>
      <w:r w:rsidRPr="005111C1">
        <w:rPr>
          <w:rFonts w:cstheme="minorHAnsi"/>
        </w:rPr>
        <w:t>plan</w:t>
      </w:r>
      <w:r w:rsidRPr="005111C1">
        <w:rPr>
          <w:rFonts w:cstheme="minorHAnsi"/>
        </w:rPr>
        <w:t xml:space="preserve"> to relevant emergency centers; and</w:t>
      </w:r>
    </w:p>
    <w:p w:rsidR="005111C1" w:rsidRPr="005111C1" w:rsidP="000505D2" w14:paraId="7E9F50C5" w14:textId="77777777">
      <w:pPr>
        <w:widowControl w:val="0"/>
        <w:numPr>
          <w:ilvl w:val="1"/>
          <w:numId w:val="17"/>
        </w:numPr>
        <w:autoSpaceDE w:val="0"/>
        <w:autoSpaceDN w:val="0"/>
        <w:adjustRightInd w:val="0"/>
        <w:spacing w:after="0" w:line="240" w:lineRule="auto"/>
        <w:rPr>
          <w:rFonts w:cstheme="minorHAnsi"/>
        </w:rPr>
      </w:pPr>
      <w:r w:rsidRPr="005111C1">
        <w:rPr>
          <w:rFonts w:cstheme="minorHAnsi"/>
        </w:rPr>
        <w:t>Amend contingency plan, when appropriate</w:t>
      </w:r>
    </w:p>
    <w:p w:rsidR="005111C1" w:rsidRPr="005111C1" w:rsidP="000505D2" w14:paraId="40EA8343" w14:textId="77777777">
      <w:pPr>
        <w:pStyle w:val="BodyTextDSW"/>
        <w:numPr>
          <w:ilvl w:val="1"/>
          <w:numId w:val="8"/>
        </w:numPr>
        <w:rPr>
          <w:rFonts w:asciiTheme="minorHAnsi" w:hAnsiTheme="minorHAnsi" w:cstheme="minorHAnsi"/>
          <w:sz w:val="22"/>
          <w:szCs w:val="22"/>
        </w:rPr>
      </w:pPr>
      <w:r w:rsidRPr="005111C1">
        <w:rPr>
          <w:rFonts w:asciiTheme="minorHAnsi" w:hAnsiTheme="minorHAnsi" w:cstheme="minorHAnsi"/>
          <w:sz w:val="22"/>
          <w:szCs w:val="22"/>
        </w:rPr>
        <w:t>Under emergency procedure requirements, generators accumulating less than 6,000 kg of hazardous secondary material must:</w:t>
      </w:r>
    </w:p>
    <w:p w:rsidR="005111C1" w:rsidRPr="005111C1" w:rsidP="000505D2" w14:paraId="7FBA782E" w14:textId="77777777">
      <w:pPr>
        <w:widowControl w:val="0"/>
        <w:numPr>
          <w:ilvl w:val="1"/>
          <w:numId w:val="18"/>
        </w:numPr>
        <w:autoSpaceDE w:val="0"/>
        <w:autoSpaceDN w:val="0"/>
        <w:adjustRightInd w:val="0"/>
        <w:spacing w:after="0" w:line="240" w:lineRule="auto"/>
        <w:rPr>
          <w:rFonts w:cstheme="minorHAnsi"/>
        </w:rPr>
      </w:pPr>
      <w:r w:rsidRPr="005111C1">
        <w:rPr>
          <w:rFonts w:cstheme="minorHAnsi"/>
        </w:rPr>
        <w:t xml:space="preserve">Observe scene of hazardous waste </w:t>
      </w:r>
      <w:r w:rsidRPr="005111C1">
        <w:rPr>
          <w:rFonts w:cstheme="minorHAnsi"/>
        </w:rPr>
        <w:t>discharge;</w:t>
      </w:r>
    </w:p>
    <w:p w:rsidR="005111C1" w:rsidRPr="005111C1" w:rsidP="000505D2" w14:paraId="2FA16A8F" w14:textId="77777777">
      <w:pPr>
        <w:widowControl w:val="0"/>
        <w:numPr>
          <w:ilvl w:val="1"/>
          <w:numId w:val="18"/>
        </w:numPr>
        <w:autoSpaceDE w:val="0"/>
        <w:autoSpaceDN w:val="0"/>
        <w:adjustRightInd w:val="0"/>
        <w:spacing w:after="0" w:line="240" w:lineRule="auto"/>
        <w:rPr>
          <w:rFonts w:cstheme="minorHAnsi"/>
        </w:rPr>
      </w:pPr>
      <w:r w:rsidRPr="005111C1">
        <w:rPr>
          <w:rFonts w:cstheme="minorHAnsi"/>
        </w:rPr>
        <w:t xml:space="preserve">Report by phone requested data for </w:t>
      </w:r>
      <w:r w:rsidRPr="005111C1">
        <w:rPr>
          <w:rFonts w:cstheme="minorHAnsi"/>
        </w:rPr>
        <w:t>NRC;</w:t>
      </w:r>
    </w:p>
    <w:p w:rsidR="005111C1" w:rsidRPr="005111C1" w:rsidP="000505D2" w14:paraId="5E81AE83" w14:textId="77777777">
      <w:pPr>
        <w:widowControl w:val="0"/>
        <w:numPr>
          <w:ilvl w:val="1"/>
          <w:numId w:val="18"/>
        </w:numPr>
        <w:autoSpaceDE w:val="0"/>
        <w:autoSpaceDN w:val="0"/>
        <w:adjustRightInd w:val="0"/>
        <w:spacing w:after="0" w:line="240" w:lineRule="auto"/>
        <w:rPr>
          <w:rFonts w:cstheme="minorHAnsi"/>
        </w:rPr>
      </w:pPr>
      <w:r w:rsidRPr="005111C1">
        <w:rPr>
          <w:rFonts w:cstheme="minorHAnsi"/>
        </w:rPr>
        <w:t xml:space="preserve">Document that local officials </w:t>
      </w:r>
      <w:r w:rsidRPr="005111C1">
        <w:rPr>
          <w:rFonts w:cstheme="minorHAnsi"/>
        </w:rPr>
        <w:t>declines</w:t>
      </w:r>
      <w:r w:rsidRPr="005111C1">
        <w:rPr>
          <w:rFonts w:cstheme="minorHAnsi"/>
        </w:rPr>
        <w:t xml:space="preserve"> to </w:t>
      </w:r>
      <w:r w:rsidRPr="005111C1">
        <w:rPr>
          <w:rFonts w:cstheme="minorHAnsi"/>
        </w:rPr>
        <w:t>enter into</w:t>
      </w:r>
      <w:r w:rsidRPr="005111C1">
        <w:rPr>
          <w:rFonts w:cstheme="minorHAnsi"/>
        </w:rPr>
        <w:t xml:space="preserve"> arrangements for coordinating response; and </w:t>
      </w:r>
    </w:p>
    <w:p w:rsidR="005111C1" w:rsidRPr="005111C1" w:rsidP="000505D2" w14:paraId="3010CB21" w14:textId="77777777">
      <w:pPr>
        <w:widowControl w:val="0"/>
        <w:numPr>
          <w:ilvl w:val="1"/>
          <w:numId w:val="18"/>
        </w:numPr>
        <w:autoSpaceDE w:val="0"/>
        <w:autoSpaceDN w:val="0"/>
        <w:adjustRightInd w:val="0"/>
        <w:spacing w:after="0" w:line="240" w:lineRule="auto"/>
        <w:rPr>
          <w:rFonts w:cstheme="minorHAnsi"/>
        </w:rPr>
      </w:pPr>
      <w:r w:rsidRPr="005111C1">
        <w:rPr>
          <w:rFonts w:cstheme="minorHAnsi"/>
        </w:rPr>
        <w:t>Providing post-emergency information by phone</w:t>
      </w:r>
    </w:p>
    <w:p w:rsidR="005111C1" w:rsidRPr="005111C1" w:rsidP="000505D2" w14:paraId="0F4D8E47" w14:textId="77777777">
      <w:pPr>
        <w:pStyle w:val="BodyTextDSW"/>
        <w:numPr>
          <w:ilvl w:val="1"/>
          <w:numId w:val="8"/>
        </w:numPr>
        <w:rPr>
          <w:rFonts w:asciiTheme="minorHAnsi" w:hAnsiTheme="minorHAnsi" w:cstheme="minorHAnsi"/>
          <w:sz w:val="22"/>
          <w:szCs w:val="22"/>
        </w:rPr>
      </w:pPr>
      <w:r w:rsidRPr="005111C1">
        <w:rPr>
          <w:rFonts w:asciiTheme="minorHAnsi" w:hAnsiTheme="minorHAnsi" w:cstheme="minorHAnsi"/>
          <w:sz w:val="22"/>
          <w:szCs w:val="22"/>
        </w:rPr>
        <w:t>Under emergency procedure requirements, generators accumulating more than 6,000 kg of hazardous secondary material must:</w:t>
      </w:r>
    </w:p>
    <w:p w:rsidR="005111C1" w:rsidRPr="005111C1" w:rsidP="000505D2" w14:paraId="2D57F2BD" w14:textId="77777777">
      <w:pPr>
        <w:widowControl w:val="0"/>
        <w:numPr>
          <w:ilvl w:val="1"/>
          <w:numId w:val="19"/>
        </w:numPr>
        <w:autoSpaceDE w:val="0"/>
        <w:autoSpaceDN w:val="0"/>
        <w:adjustRightInd w:val="0"/>
        <w:spacing w:after="0" w:line="240" w:lineRule="auto"/>
        <w:rPr>
          <w:rFonts w:cstheme="minorHAnsi"/>
        </w:rPr>
      </w:pPr>
      <w:r w:rsidRPr="005111C1">
        <w:rPr>
          <w:rFonts w:cstheme="minorHAnsi"/>
        </w:rPr>
        <w:t xml:space="preserve">Collect information required in emergency </w:t>
      </w:r>
      <w:r w:rsidRPr="005111C1">
        <w:rPr>
          <w:rFonts w:cstheme="minorHAnsi"/>
        </w:rPr>
        <w:t>report;</w:t>
      </w:r>
    </w:p>
    <w:p w:rsidR="005111C1" w:rsidRPr="005111C1" w:rsidP="000505D2" w14:paraId="2208184D" w14:textId="77777777">
      <w:pPr>
        <w:widowControl w:val="0"/>
        <w:numPr>
          <w:ilvl w:val="1"/>
          <w:numId w:val="19"/>
        </w:numPr>
        <w:autoSpaceDE w:val="0"/>
        <w:autoSpaceDN w:val="0"/>
        <w:adjustRightInd w:val="0"/>
        <w:spacing w:after="0" w:line="240" w:lineRule="auto"/>
        <w:rPr>
          <w:rFonts w:cstheme="minorHAnsi"/>
        </w:rPr>
      </w:pPr>
      <w:r w:rsidRPr="005111C1">
        <w:rPr>
          <w:rFonts w:cstheme="minorHAnsi"/>
        </w:rPr>
        <w:t>Write emergency report; and</w:t>
      </w:r>
    </w:p>
    <w:p w:rsidR="005111C1" w:rsidRPr="005111C1" w:rsidP="000505D2" w14:paraId="2B98FB12" w14:textId="77777777">
      <w:pPr>
        <w:widowControl w:val="0"/>
        <w:numPr>
          <w:ilvl w:val="1"/>
          <w:numId w:val="19"/>
        </w:numPr>
        <w:autoSpaceDE w:val="0"/>
        <w:autoSpaceDN w:val="0"/>
        <w:adjustRightInd w:val="0"/>
        <w:spacing w:after="0" w:line="240" w:lineRule="auto"/>
        <w:rPr>
          <w:rFonts w:cstheme="minorHAnsi"/>
        </w:rPr>
      </w:pPr>
      <w:r w:rsidRPr="005111C1">
        <w:rPr>
          <w:rFonts w:cstheme="minorHAnsi"/>
        </w:rPr>
        <w:t xml:space="preserve">Call OSC or notify NRC; notify local authorities if advisable </w:t>
      </w:r>
    </w:p>
    <w:p w:rsidR="000505D2" w:rsidRPr="00784B38" w:rsidP="00EF765D" w14:paraId="2AEA3D55" w14:textId="7FA9F876">
      <w:pPr>
        <w:pStyle w:val="BodyTextDSW"/>
        <w:keepNext/>
        <w:numPr>
          <w:ilvl w:val="0"/>
          <w:numId w:val="22"/>
        </w:numPr>
        <w:spacing w:before="240" w:after="240"/>
        <w:rPr>
          <w:rFonts w:asciiTheme="minorHAnsi" w:hAnsiTheme="minorHAnsi" w:cstheme="minorHAnsi"/>
          <w:b/>
          <w:bCs/>
          <w:sz w:val="22"/>
          <w:szCs w:val="22"/>
        </w:rPr>
      </w:pPr>
      <w:r w:rsidRPr="00784B38">
        <w:rPr>
          <w:rFonts w:asciiTheme="minorHAnsi" w:hAnsiTheme="minorHAnsi" w:cstheme="minorHAnsi"/>
          <w:b/>
          <w:bCs/>
          <w:sz w:val="22"/>
          <w:szCs w:val="22"/>
        </w:rPr>
        <w:t>Reasonable Efforts</w:t>
      </w:r>
    </w:p>
    <w:p w:rsidR="000505D2" w:rsidRPr="000505D2" w:rsidP="00EF765D" w14:paraId="46E56A33" w14:textId="77777777">
      <w:pPr>
        <w:pStyle w:val="BodyTextDSW"/>
        <w:numPr>
          <w:ilvl w:val="1"/>
          <w:numId w:val="22"/>
        </w:numPr>
        <w:rPr>
          <w:rFonts w:asciiTheme="minorHAnsi" w:hAnsiTheme="minorHAnsi" w:cstheme="minorHAnsi"/>
          <w:sz w:val="22"/>
          <w:szCs w:val="22"/>
        </w:rPr>
      </w:pPr>
      <w:r w:rsidRPr="000505D2">
        <w:rPr>
          <w:rFonts w:asciiTheme="minorHAnsi" w:hAnsiTheme="minorHAnsi" w:cstheme="minorHAnsi"/>
          <w:sz w:val="22"/>
          <w:szCs w:val="22"/>
        </w:rPr>
        <w:t xml:space="preserve">Conduct reasonable efforts for intermediate facilities and reclaimers and prepare certification statement using outside </w:t>
      </w:r>
      <w:r w:rsidRPr="000505D2">
        <w:rPr>
          <w:rFonts w:asciiTheme="minorHAnsi" w:hAnsiTheme="minorHAnsi" w:cstheme="minorHAnsi"/>
          <w:sz w:val="22"/>
          <w:szCs w:val="22"/>
        </w:rPr>
        <w:t>vendor</w:t>
      </w:r>
    </w:p>
    <w:p w:rsidR="000505D2" w:rsidP="00EF765D" w14:paraId="6A27F50D" w14:textId="77777777">
      <w:pPr>
        <w:pStyle w:val="BodyTextDSW"/>
        <w:numPr>
          <w:ilvl w:val="1"/>
          <w:numId w:val="22"/>
        </w:numPr>
        <w:rPr>
          <w:rFonts w:asciiTheme="minorHAnsi" w:hAnsiTheme="minorHAnsi" w:cstheme="minorHAnsi"/>
          <w:sz w:val="22"/>
          <w:szCs w:val="22"/>
        </w:rPr>
      </w:pPr>
      <w:r w:rsidRPr="000505D2">
        <w:rPr>
          <w:rFonts w:asciiTheme="minorHAnsi" w:hAnsiTheme="minorHAnsi" w:cstheme="minorHAnsi"/>
          <w:sz w:val="22"/>
          <w:szCs w:val="22"/>
        </w:rPr>
        <w:t>Maintain for a minimum of three years documentation and certification that reasonable efforts were made as specified</w:t>
      </w:r>
    </w:p>
    <w:p w:rsidR="000505D2" w:rsidRPr="00784B38" w:rsidP="00EF765D" w14:paraId="09897CED" w14:textId="06E5BF56">
      <w:pPr>
        <w:pStyle w:val="BodyTextDSW"/>
        <w:keepNext/>
        <w:numPr>
          <w:ilvl w:val="0"/>
          <w:numId w:val="22"/>
        </w:numPr>
        <w:spacing w:before="240" w:after="240"/>
        <w:rPr>
          <w:rFonts w:asciiTheme="minorHAnsi" w:hAnsiTheme="minorHAnsi" w:cstheme="minorHAnsi"/>
          <w:b/>
          <w:bCs/>
          <w:sz w:val="22"/>
          <w:szCs w:val="22"/>
        </w:rPr>
      </w:pPr>
      <w:r w:rsidRPr="00784B38">
        <w:rPr>
          <w:rFonts w:asciiTheme="minorHAnsi" w:hAnsiTheme="minorHAnsi" w:cstheme="minorHAnsi"/>
          <w:b/>
          <w:bCs/>
          <w:sz w:val="22"/>
          <w:szCs w:val="22"/>
        </w:rPr>
        <w:t>Financial Assurance</w:t>
      </w:r>
    </w:p>
    <w:p w:rsidR="000505D2" w:rsidRPr="00784B38" w:rsidP="000505D2" w14:paraId="2651E470" w14:textId="77777777">
      <w:pPr>
        <w:keepNext/>
        <w:spacing w:before="240" w:after="240"/>
        <w:ind w:left="720"/>
        <w:rPr>
          <w:rFonts w:cstheme="minorHAnsi"/>
          <w:u w:val="single"/>
        </w:rPr>
      </w:pPr>
      <w:r w:rsidRPr="00784B38">
        <w:rPr>
          <w:rFonts w:cstheme="minorHAnsi"/>
          <w:u w:val="single"/>
        </w:rPr>
        <w:t>Trust Fund</w:t>
      </w:r>
    </w:p>
    <w:p w:rsidR="00EF765D" w:rsidRPr="00EF765D" w:rsidP="00EF765D" w14:paraId="59462454"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EF765D">
        <w:rPr>
          <w:rFonts w:asciiTheme="minorHAnsi" w:hAnsiTheme="minorHAnsi" w:cstheme="minorHAnsi"/>
          <w:sz w:val="22"/>
          <w:szCs w:val="22"/>
        </w:rPr>
        <w:t>The owner/operator must perform the following activities:</w:t>
      </w:r>
    </w:p>
    <w:p w:rsidR="00EF765D" w:rsidRPr="00EF765D" w:rsidP="00EF765D" w14:paraId="72EC8F24"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Prepare and submit an originally signed duplicate of the trust agreement and formal certification of acknowledgement to EPA.</w:t>
      </w:r>
    </w:p>
    <w:p w:rsidR="00EF765D" w:rsidRPr="00EF765D" w:rsidP="00EF765D" w14:paraId="783C561B"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Update Schedule A of the trust agreement, as specified.</w:t>
      </w:r>
    </w:p>
    <w:p w:rsidR="00EF765D" w:rsidRPr="00EF765D" w:rsidP="00EF765D" w14:paraId="3DC037BB"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Whenever the current cost estimate changes:</w:t>
      </w:r>
    </w:p>
    <w:p w:rsidR="00EF765D" w:rsidRPr="00EF765D" w:rsidP="00EF765D" w14:paraId="1226C665" w14:textId="77777777">
      <w:pPr>
        <w:widowControl w:val="0"/>
        <w:numPr>
          <w:ilvl w:val="0"/>
          <w:numId w:val="14"/>
        </w:numPr>
        <w:tabs>
          <w:tab w:val="left" w:pos="2340"/>
        </w:tabs>
        <w:suppressAutoHyphens/>
        <w:autoSpaceDE w:val="0"/>
        <w:spacing w:after="0" w:line="240" w:lineRule="auto"/>
        <w:ind w:left="2340"/>
        <w:rPr>
          <w:rFonts w:cstheme="minorHAnsi"/>
        </w:rPr>
      </w:pPr>
      <w:r w:rsidRPr="00EF765D">
        <w:rPr>
          <w:rFonts w:cstheme="minorHAnsi"/>
        </w:rPr>
        <w:t>Compare the new estimate with the trustee's most recent annual valuation of the trust fund; and</w:t>
      </w:r>
    </w:p>
    <w:p w:rsidR="00EF765D" w:rsidRPr="00EF765D" w:rsidP="00EF765D" w14:paraId="7495D2C6" w14:textId="77777777">
      <w:pPr>
        <w:widowControl w:val="0"/>
        <w:numPr>
          <w:ilvl w:val="0"/>
          <w:numId w:val="14"/>
        </w:numPr>
        <w:tabs>
          <w:tab w:val="left" w:pos="2340"/>
        </w:tabs>
        <w:suppressAutoHyphens/>
        <w:autoSpaceDE w:val="0"/>
        <w:spacing w:after="0" w:line="240" w:lineRule="auto"/>
        <w:ind w:left="2340"/>
        <w:rPr>
          <w:rFonts w:cstheme="minorHAnsi"/>
        </w:rPr>
      </w:pPr>
      <w:r w:rsidRPr="00EF765D">
        <w:rPr>
          <w:rFonts w:cstheme="minorHAnsi"/>
        </w:rPr>
        <w:t>If the value of the fund is less than the amount of the new estimate, obtain other financial assurance to cover the difference, unless a deposit has been made as specified.</w:t>
      </w:r>
    </w:p>
    <w:p w:rsidR="00EF765D" w:rsidRPr="00EF765D" w:rsidP="00EF765D" w14:paraId="32C3FE13"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 xml:space="preserve">If the value of the trust fund is greater than the total amount of the current cost estimate, submit a written request to the Regional Administrator for release of the amount </w:t>
      </w:r>
      <w:r w:rsidRPr="00EF765D">
        <w:rPr>
          <w:rFonts w:cstheme="minorHAnsi"/>
        </w:rPr>
        <w:t>in excess of</w:t>
      </w:r>
      <w:r w:rsidRPr="00EF765D">
        <w:rPr>
          <w:rFonts w:cstheme="minorHAnsi"/>
        </w:rPr>
        <w:t xml:space="preserve"> the current cost estimate.</w:t>
      </w:r>
    </w:p>
    <w:p w:rsidR="00EF765D" w:rsidRPr="00EF765D" w:rsidP="00EF765D" w14:paraId="23F6FA64"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 xml:space="preserve">If the owner or operator substitutes other financial assurance as specified in this section for all or part of the trust fund, submit a written request to the Regional Administrator for release of the amount </w:t>
      </w:r>
      <w:r w:rsidRPr="00EF765D">
        <w:rPr>
          <w:rFonts w:cstheme="minorHAnsi"/>
        </w:rPr>
        <w:t>in excess of</w:t>
      </w:r>
      <w:r w:rsidRPr="00EF765D">
        <w:rPr>
          <w:rFonts w:cstheme="minorHAnsi"/>
        </w:rPr>
        <w:t xml:space="preserve"> the current cost estimate covered by the trust fund.</w:t>
      </w:r>
    </w:p>
    <w:p w:rsidR="00EF765D" w:rsidRPr="00EF765D" w:rsidP="00EF765D" w14:paraId="54F09FD9"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Submit a request for reimbursements, if applicable.</w:t>
      </w:r>
    </w:p>
    <w:p w:rsidR="000505D2" w:rsidRPr="00EF765D" w:rsidP="00EF765D" w14:paraId="386B4A6F" w14:textId="61F8FB6D">
      <w:pPr>
        <w:pStyle w:val="BodyTextDSW"/>
        <w:numPr>
          <w:ilvl w:val="0"/>
          <w:numId w:val="8"/>
        </w:numPr>
        <w:tabs>
          <w:tab w:val="clear" w:pos="1080"/>
          <w:tab w:val="num" w:pos="1620"/>
        </w:tabs>
        <w:ind w:left="1627"/>
        <w:rPr>
          <w:rFonts w:asciiTheme="minorHAnsi" w:hAnsiTheme="minorHAnsi" w:cstheme="minorHAnsi"/>
          <w:sz w:val="22"/>
          <w:szCs w:val="22"/>
        </w:rPr>
      </w:pPr>
      <w:r w:rsidRPr="00EF765D">
        <w:rPr>
          <w:rFonts w:asciiTheme="minorHAnsi" w:hAnsiTheme="minorHAnsi" w:cstheme="minorHAnsi"/>
          <w:sz w:val="22"/>
          <w:szCs w:val="22"/>
        </w:rPr>
        <w:t>The grantor (owner/operator) and trustee must comply with the terms of the trust agreement.</w:t>
      </w:r>
    </w:p>
    <w:p w:rsidR="000505D2" w:rsidRPr="00784B38" w:rsidP="000505D2" w14:paraId="071365F6" w14:textId="77777777">
      <w:pPr>
        <w:spacing w:before="240" w:after="240"/>
        <w:ind w:left="720"/>
        <w:rPr>
          <w:rFonts w:cstheme="minorHAnsi"/>
          <w:u w:val="single"/>
        </w:rPr>
      </w:pPr>
      <w:r w:rsidRPr="00784B38">
        <w:rPr>
          <w:rFonts w:cstheme="minorHAnsi"/>
          <w:u w:val="single"/>
        </w:rPr>
        <w:t>Surety Bond Guaranteeing Payment into a Trust Fund</w:t>
      </w:r>
    </w:p>
    <w:p w:rsidR="00EF765D" w:rsidRPr="00EF765D" w:rsidP="00EF765D" w14:paraId="6F87A400" w14:textId="77777777">
      <w:pPr>
        <w:pStyle w:val="BodyTextDSW"/>
        <w:keepNext/>
        <w:numPr>
          <w:ilvl w:val="0"/>
          <w:numId w:val="8"/>
        </w:numPr>
        <w:tabs>
          <w:tab w:val="clear" w:pos="1080"/>
          <w:tab w:val="num" w:pos="1620"/>
        </w:tabs>
        <w:ind w:left="1627"/>
        <w:rPr>
          <w:rFonts w:asciiTheme="minorHAnsi" w:hAnsiTheme="minorHAnsi" w:cstheme="minorHAnsi"/>
          <w:sz w:val="22"/>
          <w:szCs w:val="22"/>
        </w:rPr>
      </w:pPr>
      <w:r w:rsidRPr="00EF765D">
        <w:rPr>
          <w:rFonts w:asciiTheme="minorHAnsi" w:hAnsiTheme="minorHAnsi" w:cstheme="minorHAnsi"/>
          <w:sz w:val="22"/>
          <w:szCs w:val="22"/>
        </w:rPr>
        <w:t>The owner/operator must perform the following activities:</w:t>
      </w:r>
    </w:p>
    <w:p w:rsidR="00EF765D" w:rsidRPr="00EF765D" w:rsidP="00EF765D" w14:paraId="41AB963A"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Prepare and submit the surety bond to EPA.</w:t>
      </w:r>
    </w:p>
    <w:p w:rsidR="00EF765D" w:rsidRPr="00EF765D" w:rsidP="00EF765D" w14:paraId="6EAEFD38"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Whenever the current cost estimate increases to an amount greater than the penal sum, submit evidence of the increase in the penal sum to the Regional Administrator or obtain other financial assurance to cover the increase.</w:t>
      </w:r>
    </w:p>
    <w:p w:rsidR="00EF765D" w:rsidRPr="00EF765D" w:rsidP="00EF765D" w14:paraId="4A35387E"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Obtain alternate financial assurance and obtain EPA approval if required because of cancellation of the bond.</w:t>
      </w:r>
    </w:p>
    <w:p w:rsidR="00EF765D" w:rsidRPr="00EF765D" w:rsidP="00EF765D" w14:paraId="76C50A05"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EF765D">
        <w:rPr>
          <w:rFonts w:asciiTheme="minorHAnsi" w:hAnsiTheme="minorHAnsi" w:cstheme="minorHAnsi"/>
          <w:sz w:val="22"/>
          <w:szCs w:val="22"/>
        </w:rPr>
        <w:t xml:space="preserve">The surety company may cancel the bond by sending notice of cancellation by certified mail to the owner or operator and to the Regional Administrator.  </w:t>
      </w:r>
    </w:p>
    <w:p w:rsidR="00EF765D" w:rsidRPr="00EF765D" w:rsidP="00EF765D" w14:paraId="001E5044"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EF765D">
        <w:rPr>
          <w:rFonts w:asciiTheme="minorHAnsi" w:hAnsiTheme="minorHAnsi" w:cstheme="minorHAnsi"/>
          <w:sz w:val="22"/>
          <w:szCs w:val="22"/>
        </w:rPr>
        <w:t>The owner or operator and surety company must comply with the terms of the surety bond.</w:t>
      </w:r>
    </w:p>
    <w:p w:rsidR="000505D2" w:rsidRPr="00784B38" w:rsidP="000505D2" w14:paraId="37882828" w14:textId="77777777">
      <w:pPr>
        <w:spacing w:before="240" w:after="240"/>
        <w:ind w:left="720"/>
        <w:rPr>
          <w:rFonts w:cstheme="minorHAnsi"/>
          <w:u w:val="single"/>
        </w:rPr>
      </w:pPr>
      <w:r w:rsidRPr="00784B38">
        <w:rPr>
          <w:rFonts w:cstheme="minorHAnsi"/>
          <w:u w:val="single"/>
        </w:rPr>
        <w:t>Letter of Credit</w:t>
      </w:r>
    </w:p>
    <w:p w:rsidR="00EF765D" w:rsidRPr="00EF765D" w:rsidP="00EF765D" w14:paraId="0435357E"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EF765D">
        <w:rPr>
          <w:rFonts w:asciiTheme="minorHAnsi" w:hAnsiTheme="minorHAnsi" w:cstheme="minorHAnsi"/>
          <w:sz w:val="22"/>
          <w:szCs w:val="22"/>
        </w:rPr>
        <w:t>The owner/operator must perform the following activities:</w:t>
      </w:r>
    </w:p>
    <w:p w:rsidR="00EF765D" w:rsidRPr="00EF765D" w:rsidP="00EF765D" w14:paraId="0851DE0C"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Prepare and submit letter of credit and letter referring to the letter of credit to the Regional Administrator.</w:t>
      </w:r>
    </w:p>
    <w:p w:rsidR="00EF765D" w:rsidRPr="00EF765D" w:rsidP="00EF765D" w14:paraId="47C01979"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 xml:space="preserve">Whenever the current cost estimate increases to an amount greater than the amount of the credit, submit evidence to the Regional Administrator of an increase in the credit or obtain other financial assurance as specified to cover the increase.  </w:t>
      </w:r>
    </w:p>
    <w:p w:rsidR="00EF765D" w:rsidRPr="00EF765D" w:rsidP="00EF765D" w14:paraId="2F9E09C1"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Obtain alternate financial assurance and obtain EPA approval if required because of termination of credit.</w:t>
      </w:r>
    </w:p>
    <w:p w:rsidR="00EF765D" w:rsidRPr="00EF765D" w:rsidP="00EF765D" w14:paraId="5CE8FFF0"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EF765D">
        <w:rPr>
          <w:rFonts w:asciiTheme="minorHAnsi" w:hAnsiTheme="minorHAnsi" w:cstheme="minorHAnsi"/>
          <w:sz w:val="22"/>
          <w:szCs w:val="22"/>
        </w:rPr>
        <w:t xml:space="preserve">The issuing institution may send </w:t>
      </w:r>
      <w:r w:rsidRPr="00EF765D">
        <w:rPr>
          <w:rFonts w:asciiTheme="minorHAnsi" w:hAnsiTheme="minorHAnsi" w:cstheme="minorHAnsi"/>
          <w:sz w:val="22"/>
          <w:szCs w:val="22"/>
        </w:rPr>
        <w:t>a notice</w:t>
      </w:r>
      <w:r w:rsidRPr="00EF765D">
        <w:rPr>
          <w:rFonts w:asciiTheme="minorHAnsi" w:hAnsiTheme="minorHAnsi" w:cstheme="minorHAnsi"/>
          <w:sz w:val="22"/>
          <w:szCs w:val="22"/>
        </w:rPr>
        <w:t xml:space="preserve"> of a decision not to extend the expiration date of the credit by certified mail to the owner or operator and to the Regional Administrator.  </w:t>
      </w:r>
    </w:p>
    <w:p w:rsidR="00EF765D" w:rsidRPr="00EF765D" w:rsidP="00EF765D" w14:paraId="71AF7752"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EF765D">
        <w:rPr>
          <w:rFonts w:asciiTheme="minorHAnsi" w:hAnsiTheme="minorHAnsi" w:cstheme="minorHAnsi"/>
          <w:sz w:val="22"/>
          <w:szCs w:val="22"/>
        </w:rPr>
        <w:t>The owner/operator and issuing institution must comply with the terms of the letter of credit.</w:t>
      </w:r>
    </w:p>
    <w:p w:rsidR="000505D2" w:rsidRPr="00784B38" w:rsidP="000505D2" w14:paraId="01C2F0DB" w14:textId="77777777">
      <w:pPr>
        <w:keepNext/>
        <w:spacing w:before="240" w:after="240"/>
        <w:ind w:left="720"/>
        <w:rPr>
          <w:rFonts w:cstheme="minorHAnsi"/>
          <w:u w:val="single"/>
        </w:rPr>
      </w:pPr>
      <w:r w:rsidRPr="00784B38">
        <w:rPr>
          <w:rFonts w:cstheme="minorHAnsi"/>
          <w:u w:val="single"/>
        </w:rPr>
        <w:t>Insurance</w:t>
      </w:r>
    </w:p>
    <w:p w:rsidR="00EF765D" w:rsidRPr="00EF765D" w:rsidP="00EF765D" w14:paraId="39E1969E"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EF765D">
        <w:rPr>
          <w:rFonts w:asciiTheme="minorHAnsi" w:hAnsiTheme="minorHAnsi" w:cstheme="minorHAnsi"/>
          <w:sz w:val="22"/>
          <w:szCs w:val="22"/>
        </w:rPr>
        <w:t>The owner/operator must perform the following activities:</w:t>
      </w:r>
    </w:p>
    <w:p w:rsidR="00EF765D" w:rsidRPr="00EF765D" w:rsidP="00EF765D" w14:paraId="1E5C0AC9"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Prepare and submit a certificate of insurance to the Regional Administrator.</w:t>
      </w:r>
    </w:p>
    <w:p w:rsidR="00EF765D" w:rsidRPr="00EF765D" w:rsidP="00EF765D" w14:paraId="4C167D43"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 xml:space="preserve">Request reimbursements for expenditures by submitting itemized bills to the Regional Administrator, if applicable. </w:t>
      </w:r>
    </w:p>
    <w:p w:rsidR="00EF765D" w:rsidRPr="00EF765D" w:rsidP="00EF765D" w14:paraId="15D04EAE"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 xml:space="preserve">Whenever the current cost estimate increases to an amount greater than the face value of the policy, submit evidence to the Regional Administrator of an increase in the policy or obtain other financial assurance as specified to cover the increase.  </w:t>
      </w:r>
    </w:p>
    <w:p w:rsidR="00EF765D" w:rsidRPr="00EF765D" w:rsidP="00EF765D" w14:paraId="73672CCB"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Obtain alternate financial assurance and obtain EPA approval if required because of cancellation, termination, or failure to renew the insurance.</w:t>
      </w:r>
    </w:p>
    <w:p w:rsidR="00EF765D" w:rsidRPr="00EF765D" w:rsidP="00EF765D" w14:paraId="582E61CE"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EF765D">
        <w:rPr>
          <w:rFonts w:asciiTheme="minorHAnsi" w:hAnsiTheme="minorHAnsi" w:cstheme="minorHAnsi"/>
          <w:sz w:val="22"/>
          <w:szCs w:val="22"/>
        </w:rPr>
        <w:t xml:space="preserve">The insurer may elect to cancel, terminate, or fail to renew the policy by sending notice by certified mail to the owner or operator and the Regional Administrator.  </w:t>
      </w:r>
    </w:p>
    <w:p w:rsidR="00EF765D" w:rsidRPr="00EF765D" w:rsidP="00EF765D" w14:paraId="066AF1A2"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EF765D">
        <w:rPr>
          <w:rFonts w:asciiTheme="minorHAnsi" w:hAnsiTheme="minorHAnsi" w:cstheme="minorHAnsi"/>
          <w:sz w:val="22"/>
          <w:szCs w:val="22"/>
        </w:rPr>
        <w:t>The owner/operator and insurer must comply with the terms of the certificate of insurance.</w:t>
      </w:r>
    </w:p>
    <w:p w:rsidR="000505D2" w:rsidRPr="00784B38" w:rsidP="000505D2" w14:paraId="2A3A5504" w14:textId="77777777">
      <w:pPr>
        <w:keepNext/>
        <w:spacing w:before="240" w:after="240"/>
        <w:ind w:left="720"/>
        <w:rPr>
          <w:rFonts w:cstheme="minorHAnsi"/>
          <w:u w:val="single"/>
        </w:rPr>
      </w:pPr>
      <w:r w:rsidRPr="00784B38">
        <w:rPr>
          <w:rFonts w:cstheme="minorHAnsi"/>
          <w:u w:val="single"/>
        </w:rPr>
        <w:t>Financial Test and Corporate Guarantee</w:t>
      </w:r>
    </w:p>
    <w:p w:rsidR="00EF765D" w:rsidRPr="00EF765D" w:rsidP="00EF765D" w14:paraId="641930BE"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EF765D">
        <w:rPr>
          <w:rFonts w:asciiTheme="minorHAnsi" w:hAnsiTheme="minorHAnsi" w:cstheme="minorHAnsi"/>
          <w:sz w:val="22"/>
          <w:szCs w:val="22"/>
        </w:rPr>
        <w:t>The owner/operator must perform the following activities:</w:t>
      </w:r>
    </w:p>
    <w:p w:rsidR="00EF765D" w:rsidRPr="00EF765D" w:rsidP="00EF765D" w14:paraId="356FCA6E"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Prepare and submit to EPA a signed letter, copy of the independent certified public accountant's report on examination of the owner's or operator's financial statements, a special report from the owner’s or operator’s independent certified public accountant if applicable, and a guarantee if applicable.</w:t>
      </w:r>
    </w:p>
    <w:p w:rsidR="00EF765D" w:rsidRPr="00EF765D" w:rsidP="00EF765D" w14:paraId="1CB5BCE6"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 xml:space="preserve">To obtain an extension of the time allowed for submission of the documents specified in 40 CFR 261.143(e)(3), prepare and send a letter to the Regional Administrator of each Region in which the owner's or operator's facilities to be covered by the financial test are located.  </w:t>
      </w:r>
    </w:p>
    <w:p w:rsidR="00EF765D" w:rsidRPr="00EF765D" w:rsidP="00EF765D" w14:paraId="031C7C5B"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Prepare and submit updated information to EPA under 40 CFR 261.143(e)(5), at the close of each fiscal year, as specified.</w:t>
      </w:r>
    </w:p>
    <w:p w:rsidR="00EF765D" w:rsidRPr="00EF765D" w:rsidP="00EF765D" w14:paraId="76DB5665"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 xml:space="preserve">Prepare and submit a notice to EPA by certified mail </w:t>
      </w:r>
      <w:r w:rsidRPr="00EF765D">
        <w:rPr>
          <w:rFonts w:cstheme="minorHAnsi"/>
        </w:rPr>
        <w:t>of intent</w:t>
      </w:r>
      <w:r w:rsidRPr="00EF765D">
        <w:rPr>
          <w:rFonts w:cstheme="minorHAnsi"/>
        </w:rPr>
        <w:t xml:space="preserve"> to establish alternate financial assurance.</w:t>
      </w:r>
    </w:p>
    <w:p w:rsidR="00EF765D" w:rsidRPr="00EF765D" w:rsidP="00EF765D" w14:paraId="578E4865"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 xml:space="preserve">Prepare and submit reports </w:t>
      </w:r>
      <w:r w:rsidRPr="00EF765D">
        <w:rPr>
          <w:rFonts w:cstheme="minorHAnsi"/>
        </w:rPr>
        <w:t>of</w:t>
      </w:r>
      <w:r w:rsidRPr="00EF765D">
        <w:rPr>
          <w:rFonts w:cstheme="minorHAnsi"/>
        </w:rPr>
        <w:t xml:space="preserve"> financial </w:t>
      </w:r>
      <w:r w:rsidRPr="00EF765D">
        <w:rPr>
          <w:rFonts w:cstheme="minorHAnsi"/>
        </w:rPr>
        <w:t>condition</w:t>
      </w:r>
      <w:r w:rsidRPr="00EF765D">
        <w:rPr>
          <w:rFonts w:cstheme="minorHAnsi"/>
        </w:rPr>
        <w:t>, if requested by the Regional Administrator.</w:t>
      </w:r>
    </w:p>
    <w:p w:rsidR="00EF765D" w:rsidRPr="00EF765D" w:rsidP="00EF765D" w14:paraId="087C243C"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Obtain alternate financial assurance and obtain EPA approval if required because the financial tests are no longer met or disallowed by EPA.</w:t>
      </w:r>
    </w:p>
    <w:p w:rsidR="00EF765D" w:rsidRPr="00EF765D" w:rsidP="00EF765D" w14:paraId="1D86C799"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Comply with the terms in the letter from the chief financial officer and guarantee.</w:t>
      </w:r>
    </w:p>
    <w:p w:rsidR="000505D2" w:rsidRPr="00290000" w:rsidP="00EF765D" w14:paraId="2BBA1DAF" w14:textId="7D0F52D7">
      <w:pPr>
        <w:pStyle w:val="BodyTextDSW"/>
        <w:keepNext/>
        <w:spacing w:before="240" w:after="240"/>
        <w:ind w:left="1440" w:firstLine="0"/>
        <w:rPr>
          <w:rFonts w:asciiTheme="minorHAnsi" w:hAnsiTheme="minorHAnsi" w:cstheme="minorHAnsi"/>
          <w:b/>
          <w:bCs/>
          <w:sz w:val="22"/>
          <w:szCs w:val="22"/>
        </w:rPr>
      </w:pPr>
      <w:r>
        <w:rPr>
          <w:rFonts w:asciiTheme="minorHAnsi" w:hAnsiTheme="minorHAnsi" w:cstheme="minorHAnsi"/>
          <w:b/>
          <w:bCs/>
          <w:sz w:val="22"/>
          <w:szCs w:val="22"/>
        </w:rPr>
        <w:t>iv.</w:t>
      </w:r>
      <w:r w:rsidRPr="00290000">
        <w:rPr>
          <w:rFonts w:asciiTheme="minorHAnsi" w:hAnsiTheme="minorHAnsi" w:cstheme="minorHAnsi"/>
          <w:b/>
          <w:bCs/>
          <w:sz w:val="22"/>
          <w:szCs w:val="22"/>
        </w:rPr>
        <w:t>Receipt</w:t>
      </w:r>
      <w:r w:rsidRPr="00290000">
        <w:rPr>
          <w:rFonts w:asciiTheme="minorHAnsi" w:hAnsiTheme="minorHAnsi" w:cstheme="minorHAnsi"/>
          <w:b/>
          <w:bCs/>
          <w:sz w:val="22"/>
          <w:szCs w:val="22"/>
        </w:rPr>
        <w:t xml:space="preserve"> Confirmations</w:t>
      </w:r>
    </w:p>
    <w:p w:rsidR="00EF765D" w:rsidRPr="00EF765D" w:rsidP="00EF765D" w14:paraId="5AFEB7E5" w14:textId="77777777">
      <w:pPr>
        <w:pStyle w:val="BodyTextDSW"/>
        <w:keepNext/>
        <w:numPr>
          <w:ilvl w:val="1"/>
          <w:numId w:val="11"/>
        </w:numPr>
        <w:rPr>
          <w:rFonts w:asciiTheme="minorHAnsi" w:hAnsiTheme="minorHAnsi" w:cstheme="minorHAnsi"/>
          <w:sz w:val="22"/>
          <w:szCs w:val="22"/>
        </w:rPr>
      </w:pPr>
      <w:r w:rsidRPr="00EF765D">
        <w:rPr>
          <w:rFonts w:asciiTheme="minorHAnsi" w:hAnsiTheme="minorHAnsi" w:cstheme="minorHAnsi"/>
          <w:sz w:val="22"/>
          <w:szCs w:val="22"/>
        </w:rPr>
        <w:t>Maintain records of shipments and confirmations of receipts for a period of three years from the dates of the shipments</w:t>
      </w:r>
    </w:p>
    <w:p w:rsidR="000505D2" w:rsidRPr="00290000" w:rsidP="000505D2" w14:paraId="7510B745" w14:textId="1FAEE67F">
      <w:pPr>
        <w:pStyle w:val="BodyTextDSW"/>
        <w:ind w:firstLine="0"/>
        <w:rPr>
          <w:rFonts w:asciiTheme="minorHAnsi" w:hAnsiTheme="minorHAnsi" w:cstheme="minorHAnsi"/>
          <w:b/>
          <w:sz w:val="22"/>
          <w:szCs w:val="22"/>
        </w:rPr>
      </w:pPr>
      <w:r>
        <w:rPr>
          <w:rFonts w:asciiTheme="minorHAnsi" w:hAnsiTheme="minorHAnsi" w:cstheme="minorHAnsi"/>
          <w:b/>
          <w:sz w:val="22"/>
          <w:szCs w:val="22"/>
        </w:rPr>
        <w:t xml:space="preserve">Requirement 2: </w:t>
      </w:r>
      <w:r w:rsidRPr="00290000">
        <w:rPr>
          <w:rFonts w:asciiTheme="minorHAnsi" w:hAnsiTheme="minorHAnsi" w:cstheme="minorHAnsi"/>
          <w:b/>
          <w:sz w:val="22"/>
          <w:szCs w:val="22"/>
        </w:rPr>
        <w:t>Hazardous Secondary Material Generated and Reclaimed under the Control of the Generator</w:t>
      </w:r>
    </w:p>
    <w:p w:rsidR="00EF765D" w:rsidRPr="00290000" w:rsidP="00EF765D" w14:paraId="137A07BF" w14:textId="443C743C">
      <w:pPr>
        <w:pStyle w:val="BodyTextDSW"/>
        <w:keepNext/>
        <w:numPr>
          <w:ilvl w:val="0"/>
          <w:numId w:val="23"/>
        </w:numPr>
        <w:spacing w:before="240" w:after="240"/>
        <w:rPr>
          <w:rFonts w:asciiTheme="minorHAnsi" w:hAnsiTheme="minorHAnsi" w:cstheme="minorHAnsi"/>
          <w:b/>
          <w:bCs/>
          <w:sz w:val="22"/>
          <w:szCs w:val="22"/>
        </w:rPr>
      </w:pPr>
      <w:r w:rsidRPr="00290000">
        <w:rPr>
          <w:rFonts w:asciiTheme="minorHAnsi" w:hAnsiTheme="minorHAnsi" w:cstheme="minorHAnsi"/>
          <w:b/>
          <w:bCs/>
          <w:sz w:val="22"/>
          <w:szCs w:val="22"/>
        </w:rPr>
        <w:t xml:space="preserve">Recordkeeping Requirement for Tolling Arrangements </w:t>
      </w:r>
    </w:p>
    <w:p w:rsidR="00EF765D" w:rsidRPr="00EF765D" w:rsidP="00EF765D" w14:paraId="37AB6E9B" w14:textId="77777777">
      <w:pPr>
        <w:pStyle w:val="BodyTextDSW"/>
        <w:numPr>
          <w:ilvl w:val="0"/>
          <w:numId w:val="24"/>
        </w:numPr>
        <w:rPr>
          <w:rFonts w:asciiTheme="minorHAnsi" w:hAnsiTheme="minorHAnsi" w:cstheme="minorHAnsi"/>
          <w:sz w:val="22"/>
          <w:szCs w:val="22"/>
        </w:rPr>
      </w:pPr>
      <w:r w:rsidRPr="00EF765D">
        <w:rPr>
          <w:rFonts w:asciiTheme="minorHAnsi" w:hAnsiTheme="minorHAnsi" w:cstheme="minorHAnsi"/>
          <w:sz w:val="22"/>
          <w:szCs w:val="22"/>
        </w:rPr>
        <w:t>Prepare and maintain at the tolling contractor facility, for no less than three years, records of all hazardous secondary materials received pursuant to the written contract with the tolling manufacturer</w:t>
      </w:r>
    </w:p>
    <w:p w:rsidR="00EF765D" w:rsidRPr="00EF765D" w:rsidP="00EF765D" w14:paraId="46BF1397" w14:textId="77777777">
      <w:pPr>
        <w:pStyle w:val="BodyTextDSW"/>
        <w:numPr>
          <w:ilvl w:val="0"/>
          <w:numId w:val="24"/>
        </w:numPr>
        <w:rPr>
          <w:rFonts w:asciiTheme="minorHAnsi" w:hAnsiTheme="minorHAnsi" w:cstheme="minorHAnsi"/>
          <w:sz w:val="22"/>
          <w:szCs w:val="22"/>
        </w:rPr>
      </w:pPr>
      <w:r w:rsidRPr="00EF765D">
        <w:rPr>
          <w:rFonts w:asciiTheme="minorHAnsi" w:hAnsiTheme="minorHAnsi" w:cstheme="minorHAnsi"/>
          <w:sz w:val="22"/>
          <w:szCs w:val="22"/>
        </w:rPr>
        <w:t>Prepare and maintain at the tolling manufacturer facility, for no less than three years, records of all hazardous secondary materials shipped pursuant to its written contract with the tolling contractor</w:t>
      </w:r>
    </w:p>
    <w:p w:rsidR="00EF765D" w:rsidRPr="00290000" w:rsidP="00EF765D" w14:paraId="6BD9436F" w14:textId="2792664A">
      <w:pPr>
        <w:pStyle w:val="BodyTextDSW"/>
        <w:keepNext/>
        <w:numPr>
          <w:ilvl w:val="0"/>
          <w:numId w:val="23"/>
        </w:numPr>
        <w:spacing w:before="240" w:after="240"/>
        <w:rPr>
          <w:rFonts w:asciiTheme="minorHAnsi" w:hAnsiTheme="minorHAnsi" w:cstheme="minorHAnsi"/>
          <w:b/>
          <w:bCs/>
          <w:sz w:val="22"/>
          <w:szCs w:val="22"/>
        </w:rPr>
      </w:pPr>
      <w:r w:rsidRPr="00290000">
        <w:rPr>
          <w:rFonts w:asciiTheme="minorHAnsi" w:hAnsiTheme="minorHAnsi" w:cstheme="minorHAnsi"/>
          <w:b/>
          <w:bCs/>
          <w:sz w:val="22"/>
          <w:szCs w:val="22"/>
        </w:rPr>
        <w:t>Emergency Preparedness and Response</w:t>
      </w:r>
    </w:p>
    <w:p w:rsidR="00EF765D" w:rsidRPr="00EF765D" w:rsidP="00EF765D" w14:paraId="45615487" w14:textId="77777777">
      <w:pPr>
        <w:pStyle w:val="BodyTextDSW"/>
        <w:numPr>
          <w:ilvl w:val="0"/>
          <w:numId w:val="10"/>
        </w:numPr>
        <w:rPr>
          <w:rFonts w:asciiTheme="minorHAnsi" w:hAnsiTheme="minorHAnsi" w:cstheme="minorHAnsi"/>
          <w:sz w:val="22"/>
          <w:szCs w:val="22"/>
        </w:rPr>
      </w:pPr>
      <w:r w:rsidRPr="00EF765D">
        <w:rPr>
          <w:rFonts w:asciiTheme="minorHAnsi" w:hAnsiTheme="minorHAnsi" w:cstheme="minorHAnsi"/>
          <w:sz w:val="22"/>
          <w:szCs w:val="22"/>
        </w:rPr>
        <w:t>Collect and maintain the personnel training records as described above</w:t>
      </w:r>
    </w:p>
    <w:p w:rsidR="00EF765D" w:rsidRPr="00EF765D" w:rsidP="00EF765D" w14:paraId="41F48B05" w14:textId="77777777">
      <w:pPr>
        <w:pStyle w:val="BodyTextDSW"/>
        <w:numPr>
          <w:ilvl w:val="0"/>
          <w:numId w:val="10"/>
        </w:numPr>
        <w:rPr>
          <w:rFonts w:asciiTheme="minorHAnsi" w:hAnsiTheme="minorHAnsi" w:cstheme="minorHAnsi"/>
          <w:sz w:val="22"/>
          <w:szCs w:val="22"/>
        </w:rPr>
      </w:pPr>
      <w:r w:rsidRPr="00EF765D">
        <w:rPr>
          <w:rFonts w:asciiTheme="minorHAnsi" w:hAnsiTheme="minorHAnsi" w:cstheme="minorHAnsi"/>
          <w:sz w:val="22"/>
          <w:szCs w:val="22"/>
        </w:rPr>
        <w:t>Under contingency planning requirements, generators must:</w:t>
      </w:r>
    </w:p>
    <w:p w:rsidR="00EF765D" w:rsidRPr="00EF765D" w:rsidP="00EF765D" w14:paraId="5D861FB2"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 xml:space="preserve">Collect data required in contingency </w:t>
      </w:r>
      <w:r w:rsidRPr="00EF765D">
        <w:rPr>
          <w:rFonts w:cstheme="minorHAnsi"/>
        </w:rPr>
        <w:t>plan;</w:t>
      </w:r>
    </w:p>
    <w:p w:rsidR="00EF765D" w:rsidRPr="00EF765D" w:rsidP="00EF765D" w14:paraId="7D7AEA8B"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 xml:space="preserve">Document whether authorities decline </w:t>
      </w:r>
      <w:r w:rsidRPr="00EF765D">
        <w:rPr>
          <w:rFonts w:cstheme="minorHAnsi"/>
        </w:rPr>
        <w:t>arrangement;</w:t>
      </w:r>
    </w:p>
    <w:p w:rsidR="00EF765D" w:rsidRPr="00EF765D" w:rsidP="00EF765D" w14:paraId="6F84D280"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 xml:space="preserve">Write contingency </w:t>
      </w:r>
      <w:r w:rsidRPr="00EF765D">
        <w:rPr>
          <w:rFonts w:cstheme="minorHAnsi"/>
        </w:rPr>
        <w:t>plan;</w:t>
      </w:r>
      <w:r w:rsidRPr="00EF765D">
        <w:rPr>
          <w:rFonts w:cstheme="minorHAnsi"/>
        </w:rPr>
        <w:t xml:space="preserve"> </w:t>
      </w:r>
    </w:p>
    <w:p w:rsidR="00EF765D" w:rsidRPr="00EF765D" w:rsidP="00EF765D" w14:paraId="558C6A04"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 xml:space="preserve">Maintain contingency </w:t>
      </w:r>
      <w:r w:rsidRPr="00EF765D">
        <w:rPr>
          <w:rFonts w:cstheme="minorHAnsi"/>
        </w:rPr>
        <w:t>plan;</w:t>
      </w:r>
    </w:p>
    <w:p w:rsidR="00EF765D" w:rsidRPr="00EF765D" w:rsidP="00EF765D" w14:paraId="06CBFC7D"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 xml:space="preserve">Submit contingency </w:t>
      </w:r>
      <w:r w:rsidRPr="00EF765D">
        <w:rPr>
          <w:rFonts w:cstheme="minorHAnsi"/>
        </w:rPr>
        <w:t>plan</w:t>
      </w:r>
      <w:r w:rsidRPr="00EF765D">
        <w:rPr>
          <w:rFonts w:cstheme="minorHAnsi"/>
        </w:rPr>
        <w:t xml:space="preserve"> to relevant emergency centers; and</w:t>
      </w:r>
    </w:p>
    <w:p w:rsidR="00EF765D" w:rsidRPr="00EF765D" w:rsidP="00EF765D" w14:paraId="5AA20380" w14:textId="77777777">
      <w:pPr>
        <w:widowControl w:val="0"/>
        <w:numPr>
          <w:ilvl w:val="0"/>
          <w:numId w:val="9"/>
        </w:numPr>
        <w:autoSpaceDE w:val="0"/>
        <w:autoSpaceDN w:val="0"/>
        <w:adjustRightInd w:val="0"/>
        <w:spacing w:after="120" w:line="240" w:lineRule="auto"/>
        <w:rPr>
          <w:rFonts w:cstheme="minorHAnsi"/>
        </w:rPr>
      </w:pPr>
      <w:r w:rsidRPr="00EF765D">
        <w:rPr>
          <w:rFonts w:cstheme="minorHAnsi"/>
        </w:rPr>
        <w:t>Amend contingency plan, when appropriate</w:t>
      </w:r>
    </w:p>
    <w:p w:rsidR="00EF765D" w:rsidRPr="00EF765D" w:rsidP="00EF765D" w14:paraId="146D3944" w14:textId="77777777">
      <w:pPr>
        <w:pStyle w:val="BodyTextDSW"/>
        <w:numPr>
          <w:ilvl w:val="0"/>
          <w:numId w:val="10"/>
        </w:numPr>
        <w:rPr>
          <w:rFonts w:asciiTheme="minorHAnsi" w:hAnsiTheme="minorHAnsi" w:cstheme="minorHAnsi"/>
          <w:sz w:val="22"/>
          <w:szCs w:val="22"/>
        </w:rPr>
      </w:pPr>
      <w:r w:rsidRPr="00EF765D">
        <w:rPr>
          <w:rFonts w:asciiTheme="minorHAnsi" w:hAnsiTheme="minorHAnsi" w:cstheme="minorHAnsi"/>
          <w:sz w:val="22"/>
          <w:szCs w:val="22"/>
        </w:rPr>
        <w:t>Under emergency procedure requirements, generators accumulating less than 6,000 kg of hazardous secondary material must:</w:t>
      </w:r>
    </w:p>
    <w:p w:rsidR="00EF765D" w:rsidRPr="00EF765D" w:rsidP="00EF765D" w14:paraId="3D3AB188"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 xml:space="preserve">Observe scene of hazardous waste </w:t>
      </w:r>
      <w:r w:rsidRPr="00EF765D">
        <w:rPr>
          <w:rFonts w:cstheme="minorHAnsi"/>
        </w:rPr>
        <w:t>discharge;</w:t>
      </w:r>
    </w:p>
    <w:p w:rsidR="00EF765D" w:rsidRPr="00EF765D" w:rsidP="00EF765D" w14:paraId="0FB9815B"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 xml:space="preserve">Report by phone requested data for </w:t>
      </w:r>
      <w:r w:rsidRPr="00EF765D">
        <w:rPr>
          <w:rFonts w:cstheme="minorHAnsi"/>
        </w:rPr>
        <w:t>NRC;</w:t>
      </w:r>
    </w:p>
    <w:p w:rsidR="00EF765D" w:rsidRPr="00EF765D" w:rsidP="00EF765D" w14:paraId="5AA43675"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 xml:space="preserve">Document that local officials </w:t>
      </w:r>
      <w:r w:rsidRPr="00EF765D">
        <w:rPr>
          <w:rFonts w:cstheme="minorHAnsi"/>
        </w:rPr>
        <w:t>declines</w:t>
      </w:r>
      <w:r w:rsidRPr="00EF765D">
        <w:rPr>
          <w:rFonts w:cstheme="minorHAnsi"/>
        </w:rPr>
        <w:t xml:space="preserve"> to </w:t>
      </w:r>
      <w:r w:rsidRPr="00EF765D">
        <w:rPr>
          <w:rFonts w:cstheme="minorHAnsi"/>
        </w:rPr>
        <w:t>enter into</w:t>
      </w:r>
      <w:r w:rsidRPr="00EF765D">
        <w:rPr>
          <w:rFonts w:cstheme="minorHAnsi"/>
        </w:rPr>
        <w:t xml:space="preserve"> arrangements for coordinating response; and </w:t>
      </w:r>
    </w:p>
    <w:p w:rsidR="00EF765D" w:rsidRPr="00EF765D" w:rsidP="00EF765D" w14:paraId="68C9FB65" w14:textId="77777777">
      <w:pPr>
        <w:widowControl w:val="0"/>
        <w:numPr>
          <w:ilvl w:val="0"/>
          <w:numId w:val="9"/>
        </w:numPr>
        <w:autoSpaceDE w:val="0"/>
        <w:autoSpaceDN w:val="0"/>
        <w:adjustRightInd w:val="0"/>
        <w:spacing w:after="120" w:line="240" w:lineRule="auto"/>
        <w:rPr>
          <w:rFonts w:cstheme="minorHAnsi"/>
        </w:rPr>
      </w:pPr>
      <w:r w:rsidRPr="00EF765D">
        <w:rPr>
          <w:rFonts w:cstheme="minorHAnsi"/>
        </w:rPr>
        <w:t>Providing post-emergency information by phone</w:t>
      </w:r>
    </w:p>
    <w:p w:rsidR="00EF765D" w:rsidRPr="00EF765D" w:rsidP="00EF765D" w14:paraId="27BE4A2E" w14:textId="77777777">
      <w:pPr>
        <w:pStyle w:val="BodyTextDSW"/>
        <w:numPr>
          <w:ilvl w:val="0"/>
          <w:numId w:val="10"/>
        </w:numPr>
        <w:rPr>
          <w:rFonts w:asciiTheme="minorHAnsi" w:hAnsiTheme="minorHAnsi" w:cstheme="minorHAnsi"/>
          <w:sz w:val="22"/>
          <w:szCs w:val="22"/>
        </w:rPr>
      </w:pPr>
      <w:r w:rsidRPr="00EF765D">
        <w:rPr>
          <w:rFonts w:asciiTheme="minorHAnsi" w:hAnsiTheme="minorHAnsi" w:cstheme="minorHAnsi"/>
          <w:sz w:val="22"/>
          <w:szCs w:val="22"/>
        </w:rPr>
        <w:t>Under emergency procedure requirements, generators accumulating more than 6,000 kg of hazardous secondary material must:</w:t>
      </w:r>
    </w:p>
    <w:p w:rsidR="00EF765D" w:rsidRPr="00EF765D" w:rsidP="00EF765D" w14:paraId="4A307D2F"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 xml:space="preserve">Collect information required in emergency </w:t>
      </w:r>
      <w:r w:rsidRPr="00EF765D">
        <w:rPr>
          <w:rFonts w:cstheme="minorHAnsi"/>
        </w:rPr>
        <w:t>report;</w:t>
      </w:r>
    </w:p>
    <w:p w:rsidR="00EF765D" w:rsidRPr="00EF765D" w:rsidP="00EF765D" w14:paraId="413F4FF0"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Write emergency report; and</w:t>
      </w:r>
    </w:p>
    <w:p w:rsidR="00EF765D" w:rsidRPr="00EF765D" w:rsidP="00EF765D" w14:paraId="34EA7830" w14:textId="77777777">
      <w:pPr>
        <w:widowControl w:val="0"/>
        <w:numPr>
          <w:ilvl w:val="0"/>
          <w:numId w:val="9"/>
        </w:numPr>
        <w:autoSpaceDE w:val="0"/>
        <w:autoSpaceDN w:val="0"/>
        <w:adjustRightInd w:val="0"/>
        <w:spacing w:after="0" w:line="240" w:lineRule="auto"/>
        <w:rPr>
          <w:rFonts w:cstheme="minorHAnsi"/>
        </w:rPr>
      </w:pPr>
      <w:r w:rsidRPr="00EF765D">
        <w:rPr>
          <w:rFonts w:cstheme="minorHAnsi"/>
        </w:rPr>
        <w:t>Call OSC or notify NRC; notify local authorities if advisable</w:t>
      </w:r>
    </w:p>
    <w:p w:rsidR="00EF765D" w:rsidRPr="00AF709A" w:rsidP="00EF765D" w14:paraId="65A2D003" w14:textId="77777777">
      <w:pPr>
        <w:pStyle w:val="BodyTextDSW"/>
        <w:keepNext/>
        <w:numPr>
          <w:ilvl w:val="0"/>
          <w:numId w:val="23"/>
        </w:numPr>
        <w:spacing w:before="240" w:after="240"/>
        <w:rPr>
          <w:rFonts w:asciiTheme="minorHAnsi" w:hAnsiTheme="minorHAnsi" w:cstheme="minorHAnsi"/>
          <w:b/>
          <w:bCs/>
          <w:sz w:val="22"/>
          <w:szCs w:val="22"/>
        </w:rPr>
      </w:pPr>
      <w:r w:rsidRPr="00AF709A">
        <w:rPr>
          <w:rFonts w:asciiTheme="minorHAnsi" w:hAnsiTheme="minorHAnsi" w:cstheme="minorHAnsi"/>
          <w:b/>
          <w:bCs/>
          <w:sz w:val="22"/>
          <w:szCs w:val="22"/>
        </w:rPr>
        <w:t>Certifications</w:t>
      </w:r>
    </w:p>
    <w:p w:rsidR="00EF765D" w:rsidRPr="00EF765D" w:rsidP="00EF765D" w14:paraId="24EE8368" w14:textId="77777777">
      <w:pPr>
        <w:pStyle w:val="BodyTextDSW"/>
        <w:numPr>
          <w:ilvl w:val="1"/>
          <w:numId w:val="23"/>
        </w:numPr>
        <w:rPr>
          <w:rFonts w:asciiTheme="minorHAnsi" w:hAnsiTheme="minorHAnsi" w:cstheme="minorHAnsi"/>
          <w:sz w:val="22"/>
          <w:szCs w:val="22"/>
        </w:rPr>
      </w:pPr>
      <w:r w:rsidRPr="00EF765D">
        <w:rPr>
          <w:rFonts w:asciiTheme="minorHAnsi" w:hAnsiTheme="minorHAnsi" w:cstheme="minorHAnsi"/>
          <w:sz w:val="22"/>
          <w:szCs w:val="22"/>
        </w:rPr>
        <w:t xml:space="preserve">The generator or </w:t>
      </w:r>
      <w:r w:rsidRPr="00EF765D">
        <w:rPr>
          <w:rFonts w:asciiTheme="minorHAnsi" w:hAnsiTheme="minorHAnsi" w:cstheme="minorHAnsi"/>
          <w:sz w:val="22"/>
          <w:szCs w:val="22"/>
        </w:rPr>
        <w:t>tolling</w:t>
      </w:r>
      <w:r w:rsidRPr="00EF765D">
        <w:rPr>
          <w:rFonts w:asciiTheme="minorHAnsi" w:hAnsiTheme="minorHAnsi" w:cstheme="minorHAnsi"/>
          <w:sz w:val="22"/>
          <w:szCs w:val="22"/>
        </w:rPr>
        <w:t xml:space="preserve"> contractor must prepare the certification</w:t>
      </w:r>
    </w:p>
    <w:p w:rsidR="00277D9A" w:rsidRPr="00AF709A" w:rsidP="00277D9A" w14:paraId="3750BEE0" w14:textId="77777777">
      <w:pPr>
        <w:pStyle w:val="BodyTextDSW"/>
        <w:ind w:firstLine="0"/>
        <w:rPr>
          <w:rFonts w:asciiTheme="minorHAnsi" w:hAnsiTheme="minorHAnsi" w:cstheme="minorHAnsi"/>
          <w:b/>
          <w:sz w:val="22"/>
          <w:szCs w:val="22"/>
        </w:rPr>
      </w:pPr>
      <w:r>
        <w:rPr>
          <w:rFonts w:asciiTheme="minorHAnsi" w:hAnsiTheme="minorHAnsi" w:cstheme="minorHAnsi"/>
          <w:b/>
          <w:sz w:val="22"/>
          <w:szCs w:val="22"/>
        </w:rPr>
        <w:t xml:space="preserve">Requirement 3: </w:t>
      </w:r>
      <w:r w:rsidRPr="00AF709A">
        <w:rPr>
          <w:rFonts w:asciiTheme="minorHAnsi" w:hAnsiTheme="minorHAnsi" w:cstheme="minorHAnsi"/>
          <w:b/>
          <w:sz w:val="22"/>
          <w:szCs w:val="22"/>
        </w:rPr>
        <w:t>Solid Waste Variances and Non-Waste Determinations</w:t>
      </w:r>
    </w:p>
    <w:p w:rsidR="00277D9A" w:rsidRPr="00AF709A" w:rsidP="00277D9A" w14:paraId="2FB75857" w14:textId="77777777">
      <w:pPr>
        <w:pStyle w:val="BodyTextDSW"/>
        <w:keepNext/>
        <w:numPr>
          <w:ilvl w:val="0"/>
          <w:numId w:val="25"/>
        </w:numPr>
        <w:spacing w:before="240" w:after="240"/>
        <w:rPr>
          <w:rFonts w:asciiTheme="minorHAnsi" w:hAnsiTheme="minorHAnsi" w:cstheme="minorHAnsi"/>
          <w:b/>
          <w:bCs/>
          <w:sz w:val="22"/>
          <w:szCs w:val="22"/>
        </w:rPr>
      </w:pPr>
      <w:r w:rsidRPr="00AF709A">
        <w:rPr>
          <w:rFonts w:asciiTheme="minorHAnsi" w:hAnsiTheme="minorHAnsi" w:cstheme="minorHAnsi"/>
          <w:b/>
          <w:bCs/>
          <w:sz w:val="22"/>
          <w:szCs w:val="22"/>
        </w:rPr>
        <w:t>Variances from Classification as a Solid Waste</w:t>
      </w:r>
    </w:p>
    <w:p w:rsidR="00277D9A" w:rsidRPr="00277D9A" w:rsidP="00277D9A" w14:paraId="43AEDF19" w14:textId="77777777">
      <w:pPr>
        <w:pStyle w:val="BodyTextDSW"/>
        <w:numPr>
          <w:ilvl w:val="1"/>
          <w:numId w:val="26"/>
        </w:numPr>
        <w:rPr>
          <w:rFonts w:asciiTheme="minorHAnsi" w:hAnsiTheme="minorHAnsi" w:cstheme="minorHAnsi"/>
          <w:sz w:val="22"/>
          <w:szCs w:val="22"/>
        </w:rPr>
      </w:pPr>
      <w:r w:rsidRPr="00277D9A">
        <w:rPr>
          <w:rFonts w:asciiTheme="minorHAnsi" w:hAnsiTheme="minorHAnsi" w:cstheme="minorHAnsi"/>
          <w:sz w:val="22"/>
          <w:szCs w:val="22"/>
        </w:rPr>
        <w:t xml:space="preserve">Notify the Administrator in the event of a change in circumstances that affects how </w:t>
      </w:r>
      <w:r w:rsidRPr="00277D9A">
        <w:rPr>
          <w:rFonts w:asciiTheme="minorHAnsi" w:hAnsiTheme="minorHAnsi" w:cstheme="minorHAnsi"/>
          <w:sz w:val="22"/>
          <w:szCs w:val="22"/>
        </w:rPr>
        <w:t>a hazardous</w:t>
      </w:r>
      <w:r w:rsidRPr="00277D9A">
        <w:rPr>
          <w:rFonts w:asciiTheme="minorHAnsi" w:hAnsiTheme="minorHAnsi" w:cstheme="minorHAnsi"/>
          <w:sz w:val="22"/>
          <w:szCs w:val="22"/>
        </w:rPr>
        <w:t xml:space="preserve"> secondary material meets the relevant criteria upon which a variance or non-waste determination has been based</w:t>
      </w:r>
    </w:p>
    <w:p w:rsidR="00277D9A" w:rsidRPr="00277D9A" w:rsidP="00277D9A" w14:paraId="26B1A7E9" w14:textId="77777777">
      <w:pPr>
        <w:pStyle w:val="BodyTextDSW"/>
        <w:numPr>
          <w:ilvl w:val="1"/>
          <w:numId w:val="26"/>
        </w:numPr>
        <w:rPr>
          <w:rFonts w:asciiTheme="minorHAnsi" w:hAnsiTheme="minorHAnsi" w:cstheme="minorHAnsi"/>
          <w:sz w:val="22"/>
          <w:szCs w:val="22"/>
        </w:rPr>
      </w:pPr>
      <w:r w:rsidRPr="00277D9A">
        <w:rPr>
          <w:rFonts w:asciiTheme="minorHAnsi" w:hAnsiTheme="minorHAnsi" w:cstheme="minorHAnsi"/>
          <w:sz w:val="22"/>
          <w:szCs w:val="22"/>
        </w:rPr>
        <w:t>Re-apply for a variance at least every ten years</w:t>
      </w:r>
    </w:p>
    <w:p w:rsidR="00277D9A" w:rsidRPr="00277D9A" w:rsidP="00277D9A" w14:paraId="088369B8" w14:textId="77777777">
      <w:pPr>
        <w:pStyle w:val="BodyTextDSW"/>
        <w:numPr>
          <w:ilvl w:val="1"/>
          <w:numId w:val="26"/>
        </w:numPr>
        <w:rPr>
          <w:rFonts w:asciiTheme="minorHAnsi" w:hAnsiTheme="minorHAnsi" w:cstheme="minorHAnsi"/>
          <w:sz w:val="22"/>
          <w:szCs w:val="22"/>
        </w:rPr>
      </w:pPr>
      <w:r w:rsidRPr="00277D9A">
        <w:rPr>
          <w:rFonts w:asciiTheme="minorHAnsi" w:hAnsiTheme="minorHAnsi" w:cstheme="minorHAnsi"/>
          <w:sz w:val="22"/>
          <w:szCs w:val="22"/>
        </w:rPr>
        <w:t>Review and ensure that all revised factors for partial reclamation variance are met</w:t>
      </w:r>
    </w:p>
    <w:p w:rsidR="00277D9A" w:rsidRPr="006A7810" w:rsidP="00277D9A" w14:paraId="74E43B16" w14:textId="77777777">
      <w:pPr>
        <w:pStyle w:val="BodyTextDSW"/>
        <w:keepNext/>
        <w:numPr>
          <w:ilvl w:val="0"/>
          <w:numId w:val="26"/>
        </w:numPr>
        <w:spacing w:before="240" w:after="240"/>
        <w:rPr>
          <w:rFonts w:asciiTheme="minorHAnsi" w:hAnsiTheme="minorHAnsi" w:cstheme="minorHAnsi"/>
          <w:b/>
          <w:bCs/>
          <w:sz w:val="22"/>
          <w:szCs w:val="22"/>
        </w:rPr>
      </w:pPr>
      <w:r w:rsidRPr="006A7810">
        <w:rPr>
          <w:rFonts w:asciiTheme="minorHAnsi" w:hAnsiTheme="minorHAnsi" w:cstheme="minorHAnsi"/>
          <w:b/>
          <w:bCs/>
          <w:sz w:val="22"/>
          <w:szCs w:val="22"/>
        </w:rPr>
        <w:t>Non-Waste Determinations under 40 CFR 260.34</w:t>
      </w:r>
    </w:p>
    <w:p w:rsidR="00277D9A" w:rsidRPr="00277D9A" w:rsidP="00277D9A" w14:paraId="566AE2D7" w14:textId="77777777">
      <w:pPr>
        <w:pStyle w:val="BodyTextDSW"/>
        <w:numPr>
          <w:ilvl w:val="1"/>
          <w:numId w:val="26"/>
        </w:numPr>
        <w:rPr>
          <w:rFonts w:asciiTheme="minorHAnsi" w:hAnsiTheme="minorHAnsi" w:cstheme="minorHAnsi"/>
          <w:sz w:val="22"/>
          <w:szCs w:val="22"/>
        </w:rPr>
      </w:pPr>
      <w:r w:rsidRPr="00277D9A">
        <w:rPr>
          <w:rFonts w:asciiTheme="minorHAnsi" w:hAnsiTheme="minorHAnsi" w:cstheme="minorHAnsi"/>
          <w:sz w:val="22"/>
          <w:szCs w:val="22"/>
        </w:rPr>
        <w:t>Prepare and submit applications under sections 260.34(b) and (c)</w:t>
      </w:r>
    </w:p>
    <w:p w:rsidR="00277D9A" w:rsidRPr="00277D9A" w:rsidP="00277D9A" w14:paraId="5D8D244D" w14:textId="77777777">
      <w:pPr>
        <w:pStyle w:val="BodyTextDSW"/>
        <w:numPr>
          <w:ilvl w:val="1"/>
          <w:numId w:val="26"/>
        </w:numPr>
        <w:rPr>
          <w:rFonts w:asciiTheme="minorHAnsi" w:hAnsiTheme="minorHAnsi" w:cstheme="minorHAnsi"/>
          <w:sz w:val="22"/>
          <w:szCs w:val="22"/>
        </w:rPr>
      </w:pPr>
      <w:r w:rsidRPr="00277D9A">
        <w:rPr>
          <w:rFonts w:asciiTheme="minorHAnsi" w:hAnsiTheme="minorHAnsi" w:cstheme="minorHAnsi"/>
          <w:sz w:val="22"/>
          <w:szCs w:val="22"/>
        </w:rPr>
        <w:t>For facilities applying for a non-waste determination, explain or demonstrate why they cannot meet, or should not have to meet, the existing DSW exclusions under §§ 261.2 or 261.4</w:t>
      </w:r>
    </w:p>
    <w:p w:rsidR="00277D9A" w:rsidRPr="00277D9A" w:rsidP="00277D9A" w14:paraId="0AB681C8" w14:textId="77777777">
      <w:pPr>
        <w:pStyle w:val="BodyTextDSW"/>
        <w:numPr>
          <w:ilvl w:val="1"/>
          <w:numId w:val="26"/>
        </w:numPr>
        <w:rPr>
          <w:rFonts w:asciiTheme="minorHAnsi" w:hAnsiTheme="minorHAnsi" w:cstheme="minorHAnsi"/>
          <w:sz w:val="22"/>
          <w:szCs w:val="22"/>
        </w:rPr>
      </w:pPr>
      <w:r w:rsidRPr="00277D9A">
        <w:rPr>
          <w:rFonts w:asciiTheme="minorHAnsi" w:hAnsiTheme="minorHAnsi" w:cstheme="minorHAnsi"/>
          <w:sz w:val="22"/>
          <w:szCs w:val="22"/>
        </w:rPr>
        <w:t>For facilities receiving non-waste determinations, re-notify EPA or the State Director, if the state is authorized for this aspect of the rule, every two years by March 1 of each even-numbered year</w:t>
      </w:r>
    </w:p>
    <w:p w:rsidR="00277D9A" w:rsidRPr="006A7810" w:rsidP="00277D9A" w14:paraId="5E04AED0" w14:textId="77777777">
      <w:pPr>
        <w:pStyle w:val="BodyTextDSW"/>
        <w:ind w:firstLine="0"/>
        <w:rPr>
          <w:rFonts w:asciiTheme="minorHAnsi" w:hAnsiTheme="minorHAnsi" w:cstheme="minorHAnsi"/>
          <w:b/>
          <w:sz w:val="22"/>
          <w:szCs w:val="22"/>
        </w:rPr>
      </w:pPr>
      <w:r>
        <w:rPr>
          <w:rFonts w:asciiTheme="minorHAnsi" w:hAnsiTheme="minorHAnsi" w:cstheme="minorHAnsi"/>
          <w:b/>
          <w:sz w:val="22"/>
          <w:szCs w:val="22"/>
        </w:rPr>
        <w:t xml:space="preserve">Requirement 4: </w:t>
      </w:r>
      <w:r w:rsidRPr="006A7810">
        <w:rPr>
          <w:rFonts w:asciiTheme="minorHAnsi" w:hAnsiTheme="minorHAnsi" w:cstheme="minorHAnsi"/>
          <w:b/>
          <w:sz w:val="22"/>
          <w:szCs w:val="22"/>
        </w:rPr>
        <w:t>Remanufacturing Exclusion</w:t>
      </w:r>
    </w:p>
    <w:p w:rsidR="00277D9A" w:rsidRPr="00277D9A" w:rsidP="00277D9A" w14:paraId="27AFB7A0" w14:textId="77777777">
      <w:pPr>
        <w:widowControl w:val="0"/>
        <w:numPr>
          <w:ilvl w:val="0"/>
          <w:numId w:val="9"/>
        </w:numPr>
        <w:tabs>
          <w:tab w:val="num" w:pos="1080"/>
          <w:tab w:val="clear" w:pos="1987"/>
        </w:tabs>
        <w:autoSpaceDE w:val="0"/>
        <w:autoSpaceDN w:val="0"/>
        <w:adjustRightInd w:val="0"/>
        <w:spacing w:after="0" w:line="240" w:lineRule="auto"/>
        <w:ind w:left="1080"/>
        <w:rPr>
          <w:rFonts w:cstheme="minorHAnsi"/>
        </w:rPr>
      </w:pPr>
      <w:r w:rsidRPr="00277D9A">
        <w:rPr>
          <w:rFonts w:cstheme="minorHAnsi"/>
        </w:rPr>
        <w:t>Both the hazardous secondary material generator and the remanufacturer will have to:</w:t>
      </w:r>
    </w:p>
    <w:p w:rsidR="00277D9A" w:rsidRPr="00277D9A" w:rsidP="00277D9A" w14:paraId="1B244EBE" w14:textId="77777777">
      <w:pPr>
        <w:widowControl w:val="0"/>
        <w:numPr>
          <w:ilvl w:val="0"/>
          <w:numId w:val="14"/>
        </w:numPr>
        <w:tabs>
          <w:tab w:val="left" w:pos="2340"/>
        </w:tabs>
        <w:suppressAutoHyphens/>
        <w:autoSpaceDE w:val="0"/>
        <w:spacing w:after="0" w:line="240" w:lineRule="auto"/>
        <w:ind w:left="1433"/>
        <w:rPr>
          <w:rFonts w:cstheme="minorHAnsi"/>
        </w:rPr>
      </w:pPr>
      <w:r w:rsidRPr="00277D9A">
        <w:rPr>
          <w:rFonts w:cstheme="minorHAnsi"/>
        </w:rPr>
        <w:t xml:space="preserve">Notify EPA or the State Director, if the state is authorized for the program, and update the notification every two years </w:t>
      </w:r>
      <w:r w:rsidRPr="00277D9A">
        <w:rPr>
          <w:rFonts w:cstheme="minorHAnsi"/>
        </w:rPr>
        <w:t>per</w:t>
      </w:r>
      <w:r w:rsidRPr="00277D9A">
        <w:rPr>
          <w:rFonts w:cstheme="minorHAnsi"/>
        </w:rPr>
        <w:t xml:space="preserve"> 40 CFR </w:t>
      </w:r>
      <w:r w:rsidRPr="00277D9A">
        <w:rPr>
          <w:rFonts w:cstheme="minorHAnsi"/>
        </w:rPr>
        <w:t>260.42;</w:t>
      </w:r>
      <w:r w:rsidRPr="00277D9A">
        <w:rPr>
          <w:rFonts w:cstheme="minorHAnsi"/>
        </w:rPr>
        <w:t xml:space="preserve"> </w:t>
      </w:r>
    </w:p>
    <w:p w:rsidR="00277D9A" w:rsidRPr="00277D9A" w:rsidP="00277D9A" w14:paraId="5AED8BCA" w14:textId="77777777">
      <w:pPr>
        <w:widowControl w:val="0"/>
        <w:numPr>
          <w:ilvl w:val="0"/>
          <w:numId w:val="14"/>
        </w:numPr>
        <w:tabs>
          <w:tab w:val="left" w:pos="2340"/>
        </w:tabs>
        <w:suppressAutoHyphens/>
        <w:autoSpaceDE w:val="0"/>
        <w:spacing w:after="0" w:line="240" w:lineRule="auto"/>
        <w:ind w:left="1433"/>
        <w:rPr>
          <w:rFonts w:cstheme="minorHAnsi"/>
        </w:rPr>
      </w:pPr>
      <w:r w:rsidRPr="00277D9A">
        <w:rPr>
          <w:rFonts w:cstheme="minorHAnsi"/>
        </w:rPr>
        <w:t xml:space="preserve">Develop and maintain a remanufacturing </w:t>
      </w:r>
      <w:r w:rsidRPr="00277D9A">
        <w:rPr>
          <w:rFonts w:cstheme="minorHAnsi"/>
        </w:rPr>
        <w:t>plan;</w:t>
      </w:r>
    </w:p>
    <w:p w:rsidR="00277D9A" w:rsidRPr="00277D9A" w:rsidP="00277D9A" w14:paraId="6618AA22" w14:textId="77777777">
      <w:pPr>
        <w:widowControl w:val="0"/>
        <w:numPr>
          <w:ilvl w:val="0"/>
          <w:numId w:val="14"/>
        </w:numPr>
        <w:tabs>
          <w:tab w:val="left" w:pos="2340"/>
        </w:tabs>
        <w:suppressAutoHyphens/>
        <w:autoSpaceDE w:val="0"/>
        <w:spacing w:after="0" w:line="240" w:lineRule="auto"/>
        <w:ind w:left="1433"/>
        <w:rPr>
          <w:rFonts w:cstheme="minorHAnsi"/>
        </w:rPr>
      </w:pPr>
      <w:r w:rsidRPr="00277D9A">
        <w:rPr>
          <w:rFonts w:cstheme="minorHAnsi"/>
        </w:rPr>
        <w:t xml:space="preserve">Maintain records of shipments and confirmations of receipts for a period of three years </w:t>
      </w:r>
      <w:r w:rsidRPr="00277D9A">
        <w:rPr>
          <w:rFonts w:cstheme="minorHAnsi"/>
        </w:rPr>
        <w:t xml:space="preserve">from the dates of the </w:t>
      </w:r>
      <w:r w:rsidRPr="00277D9A">
        <w:rPr>
          <w:rFonts w:cstheme="minorHAnsi"/>
        </w:rPr>
        <w:t>shipments;</w:t>
      </w:r>
    </w:p>
    <w:p w:rsidR="00277D9A" w:rsidRPr="00277D9A" w:rsidP="00277D9A" w14:paraId="5B43CDD1" w14:textId="77777777">
      <w:pPr>
        <w:widowControl w:val="0"/>
        <w:numPr>
          <w:ilvl w:val="0"/>
          <w:numId w:val="14"/>
        </w:numPr>
        <w:tabs>
          <w:tab w:val="left" w:pos="2340"/>
        </w:tabs>
        <w:suppressAutoHyphens/>
        <w:autoSpaceDE w:val="0"/>
        <w:spacing w:after="0" w:line="240" w:lineRule="auto"/>
        <w:ind w:left="1433"/>
        <w:rPr>
          <w:rFonts w:cstheme="minorHAnsi"/>
        </w:rPr>
      </w:pPr>
      <w:r w:rsidRPr="00277D9A">
        <w:rPr>
          <w:rFonts w:cstheme="minorHAnsi"/>
        </w:rPr>
        <w:t>Prior to remanufacturing, store the hazardous spent solvents in tanks or containers that meet technical standards that would be the same as those found in 40 CFR part 264 subparts I and J, with the tanks and containers being labeled or otherwise having an immediately available record of the material being stored. During remanufacturing, and during storage of the hazardous secondary materials prior to remanufacturing, ensure that there is effective control of hazardous air emissions by complying with all applicable NESHAP standards, and with the requirements of 40 CFR part 264 or 265 subparts AA, BB, CC. This activity would be covered under existing EPA ICRs 1572: Hazardous Waste Specific Unit Requirements and Special Waste Processes and Types, 820: Hazardous Waste Generator Standards and 1593: Air Emission Standards for Tanks, Surface Impoundment and Containers; and</w:t>
      </w:r>
    </w:p>
    <w:p w:rsidR="00277D9A" w:rsidRPr="00277D9A" w:rsidP="00277D9A" w14:paraId="533BA13E" w14:textId="77777777">
      <w:pPr>
        <w:widowControl w:val="0"/>
        <w:numPr>
          <w:ilvl w:val="0"/>
          <w:numId w:val="14"/>
        </w:numPr>
        <w:tabs>
          <w:tab w:val="left" w:pos="2340"/>
        </w:tabs>
        <w:suppressAutoHyphens/>
        <w:autoSpaceDE w:val="0"/>
        <w:spacing w:after="0" w:line="240" w:lineRule="auto"/>
        <w:ind w:left="1433"/>
        <w:rPr>
          <w:rFonts w:cstheme="minorHAnsi"/>
        </w:rPr>
      </w:pPr>
      <w:r w:rsidRPr="00277D9A">
        <w:rPr>
          <w:rFonts w:cstheme="minorHAnsi"/>
        </w:rPr>
        <w:t>Meet the requirements prohibiting speculative accumulation per 40 CFR 261.1(c)(8)</w:t>
      </w:r>
    </w:p>
    <w:p w:rsidR="00277D9A" w:rsidRPr="00277D9A" w:rsidP="00277D9A" w14:paraId="31A5AAF4" w14:textId="77777777">
      <w:pPr>
        <w:pStyle w:val="BodyTextDSW"/>
        <w:numPr>
          <w:ilvl w:val="0"/>
          <w:numId w:val="8"/>
        </w:numPr>
        <w:tabs>
          <w:tab w:val="num" w:pos="713"/>
          <w:tab w:val="clear" w:pos="1080"/>
        </w:tabs>
        <w:ind w:left="720"/>
        <w:rPr>
          <w:rFonts w:asciiTheme="minorHAnsi" w:hAnsiTheme="minorHAnsi" w:cstheme="minorHAnsi"/>
          <w:sz w:val="22"/>
          <w:szCs w:val="22"/>
        </w:rPr>
      </w:pPr>
      <w:r w:rsidRPr="00277D9A">
        <w:rPr>
          <w:rFonts w:asciiTheme="minorHAnsi" w:hAnsiTheme="minorHAnsi" w:cstheme="minorHAnsi"/>
          <w:sz w:val="22"/>
          <w:szCs w:val="22"/>
        </w:rPr>
        <w:t>Petition process:</w:t>
      </w:r>
    </w:p>
    <w:p w:rsidR="00277D9A" w:rsidRPr="00277D9A" w:rsidP="00277D9A" w14:paraId="3B9C2DE7" w14:textId="77777777">
      <w:pPr>
        <w:widowControl w:val="0"/>
        <w:numPr>
          <w:ilvl w:val="0"/>
          <w:numId w:val="9"/>
        </w:numPr>
        <w:tabs>
          <w:tab w:val="num" w:pos="1080"/>
          <w:tab w:val="clear" w:pos="1987"/>
        </w:tabs>
        <w:autoSpaceDE w:val="0"/>
        <w:autoSpaceDN w:val="0"/>
        <w:adjustRightInd w:val="0"/>
        <w:spacing w:after="0" w:line="240" w:lineRule="auto"/>
        <w:ind w:left="1080"/>
        <w:rPr>
          <w:rFonts w:cstheme="minorHAnsi"/>
        </w:rPr>
      </w:pPr>
      <w:r w:rsidRPr="00277D9A">
        <w:rPr>
          <w:rFonts w:cstheme="minorHAnsi"/>
        </w:rPr>
        <w:t>Prepare and submit a petition for adding to the eligibility criteria (e.g., adding industries, adding chemicals) of the exclusion</w:t>
      </w:r>
    </w:p>
    <w:p w:rsidR="00277D9A" w:rsidP="00277D9A" w14:paraId="6BCC2CA1" w14:textId="77777777">
      <w:pPr>
        <w:pStyle w:val="BodyTextDSW"/>
        <w:keepNext/>
        <w:ind w:firstLine="0"/>
        <w:rPr>
          <w:rFonts w:asciiTheme="minorHAnsi" w:hAnsiTheme="minorHAnsi" w:cstheme="minorHAnsi"/>
          <w:b/>
          <w:sz w:val="22"/>
          <w:szCs w:val="22"/>
        </w:rPr>
      </w:pPr>
    </w:p>
    <w:p w:rsidR="00277D9A" w:rsidRPr="006A7810" w:rsidP="00277D9A" w14:paraId="3CD6F70C" w14:textId="6F09F36A">
      <w:pPr>
        <w:pStyle w:val="BodyTextDSW"/>
        <w:keepNext/>
        <w:ind w:firstLine="0"/>
        <w:rPr>
          <w:rFonts w:asciiTheme="minorHAnsi" w:hAnsiTheme="minorHAnsi" w:cstheme="minorHAnsi"/>
          <w:b/>
          <w:sz w:val="22"/>
          <w:szCs w:val="22"/>
        </w:rPr>
      </w:pPr>
      <w:r>
        <w:rPr>
          <w:rFonts w:asciiTheme="minorHAnsi" w:hAnsiTheme="minorHAnsi" w:cstheme="minorHAnsi"/>
          <w:b/>
          <w:sz w:val="22"/>
          <w:szCs w:val="22"/>
        </w:rPr>
        <w:t xml:space="preserve">Requirement 5: </w:t>
      </w:r>
      <w:r w:rsidRPr="006A7810">
        <w:rPr>
          <w:rFonts w:asciiTheme="minorHAnsi" w:hAnsiTheme="minorHAnsi" w:cstheme="minorHAnsi"/>
          <w:b/>
          <w:sz w:val="22"/>
          <w:szCs w:val="22"/>
        </w:rPr>
        <w:t>Recordkeeping for Speculative Accumulation</w:t>
      </w:r>
    </w:p>
    <w:p w:rsidR="00277D9A" w:rsidRPr="00277D9A" w:rsidP="00277D9A" w14:paraId="2D768C53" w14:textId="77777777">
      <w:pPr>
        <w:pStyle w:val="BodyTextDSW"/>
        <w:numPr>
          <w:ilvl w:val="0"/>
          <w:numId w:val="8"/>
        </w:numPr>
        <w:tabs>
          <w:tab w:val="clear" w:pos="1080"/>
        </w:tabs>
        <w:rPr>
          <w:rFonts w:asciiTheme="minorHAnsi" w:hAnsiTheme="minorHAnsi" w:cstheme="minorHAnsi"/>
          <w:sz w:val="22"/>
          <w:szCs w:val="22"/>
        </w:rPr>
      </w:pPr>
      <w:r w:rsidRPr="00277D9A">
        <w:rPr>
          <w:rFonts w:asciiTheme="minorHAnsi" w:hAnsiTheme="minorHAnsi" w:cstheme="minorHAnsi"/>
          <w:sz w:val="22"/>
          <w:szCs w:val="22"/>
        </w:rPr>
        <w:t>Label and perform any recordkeeping to document speculative accumulation limits are being met.</w:t>
      </w:r>
    </w:p>
    <w:p w:rsidR="00277D9A" w:rsidRPr="005111C1" w:rsidP="00277D9A" w14:paraId="36F4E334" w14:textId="77777777">
      <w:pPr>
        <w:pStyle w:val="BodyTextDSW"/>
        <w:ind w:firstLine="0"/>
        <w:rPr>
          <w:rFonts w:asciiTheme="minorHAnsi" w:hAnsiTheme="minorHAnsi" w:cstheme="minorHAnsi"/>
          <w:b/>
          <w:sz w:val="22"/>
          <w:szCs w:val="22"/>
        </w:rPr>
      </w:pPr>
      <w:r>
        <w:rPr>
          <w:rFonts w:asciiTheme="minorHAnsi" w:hAnsiTheme="minorHAnsi" w:cstheme="minorHAnsi"/>
          <w:b/>
          <w:sz w:val="22"/>
          <w:szCs w:val="22"/>
        </w:rPr>
        <w:t xml:space="preserve">Requirement 6: </w:t>
      </w:r>
      <w:r w:rsidRPr="005111C1">
        <w:rPr>
          <w:rFonts w:asciiTheme="minorHAnsi" w:hAnsiTheme="minorHAnsi" w:cstheme="minorHAnsi"/>
          <w:b/>
          <w:sz w:val="22"/>
          <w:szCs w:val="22"/>
        </w:rPr>
        <w:t>Recordkeeping for Export under the Transfer-Based Exclusion</w:t>
      </w:r>
    </w:p>
    <w:p w:rsidR="00277D9A" w:rsidRPr="00277D9A" w:rsidP="00277D9A" w14:paraId="4F7EFE29" w14:textId="77777777">
      <w:pPr>
        <w:pStyle w:val="BodyTextDSW"/>
        <w:numPr>
          <w:ilvl w:val="0"/>
          <w:numId w:val="8"/>
        </w:numPr>
        <w:tabs>
          <w:tab w:val="clear" w:pos="1080"/>
        </w:tabs>
        <w:rPr>
          <w:rFonts w:asciiTheme="minorHAnsi" w:hAnsiTheme="minorHAnsi" w:cstheme="minorHAnsi"/>
          <w:sz w:val="22"/>
          <w:szCs w:val="22"/>
        </w:rPr>
      </w:pPr>
      <w:r w:rsidRPr="00277D9A">
        <w:rPr>
          <w:rFonts w:asciiTheme="minorHAnsi" w:hAnsiTheme="minorHAnsi" w:cstheme="minorHAnsi"/>
          <w:sz w:val="22"/>
          <w:szCs w:val="22"/>
        </w:rPr>
        <w:t xml:space="preserve">Submit a complete notification to EPA at least sixty days before the initial shipment is intended to be shipped offsite.  This notification may cover export activities extending over a </w:t>
      </w:r>
      <w:r w:rsidRPr="00277D9A">
        <w:rPr>
          <w:rFonts w:asciiTheme="minorHAnsi" w:hAnsiTheme="minorHAnsi" w:cstheme="minorHAnsi"/>
          <w:sz w:val="22"/>
          <w:szCs w:val="22"/>
        </w:rPr>
        <w:t>twelve month</w:t>
      </w:r>
      <w:r w:rsidRPr="00277D9A">
        <w:rPr>
          <w:rFonts w:asciiTheme="minorHAnsi" w:hAnsiTheme="minorHAnsi" w:cstheme="minorHAnsi"/>
          <w:sz w:val="22"/>
          <w:szCs w:val="22"/>
        </w:rPr>
        <w:t xml:space="preserve"> or </w:t>
      </w:r>
      <w:r w:rsidRPr="00277D9A">
        <w:rPr>
          <w:rFonts w:asciiTheme="minorHAnsi" w:hAnsiTheme="minorHAnsi" w:cstheme="minorHAnsi"/>
          <w:sz w:val="22"/>
          <w:szCs w:val="22"/>
        </w:rPr>
        <w:t>lesser</w:t>
      </w:r>
      <w:r w:rsidRPr="00277D9A">
        <w:rPr>
          <w:rFonts w:asciiTheme="minorHAnsi" w:hAnsiTheme="minorHAnsi" w:cstheme="minorHAnsi"/>
          <w:sz w:val="22"/>
          <w:szCs w:val="22"/>
        </w:rPr>
        <w:t xml:space="preserve"> period.</w:t>
      </w:r>
    </w:p>
    <w:p w:rsidR="00277D9A" w:rsidRPr="00277D9A" w:rsidP="00277D9A" w14:paraId="55E94721" w14:textId="77777777">
      <w:pPr>
        <w:pStyle w:val="BodyTextDSW"/>
        <w:numPr>
          <w:ilvl w:val="0"/>
          <w:numId w:val="8"/>
        </w:numPr>
        <w:tabs>
          <w:tab w:val="clear" w:pos="1080"/>
        </w:tabs>
        <w:rPr>
          <w:rFonts w:asciiTheme="minorHAnsi" w:hAnsiTheme="minorHAnsi" w:cstheme="minorHAnsi"/>
          <w:sz w:val="22"/>
          <w:szCs w:val="22"/>
        </w:rPr>
      </w:pPr>
      <w:r w:rsidRPr="00277D9A">
        <w:rPr>
          <w:rFonts w:asciiTheme="minorHAnsi" w:hAnsiTheme="minorHAnsi" w:cstheme="minorHAnsi"/>
          <w:sz w:val="22"/>
          <w:szCs w:val="22"/>
        </w:rPr>
        <w:t>Submit a renotification when specified conditions on the notification change as applicable.</w:t>
      </w:r>
    </w:p>
    <w:p w:rsidR="00277D9A" w:rsidRPr="00277D9A" w:rsidP="00277D9A" w14:paraId="715AADD4" w14:textId="77777777">
      <w:pPr>
        <w:pStyle w:val="BodyTextDSW"/>
        <w:numPr>
          <w:ilvl w:val="0"/>
          <w:numId w:val="8"/>
        </w:numPr>
        <w:tabs>
          <w:tab w:val="clear" w:pos="1080"/>
        </w:tabs>
        <w:rPr>
          <w:rFonts w:asciiTheme="minorHAnsi" w:hAnsiTheme="minorHAnsi" w:cstheme="minorHAnsi"/>
          <w:sz w:val="22"/>
          <w:szCs w:val="22"/>
        </w:rPr>
      </w:pPr>
      <w:r w:rsidRPr="00277D9A">
        <w:rPr>
          <w:rFonts w:asciiTheme="minorHAnsi" w:hAnsiTheme="minorHAnsi" w:cstheme="minorHAnsi"/>
          <w:sz w:val="22"/>
          <w:szCs w:val="22"/>
        </w:rPr>
        <w:t xml:space="preserve">Re-notify EPA if a shipment cannot be delivered for any reason to the reclaimer, intermediate facility or the alternate reclaimer or alternate intermediate facility. </w:t>
      </w:r>
    </w:p>
    <w:p w:rsidR="00277D9A" w:rsidRPr="00277D9A" w:rsidP="00277D9A" w14:paraId="3ECB8CFC" w14:textId="77777777">
      <w:pPr>
        <w:pStyle w:val="BodyTextDSW"/>
        <w:numPr>
          <w:ilvl w:val="0"/>
          <w:numId w:val="8"/>
        </w:numPr>
        <w:tabs>
          <w:tab w:val="clear" w:pos="1080"/>
        </w:tabs>
        <w:rPr>
          <w:rFonts w:asciiTheme="minorHAnsi" w:hAnsiTheme="minorHAnsi" w:cstheme="minorHAnsi"/>
          <w:sz w:val="22"/>
          <w:szCs w:val="22"/>
        </w:rPr>
      </w:pPr>
      <w:r w:rsidRPr="00277D9A">
        <w:rPr>
          <w:rFonts w:asciiTheme="minorHAnsi" w:hAnsiTheme="minorHAnsi" w:cstheme="minorHAnsi"/>
          <w:sz w:val="22"/>
          <w:szCs w:val="22"/>
        </w:rPr>
        <w:t xml:space="preserve">Keep copies of notifications and Acknowledgments of Consent to Export for a period of three years following receipt of the Acknowledgment.  </w:t>
      </w:r>
    </w:p>
    <w:p w:rsidR="00A01F8F" w:rsidRPr="00585FF1" w:rsidP="00A01F8F" w14:paraId="39EE4A7C" w14:textId="77777777">
      <w:pPr>
        <w:pStyle w:val="SmallCircle"/>
        <w:tabs>
          <w:tab w:val="left" w:pos="720"/>
          <w:tab w:val="left" w:pos="1440"/>
          <w:tab w:val="left" w:pos="1800"/>
        </w:tabs>
        <w:rPr>
          <w:rFonts w:asciiTheme="minorHAnsi" w:hAnsiTheme="minorHAnsi" w:cstheme="minorHAnsi"/>
          <w:sz w:val="22"/>
          <w:szCs w:val="22"/>
        </w:rPr>
      </w:pPr>
    </w:p>
    <w:p w:rsidR="00D92ED6" w:rsidRPr="00585FF1" w:rsidP="003A78D2" w14:paraId="02FB0541" w14:textId="769EF0D9">
      <w:pPr>
        <w:spacing w:before="60"/>
        <w:rPr>
          <w:rFonts w:cstheme="minorHAnsi"/>
          <w:b/>
          <w:bCs/>
        </w:rPr>
      </w:pPr>
      <w:r w:rsidRPr="00585FF1">
        <w:rPr>
          <w:rFonts w:cstheme="minorHAnsi"/>
          <w:b/>
          <w:bCs/>
        </w:rPr>
        <w:t>12</w:t>
      </w:r>
      <w:r w:rsidRPr="00585FF1" w:rsidR="00534F66">
        <w:rPr>
          <w:rFonts w:cstheme="minorHAnsi"/>
          <w:b/>
          <w:bCs/>
        </w:rPr>
        <w:t>d</w:t>
      </w:r>
      <w:r w:rsidRPr="00585FF1">
        <w:rPr>
          <w:rFonts w:cstheme="minorHAnsi"/>
          <w:b/>
          <w:bCs/>
        </w:rPr>
        <w:t xml:space="preserve">. </w:t>
      </w:r>
      <w:r w:rsidRPr="00585FF1">
        <w:rPr>
          <w:rFonts w:cstheme="minorHAnsi"/>
          <w:b/>
          <w:bCs/>
        </w:rPr>
        <w:t xml:space="preserve">Respondent </w:t>
      </w:r>
      <w:r w:rsidRPr="00585FF1" w:rsidR="00BB2B15">
        <w:rPr>
          <w:rFonts w:cstheme="minorHAnsi"/>
          <w:b/>
          <w:bCs/>
        </w:rPr>
        <w:t xml:space="preserve">Burden </w:t>
      </w:r>
      <w:r w:rsidRPr="00585FF1" w:rsidR="00B666CD">
        <w:rPr>
          <w:rFonts w:cstheme="minorHAnsi"/>
          <w:b/>
          <w:bCs/>
        </w:rPr>
        <w:t>Hour</w:t>
      </w:r>
      <w:r w:rsidRPr="00585FF1" w:rsidR="00BB2B15">
        <w:rPr>
          <w:rFonts w:cstheme="minorHAnsi"/>
          <w:b/>
          <w:bCs/>
        </w:rPr>
        <w:t>s</w:t>
      </w:r>
      <w:r w:rsidRPr="00585FF1" w:rsidR="00B666CD">
        <w:rPr>
          <w:rFonts w:cstheme="minorHAnsi"/>
          <w:b/>
          <w:bCs/>
        </w:rPr>
        <w:t xml:space="preserve"> and Labor </w:t>
      </w:r>
      <w:bookmarkEnd w:id="18"/>
      <w:r w:rsidRPr="00585FF1" w:rsidR="00BB2B15">
        <w:rPr>
          <w:rFonts w:cstheme="minorHAnsi"/>
          <w:b/>
          <w:bCs/>
        </w:rPr>
        <w:t>Costs</w:t>
      </w:r>
    </w:p>
    <w:p w:rsidR="00124D15" w:rsidP="00124D15" w14:paraId="5B0EF345" w14:textId="5EE47A76">
      <w:pPr>
        <w:pStyle w:val="BodyTextDSW"/>
      </w:pPr>
      <w:bookmarkStart w:id="19" w:name="_Toc156593386"/>
      <w:r w:rsidRPr="00124D15">
        <w:rPr>
          <w:rFonts w:asciiTheme="minorHAnsi" w:hAnsiTheme="minorHAnsi" w:cstheme="minorHAnsi"/>
          <w:bCs/>
          <w:sz w:val="22"/>
          <w:szCs w:val="22"/>
        </w:rPr>
        <w:t xml:space="preserve">Exhibit 1 </w:t>
      </w:r>
      <w:r w:rsidR="00D74E1B">
        <w:rPr>
          <w:rFonts w:asciiTheme="minorHAnsi" w:hAnsiTheme="minorHAnsi" w:cstheme="minorHAnsi"/>
          <w:bCs/>
          <w:sz w:val="22"/>
          <w:szCs w:val="22"/>
        </w:rPr>
        <w:t xml:space="preserve">attached </w:t>
      </w:r>
      <w:r w:rsidRPr="00124D15">
        <w:rPr>
          <w:rFonts w:asciiTheme="minorHAnsi" w:hAnsiTheme="minorHAnsi" w:cstheme="minorHAnsi"/>
          <w:bCs/>
          <w:sz w:val="22"/>
          <w:szCs w:val="22"/>
        </w:rPr>
        <w:t>provides estimates of</w:t>
      </w:r>
      <w:r w:rsidRPr="00124D15">
        <w:rPr>
          <w:rFonts w:asciiTheme="minorHAnsi" w:hAnsiTheme="minorHAnsi" w:cstheme="minorHAnsi"/>
          <w:sz w:val="22"/>
          <w:szCs w:val="22"/>
        </w:rPr>
        <w:t xml:space="preserve"> the respondent hourly burden associated with the RCRA DSW exclusion paperwork requirements covered in this ICR. Exhibit 1 includes burden hours (total and by labor type) per respondent, as well as the overall burden hours for all respondents</w:t>
      </w:r>
      <w:r>
        <w:t>.</w:t>
      </w:r>
    </w:p>
    <w:p w:rsidR="00124D15" w:rsidRPr="00124D15" w:rsidP="00124D15" w14:paraId="36D7135D" w14:textId="2D84864B">
      <w:pPr>
        <w:pStyle w:val="BodyTextDSW"/>
        <w:ind w:firstLine="0"/>
        <w:rPr>
          <w:rFonts w:asciiTheme="minorHAnsi" w:hAnsiTheme="minorHAnsi" w:cstheme="minorHAnsi"/>
          <w:b/>
          <w:bCs/>
          <w:sz w:val="22"/>
          <w:szCs w:val="22"/>
        </w:rPr>
      </w:pPr>
      <w:r w:rsidRPr="00124D15">
        <w:rPr>
          <w:rFonts w:asciiTheme="minorHAnsi" w:hAnsiTheme="minorHAnsi" w:cstheme="minorHAnsi"/>
          <w:b/>
          <w:bCs/>
          <w:sz w:val="22"/>
          <w:szCs w:val="22"/>
        </w:rPr>
        <w:t>Requirement 1: DSW off-site transfer-based exclusion</w:t>
      </w:r>
    </w:p>
    <w:p w:rsidR="00124D15" w:rsidRPr="00124D15" w:rsidP="00124D15" w14:paraId="1F2A607F" w14:textId="1AB816B0">
      <w:pPr>
        <w:pStyle w:val="BodyTextDSW"/>
        <w:rPr>
          <w:rFonts w:asciiTheme="minorHAnsi" w:hAnsiTheme="minorHAnsi" w:cstheme="minorHAnsi"/>
          <w:sz w:val="22"/>
          <w:szCs w:val="22"/>
        </w:rPr>
      </w:pPr>
      <w:r w:rsidRPr="00124D15">
        <w:rPr>
          <w:rFonts w:asciiTheme="minorHAnsi" w:hAnsiTheme="minorHAnsi" w:cstheme="minorHAnsi"/>
          <w:sz w:val="22"/>
          <w:szCs w:val="22"/>
        </w:rPr>
        <w:t xml:space="preserve">EPA estimates that </w:t>
      </w:r>
      <w:r>
        <w:rPr>
          <w:rFonts w:asciiTheme="minorHAnsi" w:hAnsiTheme="minorHAnsi" w:cstheme="minorHAnsi"/>
          <w:sz w:val="22"/>
          <w:szCs w:val="22"/>
        </w:rPr>
        <w:t>160</w:t>
      </w:r>
      <w:r w:rsidRPr="00124D15">
        <w:rPr>
          <w:rFonts w:asciiTheme="minorHAnsi" w:hAnsiTheme="minorHAnsi" w:cstheme="minorHAnsi"/>
          <w:sz w:val="22"/>
          <w:szCs w:val="22"/>
        </w:rPr>
        <w:t xml:space="preserve"> generators will be eligible for the transfer-based exclusion during the period covered by this ICR. </w:t>
      </w:r>
    </w:p>
    <w:p w:rsidR="00124D15" w:rsidRPr="00A56766" w:rsidP="00A56766" w14:paraId="740EAE39" w14:textId="30A18828">
      <w:pPr>
        <w:pStyle w:val="BodyTextDSW"/>
        <w:ind w:firstLine="0"/>
        <w:rPr>
          <w:rFonts w:asciiTheme="minorHAnsi" w:hAnsiTheme="minorHAnsi" w:cstheme="minorHAnsi"/>
          <w:b/>
          <w:bCs/>
          <w:sz w:val="22"/>
          <w:szCs w:val="22"/>
        </w:rPr>
      </w:pPr>
      <w:r w:rsidRPr="00A56766">
        <w:rPr>
          <w:rFonts w:asciiTheme="minorHAnsi" w:hAnsiTheme="minorHAnsi" w:cstheme="minorHAnsi"/>
          <w:b/>
          <w:bCs/>
          <w:sz w:val="22"/>
          <w:szCs w:val="22"/>
        </w:rPr>
        <w:t>Requirement 2: DSW generator-controlled exclusion</w:t>
      </w:r>
    </w:p>
    <w:p w:rsidR="00A56766" w:rsidRPr="00A56766" w:rsidP="00A56766" w14:paraId="74E7A32E" w14:textId="4159272B">
      <w:pPr>
        <w:pStyle w:val="BodyTextDSW"/>
        <w:rPr>
          <w:rFonts w:asciiTheme="minorHAnsi" w:hAnsiTheme="minorHAnsi" w:cstheme="minorHAnsi"/>
          <w:sz w:val="22"/>
          <w:szCs w:val="22"/>
        </w:rPr>
      </w:pPr>
      <w:r w:rsidRPr="00A56766">
        <w:rPr>
          <w:rFonts w:asciiTheme="minorHAnsi" w:hAnsiTheme="minorHAnsi" w:cstheme="minorHAnsi"/>
          <w:sz w:val="22"/>
          <w:szCs w:val="22"/>
        </w:rPr>
        <w:t xml:space="preserve">EPA estimates that </w:t>
      </w:r>
      <w:r>
        <w:rPr>
          <w:rFonts w:asciiTheme="minorHAnsi" w:hAnsiTheme="minorHAnsi" w:cstheme="minorHAnsi"/>
          <w:sz w:val="22"/>
          <w:szCs w:val="22"/>
        </w:rPr>
        <w:t>192</w:t>
      </w:r>
      <w:r w:rsidRPr="00A56766">
        <w:rPr>
          <w:rFonts w:asciiTheme="minorHAnsi" w:hAnsiTheme="minorHAnsi" w:cstheme="minorHAnsi"/>
          <w:sz w:val="22"/>
          <w:szCs w:val="22"/>
        </w:rPr>
        <w:t xml:space="preserve"> generators will utilize DSW exclusion for generator-controlled recycling during the period covered by this ICR. </w:t>
      </w:r>
    </w:p>
    <w:p w:rsidR="00124D15" w:rsidRPr="007C7F26" w:rsidP="007C7F26" w14:paraId="723EBFEF" w14:textId="77777777">
      <w:pPr>
        <w:pStyle w:val="BodyTextDSW"/>
        <w:ind w:firstLine="0"/>
        <w:rPr>
          <w:rFonts w:asciiTheme="minorHAnsi" w:hAnsiTheme="minorHAnsi" w:cstheme="minorHAnsi"/>
          <w:b/>
          <w:bCs/>
          <w:sz w:val="22"/>
          <w:szCs w:val="22"/>
        </w:rPr>
      </w:pPr>
      <w:r w:rsidRPr="007C7F26">
        <w:rPr>
          <w:rFonts w:asciiTheme="minorHAnsi" w:hAnsiTheme="minorHAnsi" w:cstheme="minorHAnsi"/>
          <w:b/>
          <w:bCs/>
          <w:sz w:val="22"/>
          <w:szCs w:val="22"/>
        </w:rPr>
        <w:t>Requirement 3: Solid waste variances and non-waste determinations</w:t>
      </w:r>
    </w:p>
    <w:p w:rsidR="007C7F26" w:rsidRPr="00A56766" w:rsidP="007C7F26" w14:paraId="5AAA4D7C" w14:textId="69B65C24">
      <w:pPr>
        <w:pStyle w:val="BodyTextDSW"/>
        <w:rPr>
          <w:rFonts w:asciiTheme="minorHAnsi" w:hAnsiTheme="minorHAnsi" w:cstheme="minorHAnsi"/>
          <w:sz w:val="22"/>
          <w:szCs w:val="22"/>
        </w:rPr>
      </w:pPr>
      <w:r w:rsidRPr="00A56766">
        <w:rPr>
          <w:rFonts w:asciiTheme="minorHAnsi" w:hAnsiTheme="minorHAnsi" w:cstheme="minorHAnsi"/>
          <w:sz w:val="22"/>
          <w:szCs w:val="22"/>
        </w:rPr>
        <w:t xml:space="preserve">EPA estimates that </w:t>
      </w:r>
      <w:r>
        <w:rPr>
          <w:rFonts w:asciiTheme="minorHAnsi" w:hAnsiTheme="minorHAnsi" w:cstheme="minorHAnsi"/>
          <w:sz w:val="22"/>
          <w:szCs w:val="22"/>
        </w:rPr>
        <w:t>33</w:t>
      </w:r>
      <w:r w:rsidRPr="00A56766">
        <w:rPr>
          <w:rFonts w:asciiTheme="minorHAnsi" w:hAnsiTheme="minorHAnsi" w:cstheme="minorHAnsi"/>
          <w:sz w:val="22"/>
          <w:szCs w:val="22"/>
        </w:rPr>
        <w:t xml:space="preserve"> generators will </w:t>
      </w:r>
      <w:r>
        <w:rPr>
          <w:rFonts w:asciiTheme="minorHAnsi" w:hAnsiTheme="minorHAnsi" w:cstheme="minorHAnsi"/>
          <w:sz w:val="22"/>
          <w:szCs w:val="22"/>
        </w:rPr>
        <w:t>apply for variances and non-waste determinations</w:t>
      </w:r>
      <w:r w:rsidRPr="00A56766">
        <w:rPr>
          <w:rFonts w:asciiTheme="minorHAnsi" w:hAnsiTheme="minorHAnsi" w:cstheme="minorHAnsi"/>
          <w:sz w:val="22"/>
          <w:szCs w:val="22"/>
        </w:rPr>
        <w:t xml:space="preserve"> during the period covered by this ICR. </w:t>
      </w:r>
    </w:p>
    <w:p w:rsidR="00124D15" w:rsidRPr="007C7F26" w:rsidP="007C7F26" w14:paraId="6C561E25" w14:textId="71462FAE">
      <w:pPr>
        <w:pStyle w:val="BodyTextDSW"/>
        <w:ind w:firstLine="0"/>
        <w:rPr>
          <w:rFonts w:asciiTheme="minorHAnsi" w:hAnsiTheme="minorHAnsi" w:cstheme="minorHAnsi"/>
          <w:b/>
          <w:bCs/>
          <w:sz w:val="22"/>
          <w:szCs w:val="22"/>
        </w:rPr>
      </w:pPr>
      <w:r w:rsidRPr="007C7F26">
        <w:rPr>
          <w:rFonts w:asciiTheme="minorHAnsi" w:hAnsiTheme="minorHAnsi" w:cstheme="minorHAnsi"/>
          <w:b/>
          <w:bCs/>
          <w:sz w:val="22"/>
          <w:szCs w:val="22"/>
        </w:rPr>
        <w:t>Requirement 4: DSW “remanufacturing” exclusion</w:t>
      </w:r>
    </w:p>
    <w:p w:rsidR="007C7F26" w:rsidRPr="007C7F26" w:rsidP="007C7F26" w14:paraId="1519F743" w14:textId="6224B6CC">
      <w:pPr>
        <w:pStyle w:val="BodyTextDSW"/>
        <w:rPr>
          <w:rFonts w:asciiTheme="minorHAnsi" w:hAnsiTheme="minorHAnsi" w:cstheme="minorHAnsi"/>
          <w:sz w:val="22"/>
          <w:szCs w:val="22"/>
        </w:rPr>
      </w:pPr>
      <w:r w:rsidRPr="007C7F26">
        <w:rPr>
          <w:rFonts w:asciiTheme="minorHAnsi" w:hAnsiTheme="minorHAnsi" w:cstheme="minorHAnsi"/>
          <w:sz w:val="22"/>
          <w:szCs w:val="22"/>
        </w:rPr>
        <w:t>EPA estimates that one generator will utilize the remanufacturing exclusion</w:t>
      </w:r>
      <w:r>
        <w:rPr>
          <w:rFonts w:asciiTheme="minorHAnsi" w:hAnsiTheme="minorHAnsi" w:cstheme="minorHAnsi"/>
          <w:sz w:val="22"/>
          <w:szCs w:val="22"/>
        </w:rPr>
        <w:t xml:space="preserve"> during the period covered by this ICR.</w:t>
      </w:r>
    </w:p>
    <w:p w:rsidR="00124D15" w:rsidP="007C7F26" w14:paraId="3ECF680E" w14:textId="2026A7D9">
      <w:pPr>
        <w:pStyle w:val="BodyTextDSW"/>
        <w:ind w:firstLine="0"/>
        <w:rPr>
          <w:rFonts w:asciiTheme="minorHAnsi" w:hAnsiTheme="minorHAnsi" w:cstheme="minorHAnsi"/>
          <w:b/>
          <w:bCs/>
          <w:sz w:val="22"/>
          <w:szCs w:val="22"/>
        </w:rPr>
      </w:pPr>
      <w:r w:rsidRPr="007C7F26">
        <w:rPr>
          <w:rFonts w:asciiTheme="minorHAnsi" w:hAnsiTheme="minorHAnsi" w:cstheme="minorHAnsi"/>
          <w:b/>
          <w:bCs/>
          <w:sz w:val="22"/>
          <w:szCs w:val="22"/>
        </w:rPr>
        <w:t>Requirement 5: Required recordkeeping for speculative accumulation</w:t>
      </w:r>
    </w:p>
    <w:p w:rsidR="007C7F26" w:rsidRPr="007C7F26" w:rsidP="007C7F26" w14:paraId="49B4A7AF" w14:textId="41E1D913">
      <w:pPr>
        <w:pStyle w:val="BodyTextDSW"/>
        <w:rPr>
          <w:rFonts w:asciiTheme="minorHAnsi" w:hAnsiTheme="minorHAnsi" w:cstheme="minorHAnsi"/>
          <w:sz w:val="22"/>
          <w:szCs w:val="22"/>
        </w:rPr>
      </w:pPr>
      <w:r w:rsidRPr="007C7F26">
        <w:rPr>
          <w:rFonts w:asciiTheme="minorHAnsi" w:hAnsiTheme="minorHAnsi" w:cstheme="minorHAnsi"/>
          <w:sz w:val="22"/>
          <w:szCs w:val="22"/>
        </w:rPr>
        <w:t>EPA estimates that the 4,</w:t>
      </w:r>
      <w:r>
        <w:rPr>
          <w:rFonts w:asciiTheme="minorHAnsi" w:hAnsiTheme="minorHAnsi" w:cstheme="minorHAnsi"/>
          <w:sz w:val="22"/>
          <w:szCs w:val="22"/>
        </w:rPr>
        <w:t>3</w:t>
      </w:r>
      <w:r w:rsidRPr="007C7F26">
        <w:rPr>
          <w:rFonts w:asciiTheme="minorHAnsi" w:hAnsiTheme="minorHAnsi" w:cstheme="minorHAnsi"/>
          <w:sz w:val="22"/>
          <w:szCs w:val="22"/>
        </w:rPr>
        <w:t>00 facilities eligible for pre-2008 DSW recycling exclusions will be required to label containers in satellite and accumulation areas</w:t>
      </w:r>
      <w:r>
        <w:rPr>
          <w:rFonts w:asciiTheme="minorHAnsi" w:hAnsiTheme="minorHAnsi" w:cstheme="minorHAnsi"/>
          <w:sz w:val="22"/>
          <w:szCs w:val="22"/>
        </w:rPr>
        <w:t xml:space="preserve"> during the period covered by this ICR.</w:t>
      </w:r>
    </w:p>
    <w:p w:rsidR="007C7F26" w:rsidRPr="007C7F26" w:rsidP="007C7F26" w14:paraId="28651A74" w14:textId="77777777">
      <w:pPr>
        <w:pStyle w:val="BodyTextDSW"/>
        <w:ind w:firstLine="0"/>
        <w:rPr>
          <w:rFonts w:asciiTheme="minorHAnsi" w:hAnsiTheme="minorHAnsi" w:cstheme="minorHAnsi"/>
          <w:b/>
          <w:bCs/>
          <w:sz w:val="22"/>
          <w:szCs w:val="22"/>
        </w:rPr>
      </w:pPr>
    </w:p>
    <w:p w:rsidR="00124D15" w:rsidRPr="007C7F26" w:rsidP="007C7F26" w14:paraId="35D7A93E" w14:textId="77777777">
      <w:pPr>
        <w:pStyle w:val="BodyTextDSW"/>
        <w:ind w:firstLine="0"/>
        <w:rPr>
          <w:rFonts w:asciiTheme="minorHAnsi" w:hAnsiTheme="minorHAnsi" w:cstheme="minorHAnsi"/>
          <w:b/>
          <w:bCs/>
          <w:sz w:val="22"/>
          <w:szCs w:val="22"/>
        </w:rPr>
      </w:pPr>
      <w:r w:rsidRPr="007C7F26">
        <w:rPr>
          <w:rFonts w:asciiTheme="minorHAnsi" w:hAnsiTheme="minorHAnsi" w:cstheme="minorHAnsi"/>
          <w:b/>
          <w:bCs/>
          <w:sz w:val="22"/>
          <w:szCs w:val="22"/>
        </w:rPr>
        <w:t>Requirement 6: Export requirements</w:t>
      </w:r>
    </w:p>
    <w:p w:rsidR="007C7F26" w:rsidP="007C7F26" w14:paraId="20F70B09" w14:textId="5D77780E">
      <w:pPr>
        <w:pStyle w:val="BodyTextDSW"/>
        <w:rPr>
          <w:rFonts w:asciiTheme="minorHAnsi" w:hAnsiTheme="minorHAnsi" w:cstheme="minorHAnsi"/>
          <w:sz w:val="22"/>
          <w:szCs w:val="22"/>
        </w:rPr>
      </w:pPr>
      <w:r w:rsidRPr="007C7F26">
        <w:rPr>
          <w:rFonts w:asciiTheme="minorHAnsi" w:hAnsiTheme="minorHAnsi" w:cstheme="minorHAnsi"/>
          <w:sz w:val="22"/>
          <w:szCs w:val="22"/>
        </w:rPr>
        <w:t xml:space="preserve">EPA estimates that </w:t>
      </w:r>
      <w:r>
        <w:rPr>
          <w:rFonts w:asciiTheme="minorHAnsi" w:hAnsiTheme="minorHAnsi" w:cstheme="minorHAnsi"/>
          <w:sz w:val="22"/>
          <w:szCs w:val="22"/>
        </w:rPr>
        <w:t>9</w:t>
      </w:r>
      <w:r w:rsidRPr="007C7F26">
        <w:rPr>
          <w:rFonts w:asciiTheme="minorHAnsi" w:hAnsiTheme="minorHAnsi" w:cstheme="minorHAnsi"/>
          <w:sz w:val="22"/>
          <w:szCs w:val="22"/>
        </w:rPr>
        <w:t xml:space="preserve"> exporters will complete a notification to EPA prior to shipment, keep copies of notifications and Acknowledgements of Consent to Export, and submit an annual report. </w:t>
      </w:r>
    </w:p>
    <w:p w:rsidR="00D74E1B" w:rsidP="007C7F26" w14:paraId="572469E7" w14:textId="6FF9D14B">
      <w:pPr>
        <w:pStyle w:val="BodyTextDSW"/>
        <w:rPr>
          <w:rFonts w:asciiTheme="minorHAnsi" w:hAnsiTheme="minorHAnsi" w:cstheme="minorHAnsi"/>
          <w:b/>
          <w:bCs/>
          <w:sz w:val="22"/>
          <w:szCs w:val="22"/>
        </w:rPr>
      </w:pPr>
      <w:r w:rsidRPr="00D74E1B">
        <w:rPr>
          <w:rFonts w:asciiTheme="minorHAnsi" w:hAnsiTheme="minorHAnsi" w:cstheme="minorHAnsi"/>
          <w:b/>
          <w:bCs/>
          <w:sz w:val="22"/>
          <w:szCs w:val="22"/>
        </w:rPr>
        <w:t>Labor Costs</w:t>
      </w:r>
    </w:p>
    <w:p w:rsidR="00794EC5" w:rsidP="007C7F26" w14:paraId="35EBC5F2" w14:textId="2AAB6890">
      <w:pPr>
        <w:pStyle w:val="BodyTextDSW"/>
        <w:rPr>
          <w:rFonts w:asciiTheme="minorHAnsi" w:hAnsiTheme="minorHAnsi" w:cstheme="minorHAnsi"/>
          <w:bCs/>
          <w:sz w:val="22"/>
          <w:szCs w:val="22"/>
        </w:rPr>
      </w:pPr>
      <w:r w:rsidRPr="00794EC5">
        <w:rPr>
          <w:rFonts w:asciiTheme="minorHAnsi" w:hAnsiTheme="minorHAnsi" w:cstheme="minorHAnsi"/>
          <w:bCs/>
          <w:sz w:val="22"/>
          <w:szCs w:val="22"/>
        </w:rPr>
        <w:t xml:space="preserve">The hourly labor wage rates used to estimate costs to respondents were calculated as shown in </w:t>
      </w:r>
      <w:r>
        <w:rPr>
          <w:rFonts w:asciiTheme="minorHAnsi" w:hAnsiTheme="minorHAnsi" w:cstheme="minorHAnsi"/>
          <w:bCs/>
          <w:sz w:val="22"/>
          <w:szCs w:val="22"/>
        </w:rPr>
        <w:t xml:space="preserve">the </w:t>
      </w:r>
      <w:r w:rsidR="00C0424F">
        <w:rPr>
          <w:rFonts w:asciiTheme="minorHAnsi" w:hAnsiTheme="minorHAnsi" w:cstheme="minorHAnsi"/>
          <w:bCs/>
          <w:sz w:val="22"/>
          <w:szCs w:val="22"/>
        </w:rPr>
        <w:t>T</w:t>
      </w:r>
      <w:r>
        <w:rPr>
          <w:rFonts w:asciiTheme="minorHAnsi" w:hAnsiTheme="minorHAnsi" w:cstheme="minorHAnsi"/>
          <w:bCs/>
          <w:sz w:val="22"/>
          <w:szCs w:val="22"/>
        </w:rPr>
        <w:t>able</w:t>
      </w:r>
      <w:r>
        <w:rPr>
          <w:rFonts w:asciiTheme="minorHAnsi" w:hAnsiTheme="minorHAnsi" w:cstheme="minorHAnsi"/>
          <w:bCs/>
          <w:sz w:val="22"/>
          <w:szCs w:val="22"/>
        </w:rPr>
        <w:t xml:space="preserve"> </w:t>
      </w:r>
      <w:r w:rsidR="00C0424F">
        <w:rPr>
          <w:rFonts w:asciiTheme="minorHAnsi" w:hAnsiTheme="minorHAnsi" w:cstheme="minorHAnsi"/>
          <w:bCs/>
          <w:sz w:val="22"/>
          <w:szCs w:val="22"/>
        </w:rPr>
        <w:t xml:space="preserve">1 </w:t>
      </w:r>
      <w:r>
        <w:rPr>
          <w:rFonts w:asciiTheme="minorHAnsi" w:hAnsiTheme="minorHAnsi" w:cstheme="minorHAnsi"/>
          <w:bCs/>
          <w:sz w:val="22"/>
          <w:szCs w:val="22"/>
        </w:rPr>
        <w:t>below</w:t>
      </w:r>
      <w:r w:rsidRPr="00794EC5">
        <w:rPr>
          <w:rFonts w:asciiTheme="minorHAnsi" w:hAnsiTheme="minorHAnsi" w:cstheme="minorHAnsi"/>
          <w:bCs/>
          <w:sz w:val="22"/>
          <w:szCs w:val="22"/>
        </w:rPr>
        <w:t>. The unloaded average hourly wage rates were obtained from the U.S. Bureau of Labor Statistics (BLS) May 202</w:t>
      </w:r>
      <w:r>
        <w:rPr>
          <w:rFonts w:asciiTheme="minorHAnsi" w:hAnsiTheme="minorHAnsi" w:cstheme="minorHAnsi"/>
          <w:bCs/>
          <w:sz w:val="22"/>
          <w:szCs w:val="22"/>
        </w:rPr>
        <w:t>4</w:t>
      </w:r>
      <w:r w:rsidRPr="00794EC5">
        <w:rPr>
          <w:rFonts w:asciiTheme="minorHAnsi" w:hAnsiTheme="minorHAnsi" w:cstheme="minorHAnsi"/>
          <w:bCs/>
          <w:sz w:val="22"/>
          <w:szCs w:val="22"/>
        </w:rPr>
        <w:t xml:space="preserve"> National Occupational Employment and Wage Estimates and adjusted to 202</w:t>
      </w:r>
      <w:r>
        <w:rPr>
          <w:rFonts w:asciiTheme="minorHAnsi" w:hAnsiTheme="minorHAnsi" w:cstheme="minorHAnsi"/>
          <w:bCs/>
          <w:sz w:val="22"/>
          <w:szCs w:val="22"/>
        </w:rPr>
        <w:t>6</w:t>
      </w:r>
      <w:r w:rsidRPr="00794EC5">
        <w:rPr>
          <w:rFonts w:asciiTheme="minorHAnsi" w:hAnsiTheme="minorHAnsi" w:cstheme="minorHAnsi"/>
          <w:bCs/>
          <w:sz w:val="22"/>
          <w:szCs w:val="22"/>
        </w:rPr>
        <w:t xml:space="preserve"> dollars using Employment Cost Indices developed by BLS.</w:t>
      </w:r>
    </w:p>
    <w:p w:rsidR="00C0424F" w:rsidRPr="00C0424F" w:rsidP="00C0424F" w14:paraId="33BEB073" w14:textId="64CA70FE">
      <w:pPr>
        <w:pStyle w:val="BodyTextDSW"/>
        <w:jc w:val="center"/>
        <w:rPr>
          <w:rFonts w:asciiTheme="minorHAnsi" w:hAnsiTheme="minorHAnsi" w:cstheme="minorHAnsi"/>
          <w:b/>
          <w:sz w:val="22"/>
          <w:szCs w:val="22"/>
        </w:rPr>
      </w:pPr>
      <w:r w:rsidRPr="00C0424F">
        <w:rPr>
          <w:rFonts w:asciiTheme="minorHAnsi" w:hAnsiTheme="minorHAnsi" w:cstheme="minorHAnsi"/>
          <w:b/>
          <w:sz w:val="22"/>
          <w:szCs w:val="22"/>
        </w:rPr>
        <w:t xml:space="preserve">Table 1 – Respondent Hourly </w:t>
      </w:r>
      <w:r>
        <w:rPr>
          <w:rFonts w:asciiTheme="minorHAnsi" w:hAnsiTheme="minorHAnsi" w:cstheme="minorHAnsi"/>
          <w:b/>
          <w:sz w:val="22"/>
          <w:szCs w:val="22"/>
        </w:rPr>
        <w:t xml:space="preserve">Wage </w:t>
      </w:r>
      <w:r w:rsidRPr="00C0424F">
        <w:rPr>
          <w:rFonts w:asciiTheme="minorHAnsi" w:hAnsiTheme="minorHAnsi" w:cstheme="minorHAnsi"/>
          <w:b/>
          <w:sz w:val="22"/>
          <w:szCs w:val="22"/>
        </w:rPr>
        <w:t>Rate</w:t>
      </w:r>
    </w:p>
    <w:tbl>
      <w:tblPr>
        <w:tblW w:w="4555" w:type="pct"/>
        <w:jc w:val="center"/>
        <w:tblCellMar>
          <w:left w:w="0" w:type="dxa"/>
          <w:right w:w="0" w:type="dxa"/>
        </w:tblCellMar>
        <w:tblLook w:val="0000"/>
      </w:tblPr>
      <w:tblGrid>
        <w:gridCol w:w="1884"/>
        <w:gridCol w:w="4791"/>
        <w:gridCol w:w="1843"/>
      </w:tblGrid>
      <w:tr w14:paraId="3B0EE3A3" w14:textId="77777777" w:rsidTr="00794EC5">
        <w:tblPrEx>
          <w:tblW w:w="4555" w:type="pct"/>
          <w:jc w:val="center"/>
          <w:tblCellMar>
            <w:left w:w="0" w:type="dxa"/>
            <w:right w:w="0" w:type="dxa"/>
          </w:tblCellMar>
          <w:tblLook w:val="0000"/>
        </w:tblPrEx>
        <w:trPr>
          <w:jc w:val="center"/>
        </w:trPr>
        <w:tc>
          <w:tcPr>
            <w:tcW w:w="1106" w:type="pct"/>
            <w:tcBorders>
              <w:top w:val="single" w:sz="4" w:space="0" w:color="000000"/>
              <w:left w:val="single" w:sz="4" w:space="0" w:color="000000"/>
            </w:tcBorders>
            <w:shd w:val="clear" w:color="auto" w:fill="EFEFEF"/>
            <w:vAlign w:val="center"/>
          </w:tcPr>
          <w:p w:rsidR="00D74E1B" w:rsidRPr="00863109" w:rsidP="00822C18" w14:paraId="3300838D" w14:textId="77777777">
            <w:pPr>
              <w:keepNext/>
              <w:keepLines/>
              <w:snapToGrid w:val="0"/>
              <w:jc w:val="center"/>
              <w:rPr>
                <w:b/>
                <w:bCs/>
                <w:color w:val="000000"/>
                <w:szCs w:val="20"/>
              </w:rPr>
            </w:pPr>
            <w:r w:rsidRPr="00AF6593">
              <w:rPr>
                <w:b/>
                <w:bCs/>
                <w:color w:val="000000"/>
                <w:szCs w:val="20"/>
              </w:rPr>
              <w:t>Labor</w:t>
            </w:r>
            <w:r>
              <w:rPr>
                <w:b/>
                <w:bCs/>
                <w:color w:val="000000"/>
                <w:szCs w:val="20"/>
              </w:rPr>
              <w:br/>
            </w:r>
            <w:r w:rsidRPr="00863109">
              <w:rPr>
                <w:b/>
                <w:bCs/>
                <w:color w:val="000000"/>
                <w:szCs w:val="20"/>
              </w:rPr>
              <w:t>Category</w:t>
            </w:r>
          </w:p>
        </w:tc>
        <w:tc>
          <w:tcPr>
            <w:tcW w:w="2812" w:type="pct"/>
            <w:tcBorders>
              <w:top w:val="single" w:sz="4" w:space="0" w:color="000000"/>
              <w:left w:val="single" w:sz="4" w:space="0" w:color="000000"/>
            </w:tcBorders>
            <w:shd w:val="clear" w:color="auto" w:fill="EFEFEF"/>
            <w:vAlign w:val="center"/>
          </w:tcPr>
          <w:p w:rsidR="00D74E1B" w:rsidRPr="00863109" w:rsidP="00822C18" w14:paraId="35C38866" w14:textId="77777777">
            <w:pPr>
              <w:keepNext/>
              <w:keepLines/>
              <w:snapToGrid w:val="0"/>
              <w:ind w:left="15"/>
              <w:jc w:val="center"/>
              <w:rPr>
                <w:b/>
                <w:bCs/>
                <w:color w:val="000000"/>
                <w:szCs w:val="20"/>
              </w:rPr>
            </w:pPr>
            <w:r w:rsidRPr="00863109">
              <w:rPr>
                <w:b/>
                <w:bCs/>
                <w:color w:val="000000"/>
                <w:szCs w:val="20"/>
              </w:rPr>
              <w:t>Standard</w:t>
            </w:r>
            <w:r>
              <w:rPr>
                <w:b/>
                <w:bCs/>
                <w:color w:val="000000"/>
                <w:szCs w:val="20"/>
              </w:rPr>
              <w:br/>
            </w:r>
            <w:r w:rsidRPr="00863109">
              <w:rPr>
                <w:b/>
                <w:bCs/>
                <w:color w:val="000000"/>
                <w:szCs w:val="20"/>
              </w:rPr>
              <w:t>Occupational</w:t>
            </w:r>
            <w:r>
              <w:rPr>
                <w:b/>
                <w:bCs/>
                <w:color w:val="000000"/>
                <w:szCs w:val="20"/>
              </w:rPr>
              <w:br/>
            </w:r>
            <w:r w:rsidRPr="00863109">
              <w:rPr>
                <w:b/>
                <w:bCs/>
                <w:color w:val="000000"/>
                <w:szCs w:val="20"/>
              </w:rPr>
              <w:t>Code</w:t>
            </w:r>
          </w:p>
        </w:tc>
        <w:tc>
          <w:tcPr>
            <w:tcW w:w="1082" w:type="pct"/>
            <w:tcBorders>
              <w:top w:val="single" w:sz="4" w:space="0" w:color="000000"/>
              <w:left w:val="single" w:sz="4" w:space="0" w:color="000000"/>
              <w:right w:val="single" w:sz="4" w:space="0" w:color="000000"/>
            </w:tcBorders>
            <w:shd w:val="clear" w:color="auto" w:fill="EFEFEF"/>
            <w:vAlign w:val="center"/>
          </w:tcPr>
          <w:p w:rsidR="00D74E1B" w:rsidP="00D74E1B" w14:paraId="11A3DA40" w14:textId="5A9FEFCE">
            <w:pPr>
              <w:keepNext/>
              <w:keepLines/>
              <w:snapToGrid w:val="0"/>
              <w:ind w:left="15"/>
              <w:jc w:val="center"/>
              <w:rPr>
                <w:b/>
                <w:bCs/>
                <w:color w:val="000000"/>
                <w:szCs w:val="20"/>
              </w:rPr>
            </w:pPr>
            <w:r>
              <w:rPr>
                <w:b/>
                <w:bCs/>
                <w:color w:val="000000"/>
                <w:szCs w:val="20"/>
              </w:rPr>
              <w:t>A</w:t>
            </w:r>
            <w:r w:rsidRPr="00863109">
              <w:rPr>
                <w:b/>
                <w:bCs/>
                <w:color w:val="000000"/>
                <w:szCs w:val="20"/>
              </w:rPr>
              <w:t xml:space="preserve">verage </w:t>
            </w:r>
            <w:r>
              <w:rPr>
                <w:b/>
                <w:bCs/>
                <w:color w:val="000000"/>
                <w:szCs w:val="20"/>
              </w:rPr>
              <w:t>(Mean)</w:t>
            </w:r>
          </w:p>
          <w:p w:rsidR="00D74E1B" w:rsidRPr="00863109" w:rsidP="00822C18" w14:paraId="55F88B8F" w14:textId="77777777">
            <w:pPr>
              <w:keepNext/>
              <w:keepLines/>
              <w:jc w:val="center"/>
              <w:rPr>
                <w:b/>
                <w:bCs/>
                <w:color w:val="000000"/>
                <w:szCs w:val="20"/>
              </w:rPr>
            </w:pPr>
            <w:r>
              <w:rPr>
                <w:b/>
                <w:bCs/>
                <w:color w:val="000000"/>
                <w:szCs w:val="20"/>
              </w:rPr>
              <w:t>Hourly W</w:t>
            </w:r>
            <w:r w:rsidRPr="00AF6593">
              <w:rPr>
                <w:b/>
                <w:bCs/>
                <w:color w:val="000000"/>
                <w:szCs w:val="20"/>
              </w:rPr>
              <w:t xml:space="preserve">age </w:t>
            </w:r>
            <w:r>
              <w:rPr>
                <w:b/>
                <w:bCs/>
                <w:color w:val="000000"/>
                <w:szCs w:val="20"/>
              </w:rPr>
              <w:t>R</w:t>
            </w:r>
            <w:r w:rsidRPr="00863109">
              <w:rPr>
                <w:b/>
                <w:bCs/>
                <w:color w:val="000000"/>
                <w:szCs w:val="20"/>
              </w:rPr>
              <w:t xml:space="preserve">ate </w:t>
            </w:r>
          </w:p>
        </w:tc>
      </w:tr>
      <w:tr w14:paraId="2E463B85" w14:textId="77777777" w:rsidTr="00794EC5">
        <w:tblPrEx>
          <w:tblW w:w="4555" w:type="pct"/>
          <w:jc w:val="center"/>
          <w:tblCellMar>
            <w:left w:w="0" w:type="dxa"/>
            <w:right w:w="0" w:type="dxa"/>
          </w:tblCellMar>
          <w:tblLook w:val="0000"/>
        </w:tblPrEx>
        <w:trPr>
          <w:trHeight w:val="74"/>
          <w:jc w:val="center"/>
        </w:trPr>
        <w:tc>
          <w:tcPr>
            <w:tcW w:w="1106" w:type="pct"/>
            <w:tcBorders>
              <w:left w:val="single" w:sz="4" w:space="0" w:color="000000"/>
              <w:bottom w:val="single" w:sz="4" w:space="0" w:color="000000"/>
            </w:tcBorders>
            <w:shd w:val="clear" w:color="auto" w:fill="EFEFEF"/>
            <w:vAlign w:val="center"/>
          </w:tcPr>
          <w:p w:rsidR="00D74E1B" w:rsidRPr="00AF6593" w:rsidP="00822C18" w14:paraId="453FB344" w14:textId="3CBDCADC">
            <w:pPr>
              <w:keepNext/>
              <w:keepLines/>
              <w:snapToGrid w:val="0"/>
              <w:jc w:val="center"/>
              <w:rPr>
                <w:b/>
                <w:bCs/>
                <w:color w:val="000000"/>
                <w:szCs w:val="20"/>
              </w:rPr>
            </w:pPr>
          </w:p>
        </w:tc>
        <w:tc>
          <w:tcPr>
            <w:tcW w:w="2812" w:type="pct"/>
            <w:tcBorders>
              <w:left w:val="single" w:sz="4" w:space="0" w:color="000000"/>
              <w:bottom w:val="single" w:sz="4" w:space="0" w:color="000000"/>
            </w:tcBorders>
            <w:shd w:val="clear" w:color="auto" w:fill="EFEFEF"/>
            <w:vAlign w:val="center"/>
          </w:tcPr>
          <w:p w:rsidR="00D74E1B" w:rsidRPr="00AF6593" w:rsidP="00822C18" w14:paraId="37CD0362" w14:textId="19DDE2E3">
            <w:pPr>
              <w:keepNext/>
              <w:keepLines/>
              <w:snapToGrid w:val="0"/>
              <w:ind w:left="15"/>
              <w:jc w:val="center"/>
              <w:rPr>
                <w:b/>
                <w:bCs/>
                <w:color w:val="000000"/>
                <w:szCs w:val="20"/>
              </w:rPr>
            </w:pPr>
          </w:p>
        </w:tc>
        <w:tc>
          <w:tcPr>
            <w:tcW w:w="1082" w:type="pct"/>
            <w:tcBorders>
              <w:left w:val="single" w:sz="4" w:space="0" w:color="000000"/>
              <w:bottom w:val="single" w:sz="4" w:space="0" w:color="000000"/>
              <w:right w:val="single" w:sz="4" w:space="0" w:color="000000"/>
            </w:tcBorders>
            <w:shd w:val="clear" w:color="auto" w:fill="EFEFEF"/>
            <w:vAlign w:val="center"/>
          </w:tcPr>
          <w:p w:rsidR="00D74E1B" w:rsidRPr="00AF6593" w:rsidP="00D74E1B" w14:paraId="6314C13D" w14:textId="760BA152">
            <w:pPr>
              <w:keepNext/>
              <w:keepLines/>
              <w:snapToGrid w:val="0"/>
              <w:rPr>
                <w:b/>
                <w:bCs/>
                <w:color w:val="000000"/>
                <w:szCs w:val="20"/>
              </w:rPr>
            </w:pPr>
          </w:p>
        </w:tc>
      </w:tr>
      <w:tr w14:paraId="5F6753AE" w14:textId="77777777" w:rsidTr="00794EC5">
        <w:tblPrEx>
          <w:tblW w:w="4555" w:type="pct"/>
          <w:jc w:val="center"/>
          <w:tblCellMar>
            <w:left w:w="0" w:type="dxa"/>
            <w:right w:w="0" w:type="dxa"/>
          </w:tblCellMar>
          <w:tblLook w:val="0000"/>
        </w:tblPrEx>
        <w:trPr>
          <w:trHeight w:val="314"/>
          <w:jc w:val="center"/>
        </w:trPr>
        <w:tc>
          <w:tcPr>
            <w:tcW w:w="1106" w:type="pct"/>
            <w:tcBorders>
              <w:top w:val="single" w:sz="4" w:space="0" w:color="000000"/>
              <w:left w:val="single" w:sz="4" w:space="0" w:color="000000"/>
              <w:bottom w:val="single" w:sz="4" w:space="0" w:color="000000"/>
            </w:tcBorders>
          </w:tcPr>
          <w:p w:rsidR="00D74E1B" w:rsidRPr="006D28E0" w:rsidP="00822C18" w14:paraId="5766288B" w14:textId="6596C774">
            <w:pPr>
              <w:keepNext/>
              <w:keepLines/>
              <w:snapToGrid w:val="0"/>
              <w:ind w:left="15"/>
              <w:rPr>
                <w:color w:val="000000"/>
                <w:szCs w:val="20"/>
              </w:rPr>
            </w:pPr>
            <w:r w:rsidRPr="006D28E0">
              <w:rPr>
                <w:color w:val="000000"/>
                <w:szCs w:val="20"/>
              </w:rPr>
              <w:t>Legal</w:t>
            </w:r>
          </w:p>
        </w:tc>
        <w:tc>
          <w:tcPr>
            <w:tcW w:w="2812" w:type="pct"/>
            <w:tcBorders>
              <w:top w:val="single" w:sz="4" w:space="0" w:color="000000"/>
              <w:left w:val="single" w:sz="4" w:space="0" w:color="000000"/>
              <w:bottom w:val="single" w:sz="4" w:space="0" w:color="000000"/>
            </w:tcBorders>
            <w:vAlign w:val="center"/>
          </w:tcPr>
          <w:p w:rsidR="00D74E1B" w:rsidRPr="006D28E0" w:rsidP="00822C18" w14:paraId="052E446D" w14:textId="77777777">
            <w:pPr>
              <w:keepNext/>
              <w:keepLines/>
              <w:snapToGrid w:val="0"/>
              <w:rPr>
                <w:color w:val="000000"/>
                <w:szCs w:val="20"/>
              </w:rPr>
            </w:pPr>
            <w:r w:rsidRPr="006D28E0">
              <w:rPr>
                <w:color w:val="000000"/>
                <w:szCs w:val="20"/>
              </w:rPr>
              <w:t xml:space="preserve">23-1011 </w:t>
            </w:r>
            <w:r>
              <w:rPr>
                <w:color w:val="000000"/>
                <w:szCs w:val="20"/>
              </w:rPr>
              <w:t>L</w:t>
            </w:r>
            <w:r w:rsidRPr="006D28E0">
              <w:rPr>
                <w:color w:val="000000"/>
                <w:szCs w:val="20"/>
              </w:rPr>
              <w:t>awyers</w:t>
            </w:r>
          </w:p>
        </w:tc>
        <w:tc>
          <w:tcPr>
            <w:tcW w:w="1082" w:type="pct"/>
            <w:tcBorders>
              <w:top w:val="single" w:sz="4" w:space="0" w:color="000000"/>
              <w:left w:val="single" w:sz="4" w:space="0" w:color="000000"/>
              <w:bottom w:val="single" w:sz="4" w:space="0" w:color="000000"/>
              <w:right w:val="single" w:sz="4" w:space="0" w:color="000000"/>
            </w:tcBorders>
            <w:vAlign w:val="center"/>
          </w:tcPr>
          <w:p w:rsidR="00D74E1B" w:rsidRPr="006D28E0" w:rsidP="00822C18" w14:paraId="08988D09" w14:textId="2BFBC58B">
            <w:pPr>
              <w:keepNext/>
              <w:keepLines/>
              <w:snapToGrid w:val="0"/>
              <w:ind w:left="15"/>
              <w:jc w:val="center"/>
              <w:rPr>
                <w:bCs/>
                <w:color w:val="000000"/>
                <w:szCs w:val="20"/>
                <w:highlight w:val="green"/>
              </w:rPr>
            </w:pPr>
            <w:r w:rsidRPr="00E963CF">
              <w:rPr>
                <w:color w:val="000000"/>
                <w:szCs w:val="20"/>
              </w:rPr>
              <w:t>$1</w:t>
            </w:r>
            <w:r w:rsidR="00794EC5">
              <w:rPr>
                <w:color w:val="000000"/>
                <w:szCs w:val="20"/>
              </w:rPr>
              <w:t>69.31</w:t>
            </w:r>
            <w:r w:rsidRPr="00E963CF">
              <w:rPr>
                <w:color w:val="000000"/>
                <w:szCs w:val="20"/>
              </w:rPr>
              <w:t xml:space="preserve"> </w:t>
            </w:r>
          </w:p>
        </w:tc>
      </w:tr>
      <w:tr w14:paraId="24BCBFF2" w14:textId="77777777" w:rsidTr="00794EC5">
        <w:tblPrEx>
          <w:tblW w:w="4555" w:type="pct"/>
          <w:jc w:val="center"/>
          <w:tblCellMar>
            <w:left w:w="0" w:type="dxa"/>
            <w:right w:w="0" w:type="dxa"/>
          </w:tblCellMar>
          <w:tblLook w:val="0000"/>
        </w:tblPrEx>
        <w:trPr>
          <w:jc w:val="center"/>
        </w:trPr>
        <w:tc>
          <w:tcPr>
            <w:tcW w:w="1106" w:type="pct"/>
            <w:tcBorders>
              <w:top w:val="single" w:sz="4" w:space="0" w:color="000000"/>
              <w:left w:val="single" w:sz="4" w:space="0" w:color="000000"/>
              <w:bottom w:val="single" w:sz="4" w:space="0" w:color="000000"/>
            </w:tcBorders>
          </w:tcPr>
          <w:p w:rsidR="00D74E1B" w:rsidRPr="006D28E0" w:rsidP="00822C18" w14:paraId="1A022A02" w14:textId="71F22F54">
            <w:pPr>
              <w:keepNext/>
              <w:keepLines/>
              <w:snapToGrid w:val="0"/>
              <w:ind w:left="15"/>
              <w:rPr>
                <w:color w:val="000000"/>
                <w:szCs w:val="20"/>
              </w:rPr>
            </w:pPr>
            <w:r w:rsidRPr="006D28E0">
              <w:rPr>
                <w:color w:val="000000"/>
                <w:szCs w:val="20"/>
              </w:rPr>
              <w:t>Managerial</w:t>
            </w:r>
          </w:p>
        </w:tc>
        <w:tc>
          <w:tcPr>
            <w:tcW w:w="2812" w:type="pct"/>
            <w:tcBorders>
              <w:top w:val="single" w:sz="4" w:space="0" w:color="000000"/>
              <w:left w:val="single" w:sz="4" w:space="0" w:color="000000"/>
              <w:bottom w:val="single" w:sz="4" w:space="0" w:color="000000"/>
            </w:tcBorders>
            <w:vAlign w:val="center"/>
          </w:tcPr>
          <w:p w:rsidR="00D74E1B" w:rsidRPr="006D28E0" w:rsidP="00822C18" w14:paraId="60124280" w14:textId="77777777">
            <w:pPr>
              <w:keepNext/>
              <w:keepLines/>
              <w:snapToGrid w:val="0"/>
              <w:ind w:left="15"/>
              <w:rPr>
                <w:color w:val="000000"/>
                <w:szCs w:val="20"/>
              </w:rPr>
            </w:pPr>
            <w:r w:rsidRPr="006D28E0">
              <w:rPr>
                <w:color w:val="000000"/>
                <w:szCs w:val="20"/>
              </w:rPr>
              <w:t xml:space="preserve">11-1021 </w:t>
            </w:r>
            <w:r>
              <w:rPr>
                <w:color w:val="000000"/>
                <w:szCs w:val="20"/>
              </w:rPr>
              <w:t>G</w:t>
            </w:r>
            <w:r w:rsidRPr="006D28E0">
              <w:rPr>
                <w:color w:val="000000"/>
                <w:szCs w:val="20"/>
              </w:rPr>
              <w:t xml:space="preserve">eneral &amp; </w:t>
            </w:r>
            <w:r>
              <w:rPr>
                <w:color w:val="000000"/>
                <w:szCs w:val="20"/>
              </w:rPr>
              <w:t>O</w:t>
            </w:r>
            <w:r w:rsidRPr="006D28E0">
              <w:rPr>
                <w:color w:val="000000"/>
                <w:szCs w:val="20"/>
              </w:rPr>
              <w:t xml:space="preserve">perations </w:t>
            </w:r>
            <w:r>
              <w:rPr>
                <w:color w:val="000000"/>
                <w:szCs w:val="20"/>
              </w:rPr>
              <w:t>M</w:t>
            </w:r>
            <w:r w:rsidRPr="006D28E0">
              <w:rPr>
                <w:color w:val="000000"/>
                <w:szCs w:val="20"/>
              </w:rPr>
              <w:t>anagers</w:t>
            </w:r>
          </w:p>
        </w:tc>
        <w:tc>
          <w:tcPr>
            <w:tcW w:w="1082" w:type="pct"/>
            <w:tcBorders>
              <w:top w:val="single" w:sz="4" w:space="0" w:color="000000"/>
              <w:left w:val="single" w:sz="4" w:space="0" w:color="000000"/>
              <w:bottom w:val="single" w:sz="4" w:space="0" w:color="000000"/>
              <w:right w:val="single" w:sz="4" w:space="0" w:color="000000"/>
            </w:tcBorders>
            <w:vAlign w:val="center"/>
          </w:tcPr>
          <w:p w:rsidR="00D74E1B" w:rsidRPr="006D28E0" w:rsidP="00822C18" w14:paraId="0BD27AC6" w14:textId="6D707D35">
            <w:pPr>
              <w:keepNext/>
              <w:keepLines/>
              <w:snapToGrid w:val="0"/>
              <w:ind w:left="15"/>
              <w:jc w:val="center"/>
              <w:rPr>
                <w:bCs/>
                <w:color w:val="000000"/>
                <w:szCs w:val="20"/>
                <w:highlight w:val="green"/>
              </w:rPr>
            </w:pPr>
            <w:r w:rsidRPr="00E963CF">
              <w:rPr>
                <w:color w:val="000000"/>
                <w:szCs w:val="20"/>
              </w:rPr>
              <w:t>$</w:t>
            </w:r>
            <w:r w:rsidR="00794EC5">
              <w:rPr>
                <w:color w:val="000000"/>
                <w:szCs w:val="20"/>
              </w:rPr>
              <w:t>115.44</w:t>
            </w:r>
            <w:r w:rsidRPr="00E963CF">
              <w:rPr>
                <w:color w:val="000000"/>
                <w:szCs w:val="20"/>
              </w:rPr>
              <w:t xml:space="preserve"> </w:t>
            </w:r>
          </w:p>
        </w:tc>
      </w:tr>
      <w:tr w14:paraId="48FB55E2" w14:textId="77777777" w:rsidTr="00794EC5">
        <w:tblPrEx>
          <w:tblW w:w="4555" w:type="pct"/>
          <w:jc w:val="center"/>
          <w:tblCellMar>
            <w:left w:w="0" w:type="dxa"/>
            <w:right w:w="0" w:type="dxa"/>
          </w:tblCellMar>
          <w:tblLook w:val="0000"/>
        </w:tblPrEx>
        <w:trPr>
          <w:jc w:val="center"/>
        </w:trPr>
        <w:tc>
          <w:tcPr>
            <w:tcW w:w="1106" w:type="pct"/>
            <w:tcBorders>
              <w:top w:val="single" w:sz="4" w:space="0" w:color="000000"/>
              <w:left w:val="single" w:sz="4" w:space="0" w:color="000000"/>
              <w:bottom w:val="single" w:sz="4" w:space="0" w:color="000000"/>
            </w:tcBorders>
          </w:tcPr>
          <w:p w:rsidR="00D74E1B" w:rsidRPr="006D28E0" w:rsidP="00822C18" w14:paraId="781C5B5C" w14:textId="146C5F54">
            <w:pPr>
              <w:keepNext/>
              <w:keepLines/>
              <w:snapToGrid w:val="0"/>
              <w:ind w:left="15"/>
              <w:rPr>
                <w:color w:val="000000"/>
                <w:szCs w:val="20"/>
              </w:rPr>
            </w:pPr>
            <w:r w:rsidRPr="006D28E0">
              <w:rPr>
                <w:color w:val="000000"/>
                <w:szCs w:val="20"/>
              </w:rPr>
              <w:t>Technical</w:t>
            </w:r>
          </w:p>
        </w:tc>
        <w:tc>
          <w:tcPr>
            <w:tcW w:w="2812" w:type="pct"/>
            <w:tcBorders>
              <w:top w:val="single" w:sz="4" w:space="0" w:color="000000"/>
              <w:left w:val="single" w:sz="4" w:space="0" w:color="000000"/>
              <w:bottom w:val="single" w:sz="4" w:space="0" w:color="000000"/>
            </w:tcBorders>
            <w:vAlign w:val="center"/>
          </w:tcPr>
          <w:p w:rsidR="00D74E1B" w:rsidRPr="006D28E0" w:rsidP="00822C18" w14:paraId="72E9DE51" w14:textId="77777777">
            <w:pPr>
              <w:keepNext/>
              <w:keepLines/>
              <w:snapToGrid w:val="0"/>
              <w:ind w:left="15"/>
              <w:rPr>
                <w:color w:val="000000"/>
                <w:szCs w:val="20"/>
              </w:rPr>
            </w:pPr>
            <w:r w:rsidRPr="006D28E0">
              <w:rPr>
                <w:color w:val="000000"/>
                <w:szCs w:val="20"/>
              </w:rPr>
              <w:t xml:space="preserve">17-2081 </w:t>
            </w:r>
            <w:r>
              <w:rPr>
                <w:color w:val="000000"/>
                <w:szCs w:val="20"/>
              </w:rPr>
              <w:t>E</w:t>
            </w:r>
            <w:r w:rsidRPr="006D28E0">
              <w:rPr>
                <w:color w:val="000000"/>
                <w:szCs w:val="20"/>
              </w:rPr>
              <w:t xml:space="preserve">nvironmental </w:t>
            </w:r>
            <w:r>
              <w:rPr>
                <w:color w:val="000000"/>
                <w:szCs w:val="20"/>
              </w:rPr>
              <w:t>E</w:t>
            </w:r>
            <w:r w:rsidRPr="006D28E0">
              <w:rPr>
                <w:color w:val="000000"/>
                <w:szCs w:val="20"/>
              </w:rPr>
              <w:t>ngineers</w:t>
            </w:r>
          </w:p>
        </w:tc>
        <w:tc>
          <w:tcPr>
            <w:tcW w:w="1082" w:type="pct"/>
            <w:tcBorders>
              <w:top w:val="single" w:sz="4" w:space="0" w:color="000000"/>
              <w:left w:val="single" w:sz="4" w:space="0" w:color="000000"/>
              <w:bottom w:val="single" w:sz="4" w:space="0" w:color="000000"/>
              <w:right w:val="single" w:sz="4" w:space="0" w:color="000000"/>
            </w:tcBorders>
            <w:vAlign w:val="center"/>
          </w:tcPr>
          <w:p w:rsidR="00D74E1B" w:rsidRPr="006D28E0" w:rsidP="00822C18" w14:paraId="5FF80597" w14:textId="26BEB2B5">
            <w:pPr>
              <w:keepNext/>
              <w:keepLines/>
              <w:snapToGrid w:val="0"/>
              <w:ind w:left="15"/>
              <w:jc w:val="center"/>
              <w:rPr>
                <w:bCs/>
                <w:color w:val="000000"/>
                <w:szCs w:val="20"/>
                <w:highlight w:val="green"/>
              </w:rPr>
            </w:pPr>
            <w:r w:rsidRPr="00E963CF">
              <w:rPr>
                <w:color w:val="000000"/>
                <w:szCs w:val="20"/>
              </w:rPr>
              <w:t>$</w:t>
            </w:r>
            <w:r w:rsidR="00794EC5">
              <w:rPr>
                <w:color w:val="000000"/>
                <w:szCs w:val="20"/>
              </w:rPr>
              <w:t>98.35</w:t>
            </w:r>
            <w:r w:rsidRPr="00E963CF">
              <w:rPr>
                <w:color w:val="000000"/>
                <w:szCs w:val="20"/>
              </w:rPr>
              <w:t xml:space="preserve"> </w:t>
            </w:r>
          </w:p>
        </w:tc>
      </w:tr>
      <w:tr w14:paraId="7495FDC5" w14:textId="77777777" w:rsidTr="00794EC5">
        <w:tblPrEx>
          <w:tblW w:w="4555" w:type="pct"/>
          <w:jc w:val="center"/>
          <w:tblCellMar>
            <w:left w:w="0" w:type="dxa"/>
            <w:right w:w="0" w:type="dxa"/>
          </w:tblCellMar>
          <w:tblLook w:val="0000"/>
        </w:tblPrEx>
        <w:trPr>
          <w:jc w:val="center"/>
        </w:trPr>
        <w:tc>
          <w:tcPr>
            <w:tcW w:w="1106" w:type="pct"/>
            <w:tcBorders>
              <w:top w:val="single" w:sz="4" w:space="0" w:color="000000"/>
              <w:left w:val="single" w:sz="4" w:space="0" w:color="000000"/>
              <w:bottom w:val="single" w:sz="4" w:space="0" w:color="000000"/>
            </w:tcBorders>
          </w:tcPr>
          <w:p w:rsidR="00D74E1B" w:rsidRPr="006D28E0" w:rsidP="00822C18" w14:paraId="6D1AABBF" w14:textId="3A2433A4">
            <w:pPr>
              <w:keepNext/>
              <w:keepLines/>
              <w:snapToGrid w:val="0"/>
              <w:ind w:left="15"/>
              <w:rPr>
                <w:color w:val="000000"/>
                <w:szCs w:val="20"/>
              </w:rPr>
            </w:pPr>
            <w:r w:rsidRPr="006D28E0">
              <w:rPr>
                <w:color w:val="000000"/>
                <w:szCs w:val="20"/>
              </w:rPr>
              <w:t>Clerical</w:t>
            </w:r>
          </w:p>
        </w:tc>
        <w:tc>
          <w:tcPr>
            <w:tcW w:w="2812" w:type="pct"/>
            <w:tcBorders>
              <w:top w:val="single" w:sz="4" w:space="0" w:color="000000"/>
              <w:left w:val="single" w:sz="4" w:space="0" w:color="000000"/>
              <w:bottom w:val="single" w:sz="4" w:space="0" w:color="000000"/>
            </w:tcBorders>
            <w:vAlign w:val="center"/>
          </w:tcPr>
          <w:p w:rsidR="00D74E1B" w:rsidRPr="006D28E0" w:rsidP="00822C18" w14:paraId="333BA6C3" w14:textId="77777777">
            <w:pPr>
              <w:keepNext/>
              <w:keepLines/>
              <w:snapToGrid w:val="0"/>
              <w:ind w:left="15"/>
              <w:rPr>
                <w:color w:val="000000"/>
                <w:szCs w:val="20"/>
              </w:rPr>
            </w:pPr>
            <w:r w:rsidRPr="006D28E0">
              <w:rPr>
                <w:color w:val="000000"/>
                <w:szCs w:val="20"/>
              </w:rPr>
              <w:t xml:space="preserve">43-9061 </w:t>
            </w:r>
            <w:r>
              <w:rPr>
                <w:color w:val="000000"/>
                <w:szCs w:val="20"/>
              </w:rPr>
              <w:t>O</w:t>
            </w:r>
            <w:r w:rsidRPr="006D28E0">
              <w:rPr>
                <w:color w:val="000000"/>
                <w:szCs w:val="20"/>
              </w:rPr>
              <w:t xml:space="preserve">ffice </w:t>
            </w:r>
            <w:r>
              <w:rPr>
                <w:color w:val="000000"/>
                <w:szCs w:val="20"/>
              </w:rPr>
              <w:t>C</w:t>
            </w:r>
            <w:r w:rsidRPr="006D28E0">
              <w:rPr>
                <w:color w:val="000000"/>
                <w:szCs w:val="20"/>
              </w:rPr>
              <w:t xml:space="preserve">lerks, </w:t>
            </w:r>
            <w:r>
              <w:rPr>
                <w:color w:val="000000"/>
                <w:szCs w:val="20"/>
              </w:rPr>
              <w:t>G</w:t>
            </w:r>
            <w:r w:rsidRPr="006D28E0">
              <w:rPr>
                <w:color w:val="000000"/>
                <w:szCs w:val="20"/>
              </w:rPr>
              <w:t>eneral</w:t>
            </w:r>
          </w:p>
        </w:tc>
        <w:tc>
          <w:tcPr>
            <w:tcW w:w="1082" w:type="pct"/>
            <w:tcBorders>
              <w:top w:val="single" w:sz="4" w:space="0" w:color="000000"/>
              <w:left w:val="single" w:sz="4" w:space="0" w:color="000000"/>
              <w:bottom w:val="single" w:sz="4" w:space="0" w:color="000000"/>
              <w:right w:val="single" w:sz="4" w:space="0" w:color="000000"/>
            </w:tcBorders>
            <w:vAlign w:val="center"/>
          </w:tcPr>
          <w:p w:rsidR="00D74E1B" w:rsidRPr="006D28E0" w:rsidP="00822C18" w14:paraId="24DE05EC" w14:textId="5D03FAC1">
            <w:pPr>
              <w:keepNext/>
              <w:keepLines/>
              <w:snapToGrid w:val="0"/>
              <w:ind w:left="15"/>
              <w:jc w:val="center"/>
              <w:rPr>
                <w:bCs/>
                <w:color w:val="000000"/>
                <w:szCs w:val="20"/>
                <w:highlight w:val="green"/>
              </w:rPr>
            </w:pPr>
            <w:r w:rsidRPr="00E963CF">
              <w:rPr>
                <w:color w:val="000000"/>
                <w:szCs w:val="20"/>
              </w:rPr>
              <w:t>$</w:t>
            </w:r>
            <w:r w:rsidR="00794EC5">
              <w:rPr>
                <w:color w:val="000000"/>
                <w:szCs w:val="20"/>
              </w:rPr>
              <w:t>39.44</w:t>
            </w:r>
            <w:r w:rsidRPr="00E963CF">
              <w:rPr>
                <w:color w:val="000000"/>
                <w:szCs w:val="20"/>
              </w:rPr>
              <w:t xml:space="preserve"> </w:t>
            </w:r>
          </w:p>
        </w:tc>
      </w:tr>
    </w:tbl>
    <w:p w:rsidR="00D74E1B" w:rsidP="007C7F26" w14:paraId="3162B683" w14:textId="77777777">
      <w:pPr>
        <w:pStyle w:val="BodyTextDSW"/>
        <w:rPr>
          <w:rFonts w:asciiTheme="minorHAnsi" w:hAnsiTheme="minorHAnsi" w:cstheme="minorHAnsi"/>
          <w:sz w:val="22"/>
          <w:szCs w:val="22"/>
        </w:rPr>
      </w:pPr>
    </w:p>
    <w:p w:rsidR="00C0424F" w:rsidP="007C7F26" w14:paraId="72228F72" w14:textId="07AFE5FE">
      <w:pPr>
        <w:pStyle w:val="BodyTextDSW"/>
        <w:rPr>
          <w:rFonts w:asciiTheme="minorHAnsi" w:hAnsiTheme="minorHAnsi" w:cstheme="minorHAnsi"/>
          <w:bCs/>
          <w:sz w:val="22"/>
          <w:szCs w:val="22"/>
        </w:rPr>
      </w:pPr>
      <w:r w:rsidRPr="00C0424F">
        <w:rPr>
          <w:rFonts w:asciiTheme="minorHAnsi" w:hAnsiTheme="minorHAnsi" w:cstheme="minorHAnsi"/>
          <w:sz w:val="22"/>
          <w:szCs w:val="22"/>
        </w:rPr>
        <w:t xml:space="preserve">The information collection requirements covered in this ICR will be administered by RCRA-Authorized State government regulatory programs and EPA. The States administer the program – thus there is no Federal burden. </w:t>
      </w:r>
      <w:r w:rsidRPr="00C0424F">
        <w:rPr>
          <w:rFonts w:asciiTheme="minorHAnsi" w:hAnsiTheme="minorHAnsi" w:cstheme="minorHAnsi"/>
          <w:bCs/>
          <w:sz w:val="22"/>
          <w:szCs w:val="22"/>
        </w:rPr>
        <w:t xml:space="preserve">The hourly labor wage rates used to estimate costs to </w:t>
      </w:r>
      <w:r>
        <w:rPr>
          <w:rFonts w:asciiTheme="minorHAnsi" w:hAnsiTheme="minorHAnsi" w:cstheme="minorHAnsi"/>
          <w:bCs/>
          <w:sz w:val="22"/>
          <w:szCs w:val="22"/>
        </w:rPr>
        <w:t xml:space="preserve">state </w:t>
      </w:r>
      <w:r w:rsidRPr="00C0424F">
        <w:rPr>
          <w:rFonts w:asciiTheme="minorHAnsi" w:hAnsiTheme="minorHAnsi" w:cstheme="minorHAnsi"/>
          <w:bCs/>
          <w:sz w:val="22"/>
          <w:szCs w:val="22"/>
        </w:rPr>
        <w:t>agencies were calculated as shown in Table 2</w:t>
      </w:r>
      <w:r>
        <w:rPr>
          <w:rFonts w:asciiTheme="minorHAnsi" w:hAnsiTheme="minorHAnsi" w:cstheme="minorHAnsi"/>
          <w:bCs/>
          <w:sz w:val="22"/>
          <w:szCs w:val="22"/>
        </w:rPr>
        <w:t xml:space="preserve"> below</w:t>
      </w:r>
      <w:r w:rsidRPr="00C0424F">
        <w:rPr>
          <w:rFonts w:asciiTheme="minorHAnsi" w:hAnsiTheme="minorHAnsi" w:cstheme="minorHAnsi"/>
          <w:bCs/>
          <w:sz w:val="22"/>
          <w:szCs w:val="22"/>
        </w:rPr>
        <w:t xml:space="preserve">. </w:t>
      </w:r>
      <w:r w:rsidRPr="00C0424F">
        <w:rPr>
          <w:rFonts w:asciiTheme="minorHAnsi" w:hAnsiTheme="minorHAnsi" w:cstheme="minorHAnsi"/>
          <w:sz w:val="22"/>
          <w:szCs w:val="22"/>
        </w:rPr>
        <w:t xml:space="preserve">Unloaded mean hourly labor wage rates for agency activities were taken from </w:t>
      </w:r>
      <w:r w:rsidRPr="00C0424F">
        <w:rPr>
          <w:rFonts w:asciiTheme="minorHAnsi" w:hAnsiTheme="minorHAnsi" w:cstheme="minorHAnsi"/>
          <w:sz w:val="22"/>
          <w:szCs w:val="22"/>
        </w:rPr>
        <w:t xml:space="preserve">the </w:t>
      </w:r>
      <w:r w:rsidRPr="00C0424F">
        <w:rPr>
          <w:rFonts w:asciiTheme="minorHAnsi" w:hAnsiTheme="minorHAnsi" w:cstheme="minorHAnsi"/>
          <w:bCs/>
          <w:sz w:val="22"/>
          <w:szCs w:val="22"/>
        </w:rPr>
        <w:t>May</w:t>
      </w:r>
      <w:r w:rsidRPr="00C0424F">
        <w:rPr>
          <w:rFonts w:asciiTheme="minorHAnsi" w:hAnsiTheme="minorHAnsi" w:cstheme="minorHAnsi"/>
          <w:bCs/>
          <w:sz w:val="22"/>
          <w:szCs w:val="22"/>
        </w:rPr>
        <w:t xml:space="preserve"> 202</w:t>
      </w:r>
      <w:r>
        <w:rPr>
          <w:rFonts w:asciiTheme="minorHAnsi" w:hAnsiTheme="minorHAnsi" w:cstheme="minorHAnsi"/>
          <w:bCs/>
          <w:sz w:val="22"/>
          <w:szCs w:val="22"/>
        </w:rPr>
        <w:t>4</w:t>
      </w:r>
      <w:r w:rsidRPr="00C0424F">
        <w:rPr>
          <w:rFonts w:asciiTheme="minorHAnsi" w:hAnsiTheme="minorHAnsi" w:cstheme="minorHAnsi"/>
          <w:bCs/>
          <w:sz w:val="22"/>
          <w:szCs w:val="22"/>
        </w:rPr>
        <w:t xml:space="preserve"> National Industry-Specific Occupational Employment and Wage Estimates for </w:t>
      </w:r>
      <w:r w:rsidRPr="00C0424F">
        <w:rPr>
          <w:rFonts w:asciiTheme="minorHAnsi" w:hAnsiTheme="minorHAnsi" w:cstheme="minorHAnsi"/>
          <w:bCs/>
          <w:sz w:val="22"/>
          <w:szCs w:val="22"/>
        </w:rPr>
        <w:t>Federal, State, and local government and adjusted to 202</w:t>
      </w:r>
      <w:r>
        <w:rPr>
          <w:rFonts w:asciiTheme="minorHAnsi" w:hAnsiTheme="minorHAnsi" w:cstheme="minorHAnsi"/>
          <w:bCs/>
          <w:sz w:val="22"/>
          <w:szCs w:val="22"/>
        </w:rPr>
        <w:t>5</w:t>
      </w:r>
      <w:r w:rsidRPr="00C0424F">
        <w:rPr>
          <w:rFonts w:asciiTheme="minorHAnsi" w:hAnsiTheme="minorHAnsi" w:cstheme="minorHAnsi"/>
          <w:bCs/>
          <w:sz w:val="22"/>
          <w:szCs w:val="22"/>
        </w:rPr>
        <w:t xml:space="preserve"> dollars using Employment Cost Indices developed by BLS</w:t>
      </w:r>
      <w:r>
        <w:rPr>
          <w:rFonts w:asciiTheme="minorHAnsi" w:hAnsiTheme="minorHAnsi" w:cstheme="minorHAnsi"/>
          <w:bCs/>
          <w:sz w:val="22"/>
          <w:szCs w:val="22"/>
        </w:rPr>
        <w:t>.</w:t>
      </w:r>
    </w:p>
    <w:p w:rsidR="00B31063" w:rsidRPr="00C0424F" w:rsidP="00B31063" w14:paraId="6DBB6B30" w14:textId="29CD1AB5">
      <w:pPr>
        <w:pStyle w:val="BodyTextDSW"/>
        <w:jc w:val="center"/>
        <w:rPr>
          <w:rFonts w:asciiTheme="minorHAnsi" w:hAnsiTheme="minorHAnsi" w:cstheme="minorHAnsi"/>
          <w:b/>
          <w:sz w:val="22"/>
          <w:szCs w:val="22"/>
        </w:rPr>
      </w:pPr>
      <w:r w:rsidRPr="00C0424F">
        <w:rPr>
          <w:rFonts w:asciiTheme="minorHAnsi" w:hAnsiTheme="minorHAnsi" w:cstheme="minorHAnsi"/>
          <w:b/>
          <w:sz w:val="22"/>
          <w:szCs w:val="22"/>
        </w:rPr>
        <w:t xml:space="preserve">Table </w:t>
      </w:r>
      <w:r>
        <w:rPr>
          <w:rFonts w:asciiTheme="minorHAnsi" w:hAnsiTheme="minorHAnsi" w:cstheme="minorHAnsi"/>
          <w:b/>
          <w:sz w:val="22"/>
          <w:szCs w:val="22"/>
        </w:rPr>
        <w:t>2</w:t>
      </w:r>
      <w:r w:rsidRPr="00C0424F">
        <w:rPr>
          <w:rFonts w:asciiTheme="minorHAnsi" w:hAnsiTheme="minorHAnsi" w:cstheme="minorHAnsi"/>
          <w:b/>
          <w:sz w:val="22"/>
          <w:szCs w:val="22"/>
        </w:rPr>
        <w:t xml:space="preserve"> – </w:t>
      </w:r>
      <w:r>
        <w:rPr>
          <w:rFonts w:asciiTheme="minorHAnsi" w:hAnsiTheme="minorHAnsi" w:cstheme="minorHAnsi"/>
          <w:b/>
          <w:sz w:val="22"/>
          <w:szCs w:val="22"/>
        </w:rPr>
        <w:t>State Agency</w:t>
      </w:r>
      <w:r w:rsidRPr="00C0424F">
        <w:rPr>
          <w:rFonts w:asciiTheme="minorHAnsi" w:hAnsiTheme="minorHAnsi" w:cstheme="minorHAnsi"/>
          <w:b/>
          <w:sz w:val="22"/>
          <w:szCs w:val="22"/>
        </w:rPr>
        <w:t xml:space="preserve"> Hourly </w:t>
      </w:r>
      <w:r>
        <w:rPr>
          <w:rFonts w:asciiTheme="minorHAnsi" w:hAnsiTheme="minorHAnsi" w:cstheme="minorHAnsi"/>
          <w:b/>
          <w:sz w:val="22"/>
          <w:szCs w:val="22"/>
        </w:rPr>
        <w:t xml:space="preserve">Wage </w:t>
      </w:r>
      <w:r w:rsidRPr="00C0424F">
        <w:rPr>
          <w:rFonts w:asciiTheme="minorHAnsi" w:hAnsiTheme="minorHAnsi" w:cstheme="minorHAnsi"/>
          <w:b/>
          <w:sz w:val="22"/>
          <w:szCs w:val="22"/>
        </w:rPr>
        <w:t>Rate</w:t>
      </w:r>
    </w:p>
    <w:tbl>
      <w:tblPr>
        <w:tblW w:w="4555" w:type="pct"/>
        <w:jc w:val="center"/>
        <w:tblCellMar>
          <w:left w:w="0" w:type="dxa"/>
          <w:right w:w="0" w:type="dxa"/>
        </w:tblCellMar>
        <w:tblLook w:val="0000"/>
      </w:tblPr>
      <w:tblGrid>
        <w:gridCol w:w="1884"/>
        <w:gridCol w:w="4791"/>
        <w:gridCol w:w="1843"/>
      </w:tblGrid>
      <w:tr w14:paraId="7BFF12A5" w14:textId="77777777" w:rsidTr="00822C18">
        <w:tblPrEx>
          <w:tblW w:w="4555" w:type="pct"/>
          <w:jc w:val="center"/>
          <w:tblCellMar>
            <w:left w:w="0" w:type="dxa"/>
            <w:right w:w="0" w:type="dxa"/>
          </w:tblCellMar>
          <w:tblLook w:val="0000"/>
        </w:tblPrEx>
        <w:trPr>
          <w:jc w:val="center"/>
        </w:trPr>
        <w:tc>
          <w:tcPr>
            <w:tcW w:w="1106" w:type="pct"/>
            <w:tcBorders>
              <w:top w:val="single" w:sz="4" w:space="0" w:color="000000"/>
              <w:left w:val="single" w:sz="4" w:space="0" w:color="000000"/>
            </w:tcBorders>
            <w:shd w:val="clear" w:color="auto" w:fill="EFEFEF"/>
            <w:vAlign w:val="center"/>
          </w:tcPr>
          <w:p w:rsidR="00B31063" w:rsidRPr="00863109" w:rsidP="00822C18" w14:paraId="4A0BF01F" w14:textId="77777777">
            <w:pPr>
              <w:keepNext/>
              <w:keepLines/>
              <w:snapToGrid w:val="0"/>
              <w:jc w:val="center"/>
              <w:rPr>
                <w:b/>
                <w:bCs/>
                <w:color w:val="000000"/>
                <w:szCs w:val="20"/>
              </w:rPr>
            </w:pPr>
            <w:r w:rsidRPr="00AF6593">
              <w:rPr>
                <w:b/>
                <w:bCs/>
                <w:color w:val="000000"/>
                <w:szCs w:val="20"/>
              </w:rPr>
              <w:t>Labor</w:t>
            </w:r>
            <w:r>
              <w:rPr>
                <w:b/>
                <w:bCs/>
                <w:color w:val="000000"/>
                <w:szCs w:val="20"/>
              </w:rPr>
              <w:br/>
            </w:r>
            <w:r w:rsidRPr="00863109">
              <w:rPr>
                <w:b/>
                <w:bCs/>
                <w:color w:val="000000"/>
                <w:szCs w:val="20"/>
              </w:rPr>
              <w:t>Category</w:t>
            </w:r>
          </w:p>
        </w:tc>
        <w:tc>
          <w:tcPr>
            <w:tcW w:w="2812" w:type="pct"/>
            <w:tcBorders>
              <w:top w:val="single" w:sz="4" w:space="0" w:color="000000"/>
              <w:left w:val="single" w:sz="4" w:space="0" w:color="000000"/>
            </w:tcBorders>
            <w:shd w:val="clear" w:color="auto" w:fill="EFEFEF"/>
            <w:vAlign w:val="center"/>
          </w:tcPr>
          <w:p w:rsidR="00B31063" w:rsidRPr="00863109" w:rsidP="00822C18" w14:paraId="4707AD74" w14:textId="77777777">
            <w:pPr>
              <w:keepNext/>
              <w:keepLines/>
              <w:snapToGrid w:val="0"/>
              <w:ind w:left="15"/>
              <w:jc w:val="center"/>
              <w:rPr>
                <w:b/>
                <w:bCs/>
                <w:color w:val="000000"/>
                <w:szCs w:val="20"/>
              </w:rPr>
            </w:pPr>
            <w:r w:rsidRPr="00863109">
              <w:rPr>
                <w:b/>
                <w:bCs/>
                <w:color w:val="000000"/>
                <w:szCs w:val="20"/>
              </w:rPr>
              <w:t>Standard</w:t>
            </w:r>
            <w:r>
              <w:rPr>
                <w:b/>
                <w:bCs/>
                <w:color w:val="000000"/>
                <w:szCs w:val="20"/>
              </w:rPr>
              <w:br/>
            </w:r>
            <w:r w:rsidRPr="00863109">
              <w:rPr>
                <w:b/>
                <w:bCs/>
                <w:color w:val="000000"/>
                <w:szCs w:val="20"/>
              </w:rPr>
              <w:t>Occupational</w:t>
            </w:r>
            <w:r>
              <w:rPr>
                <w:b/>
                <w:bCs/>
                <w:color w:val="000000"/>
                <w:szCs w:val="20"/>
              </w:rPr>
              <w:br/>
            </w:r>
            <w:r w:rsidRPr="00863109">
              <w:rPr>
                <w:b/>
                <w:bCs/>
                <w:color w:val="000000"/>
                <w:szCs w:val="20"/>
              </w:rPr>
              <w:t>Code</w:t>
            </w:r>
          </w:p>
        </w:tc>
        <w:tc>
          <w:tcPr>
            <w:tcW w:w="1082" w:type="pct"/>
            <w:tcBorders>
              <w:top w:val="single" w:sz="4" w:space="0" w:color="000000"/>
              <w:left w:val="single" w:sz="4" w:space="0" w:color="000000"/>
              <w:right w:val="single" w:sz="4" w:space="0" w:color="000000"/>
            </w:tcBorders>
            <w:shd w:val="clear" w:color="auto" w:fill="EFEFEF"/>
            <w:vAlign w:val="center"/>
          </w:tcPr>
          <w:p w:rsidR="00B31063" w:rsidP="00822C18" w14:paraId="0C960CF7" w14:textId="77777777">
            <w:pPr>
              <w:keepNext/>
              <w:keepLines/>
              <w:snapToGrid w:val="0"/>
              <w:ind w:left="15"/>
              <w:jc w:val="center"/>
              <w:rPr>
                <w:b/>
                <w:bCs/>
                <w:color w:val="000000"/>
                <w:szCs w:val="20"/>
              </w:rPr>
            </w:pPr>
            <w:r>
              <w:rPr>
                <w:b/>
                <w:bCs/>
                <w:color w:val="000000"/>
                <w:szCs w:val="20"/>
              </w:rPr>
              <w:t>A</w:t>
            </w:r>
            <w:r w:rsidRPr="00863109">
              <w:rPr>
                <w:b/>
                <w:bCs/>
                <w:color w:val="000000"/>
                <w:szCs w:val="20"/>
              </w:rPr>
              <w:t xml:space="preserve">verage </w:t>
            </w:r>
            <w:r>
              <w:rPr>
                <w:b/>
                <w:bCs/>
                <w:color w:val="000000"/>
                <w:szCs w:val="20"/>
              </w:rPr>
              <w:t>(Mean)</w:t>
            </w:r>
          </w:p>
          <w:p w:rsidR="00B31063" w:rsidRPr="00863109" w:rsidP="00822C18" w14:paraId="737C20B1" w14:textId="77777777">
            <w:pPr>
              <w:keepNext/>
              <w:keepLines/>
              <w:jc w:val="center"/>
              <w:rPr>
                <w:b/>
                <w:bCs/>
                <w:color w:val="000000"/>
                <w:szCs w:val="20"/>
              </w:rPr>
            </w:pPr>
            <w:r>
              <w:rPr>
                <w:b/>
                <w:bCs/>
                <w:color w:val="000000"/>
                <w:szCs w:val="20"/>
              </w:rPr>
              <w:t>Hourly W</w:t>
            </w:r>
            <w:r w:rsidRPr="00AF6593">
              <w:rPr>
                <w:b/>
                <w:bCs/>
                <w:color w:val="000000"/>
                <w:szCs w:val="20"/>
              </w:rPr>
              <w:t xml:space="preserve">age </w:t>
            </w:r>
            <w:r>
              <w:rPr>
                <w:b/>
                <w:bCs/>
                <w:color w:val="000000"/>
                <w:szCs w:val="20"/>
              </w:rPr>
              <w:t>R</w:t>
            </w:r>
            <w:r w:rsidRPr="00863109">
              <w:rPr>
                <w:b/>
                <w:bCs/>
                <w:color w:val="000000"/>
                <w:szCs w:val="20"/>
              </w:rPr>
              <w:t xml:space="preserve">ate </w:t>
            </w:r>
          </w:p>
        </w:tc>
      </w:tr>
      <w:tr w14:paraId="4520BE87" w14:textId="77777777" w:rsidTr="00822C18">
        <w:tblPrEx>
          <w:tblW w:w="4555" w:type="pct"/>
          <w:jc w:val="center"/>
          <w:tblCellMar>
            <w:left w:w="0" w:type="dxa"/>
            <w:right w:w="0" w:type="dxa"/>
          </w:tblCellMar>
          <w:tblLook w:val="0000"/>
        </w:tblPrEx>
        <w:trPr>
          <w:trHeight w:val="74"/>
          <w:jc w:val="center"/>
        </w:trPr>
        <w:tc>
          <w:tcPr>
            <w:tcW w:w="1106" w:type="pct"/>
            <w:tcBorders>
              <w:left w:val="single" w:sz="4" w:space="0" w:color="000000"/>
              <w:bottom w:val="single" w:sz="4" w:space="0" w:color="000000"/>
            </w:tcBorders>
            <w:shd w:val="clear" w:color="auto" w:fill="EFEFEF"/>
            <w:vAlign w:val="center"/>
          </w:tcPr>
          <w:p w:rsidR="00B31063" w:rsidRPr="00AF6593" w:rsidP="00822C18" w14:paraId="037B36F6" w14:textId="77777777">
            <w:pPr>
              <w:keepNext/>
              <w:keepLines/>
              <w:snapToGrid w:val="0"/>
              <w:jc w:val="center"/>
              <w:rPr>
                <w:b/>
                <w:bCs/>
                <w:color w:val="000000"/>
                <w:szCs w:val="20"/>
              </w:rPr>
            </w:pPr>
          </w:p>
        </w:tc>
        <w:tc>
          <w:tcPr>
            <w:tcW w:w="2812" w:type="pct"/>
            <w:tcBorders>
              <w:left w:val="single" w:sz="4" w:space="0" w:color="000000"/>
              <w:bottom w:val="single" w:sz="4" w:space="0" w:color="000000"/>
            </w:tcBorders>
            <w:shd w:val="clear" w:color="auto" w:fill="EFEFEF"/>
            <w:vAlign w:val="center"/>
          </w:tcPr>
          <w:p w:rsidR="00B31063" w:rsidRPr="00AF6593" w:rsidP="00822C18" w14:paraId="28F827F4" w14:textId="77777777">
            <w:pPr>
              <w:keepNext/>
              <w:keepLines/>
              <w:snapToGrid w:val="0"/>
              <w:ind w:left="15"/>
              <w:jc w:val="center"/>
              <w:rPr>
                <w:b/>
                <w:bCs/>
                <w:color w:val="000000"/>
                <w:szCs w:val="20"/>
              </w:rPr>
            </w:pPr>
          </w:p>
        </w:tc>
        <w:tc>
          <w:tcPr>
            <w:tcW w:w="1082" w:type="pct"/>
            <w:tcBorders>
              <w:left w:val="single" w:sz="4" w:space="0" w:color="000000"/>
              <w:bottom w:val="single" w:sz="4" w:space="0" w:color="000000"/>
              <w:right w:val="single" w:sz="4" w:space="0" w:color="000000"/>
            </w:tcBorders>
            <w:shd w:val="clear" w:color="auto" w:fill="EFEFEF"/>
            <w:vAlign w:val="center"/>
          </w:tcPr>
          <w:p w:rsidR="00B31063" w:rsidRPr="00AF6593" w:rsidP="00822C18" w14:paraId="5321720A" w14:textId="77777777">
            <w:pPr>
              <w:keepNext/>
              <w:keepLines/>
              <w:snapToGrid w:val="0"/>
              <w:rPr>
                <w:b/>
                <w:bCs/>
                <w:color w:val="000000"/>
                <w:szCs w:val="20"/>
              </w:rPr>
            </w:pPr>
          </w:p>
        </w:tc>
      </w:tr>
      <w:tr w14:paraId="0CE20D22" w14:textId="77777777" w:rsidTr="00822C18">
        <w:tblPrEx>
          <w:tblW w:w="4555" w:type="pct"/>
          <w:jc w:val="center"/>
          <w:tblCellMar>
            <w:left w:w="0" w:type="dxa"/>
            <w:right w:w="0" w:type="dxa"/>
          </w:tblCellMar>
          <w:tblLook w:val="0000"/>
        </w:tblPrEx>
        <w:trPr>
          <w:trHeight w:val="314"/>
          <w:jc w:val="center"/>
        </w:trPr>
        <w:tc>
          <w:tcPr>
            <w:tcW w:w="1106" w:type="pct"/>
            <w:tcBorders>
              <w:top w:val="single" w:sz="4" w:space="0" w:color="000000"/>
              <w:left w:val="single" w:sz="4" w:space="0" w:color="000000"/>
              <w:bottom w:val="single" w:sz="4" w:space="0" w:color="000000"/>
            </w:tcBorders>
          </w:tcPr>
          <w:p w:rsidR="00B31063" w:rsidRPr="006D28E0" w:rsidP="00822C18" w14:paraId="143A132B" w14:textId="77777777">
            <w:pPr>
              <w:keepNext/>
              <w:keepLines/>
              <w:snapToGrid w:val="0"/>
              <w:ind w:left="15"/>
              <w:rPr>
                <w:color w:val="000000"/>
                <w:szCs w:val="20"/>
              </w:rPr>
            </w:pPr>
            <w:r w:rsidRPr="006D28E0">
              <w:rPr>
                <w:color w:val="000000"/>
                <w:szCs w:val="20"/>
              </w:rPr>
              <w:t>Legal</w:t>
            </w:r>
          </w:p>
        </w:tc>
        <w:tc>
          <w:tcPr>
            <w:tcW w:w="2812" w:type="pct"/>
            <w:tcBorders>
              <w:top w:val="single" w:sz="4" w:space="0" w:color="000000"/>
              <w:left w:val="single" w:sz="4" w:space="0" w:color="000000"/>
              <w:bottom w:val="single" w:sz="4" w:space="0" w:color="000000"/>
            </w:tcBorders>
            <w:vAlign w:val="center"/>
          </w:tcPr>
          <w:p w:rsidR="00B31063" w:rsidRPr="006D28E0" w:rsidP="00822C18" w14:paraId="12FE0F19" w14:textId="77777777">
            <w:pPr>
              <w:keepNext/>
              <w:keepLines/>
              <w:snapToGrid w:val="0"/>
              <w:rPr>
                <w:color w:val="000000"/>
                <w:szCs w:val="20"/>
              </w:rPr>
            </w:pPr>
            <w:r w:rsidRPr="006D28E0">
              <w:rPr>
                <w:color w:val="000000"/>
                <w:szCs w:val="20"/>
              </w:rPr>
              <w:t xml:space="preserve">23-1011 </w:t>
            </w:r>
            <w:r>
              <w:rPr>
                <w:color w:val="000000"/>
                <w:szCs w:val="20"/>
              </w:rPr>
              <w:t>L</w:t>
            </w:r>
            <w:r w:rsidRPr="006D28E0">
              <w:rPr>
                <w:color w:val="000000"/>
                <w:szCs w:val="20"/>
              </w:rPr>
              <w:t>awyers</w:t>
            </w:r>
          </w:p>
        </w:tc>
        <w:tc>
          <w:tcPr>
            <w:tcW w:w="1082" w:type="pct"/>
            <w:tcBorders>
              <w:top w:val="single" w:sz="4" w:space="0" w:color="000000"/>
              <w:left w:val="single" w:sz="4" w:space="0" w:color="000000"/>
              <w:bottom w:val="single" w:sz="4" w:space="0" w:color="000000"/>
              <w:right w:val="single" w:sz="4" w:space="0" w:color="000000"/>
            </w:tcBorders>
            <w:vAlign w:val="center"/>
          </w:tcPr>
          <w:p w:rsidR="00B31063" w:rsidRPr="006D28E0" w:rsidP="00822C18" w14:paraId="3795E795" w14:textId="74682F7A">
            <w:pPr>
              <w:keepNext/>
              <w:keepLines/>
              <w:snapToGrid w:val="0"/>
              <w:ind w:left="15"/>
              <w:jc w:val="center"/>
              <w:rPr>
                <w:bCs/>
                <w:color w:val="000000"/>
                <w:szCs w:val="20"/>
                <w:highlight w:val="green"/>
              </w:rPr>
            </w:pPr>
            <w:r w:rsidRPr="00E963CF">
              <w:rPr>
                <w:color w:val="000000"/>
                <w:szCs w:val="20"/>
              </w:rPr>
              <w:t>$1</w:t>
            </w:r>
            <w:r>
              <w:rPr>
                <w:color w:val="000000"/>
                <w:szCs w:val="20"/>
              </w:rPr>
              <w:t>25.97</w:t>
            </w:r>
            <w:r w:rsidRPr="00E963CF">
              <w:rPr>
                <w:color w:val="000000"/>
                <w:szCs w:val="20"/>
              </w:rPr>
              <w:t xml:space="preserve"> </w:t>
            </w:r>
          </w:p>
        </w:tc>
      </w:tr>
      <w:tr w14:paraId="60B18CDD" w14:textId="77777777" w:rsidTr="00822C18">
        <w:tblPrEx>
          <w:tblW w:w="4555" w:type="pct"/>
          <w:jc w:val="center"/>
          <w:tblCellMar>
            <w:left w:w="0" w:type="dxa"/>
            <w:right w:w="0" w:type="dxa"/>
          </w:tblCellMar>
          <w:tblLook w:val="0000"/>
        </w:tblPrEx>
        <w:trPr>
          <w:jc w:val="center"/>
        </w:trPr>
        <w:tc>
          <w:tcPr>
            <w:tcW w:w="1106" w:type="pct"/>
            <w:tcBorders>
              <w:top w:val="single" w:sz="4" w:space="0" w:color="000000"/>
              <w:left w:val="single" w:sz="4" w:space="0" w:color="000000"/>
              <w:bottom w:val="single" w:sz="4" w:space="0" w:color="000000"/>
            </w:tcBorders>
          </w:tcPr>
          <w:p w:rsidR="00B31063" w:rsidRPr="006D28E0" w:rsidP="00822C18" w14:paraId="571E8833" w14:textId="77777777">
            <w:pPr>
              <w:keepNext/>
              <w:keepLines/>
              <w:snapToGrid w:val="0"/>
              <w:ind w:left="15"/>
              <w:rPr>
                <w:color w:val="000000"/>
                <w:szCs w:val="20"/>
              </w:rPr>
            </w:pPr>
            <w:r w:rsidRPr="006D28E0">
              <w:rPr>
                <w:color w:val="000000"/>
                <w:szCs w:val="20"/>
              </w:rPr>
              <w:t>Managerial</w:t>
            </w:r>
          </w:p>
        </w:tc>
        <w:tc>
          <w:tcPr>
            <w:tcW w:w="2812" w:type="pct"/>
            <w:tcBorders>
              <w:top w:val="single" w:sz="4" w:space="0" w:color="000000"/>
              <w:left w:val="single" w:sz="4" w:space="0" w:color="000000"/>
              <w:bottom w:val="single" w:sz="4" w:space="0" w:color="000000"/>
            </w:tcBorders>
            <w:vAlign w:val="center"/>
          </w:tcPr>
          <w:p w:rsidR="00B31063" w:rsidRPr="006D28E0" w:rsidP="00822C18" w14:paraId="495BE4DE" w14:textId="77777777">
            <w:pPr>
              <w:keepNext/>
              <w:keepLines/>
              <w:snapToGrid w:val="0"/>
              <w:ind w:left="15"/>
              <w:rPr>
                <w:color w:val="000000"/>
                <w:szCs w:val="20"/>
              </w:rPr>
            </w:pPr>
            <w:r w:rsidRPr="006D28E0">
              <w:rPr>
                <w:color w:val="000000"/>
                <w:szCs w:val="20"/>
              </w:rPr>
              <w:t xml:space="preserve">11-1021 </w:t>
            </w:r>
            <w:r>
              <w:rPr>
                <w:color w:val="000000"/>
                <w:szCs w:val="20"/>
              </w:rPr>
              <w:t>G</w:t>
            </w:r>
            <w:r w:rsidRPr="006D28E0">
              <w:rPr>
                <w:color w:val="000000"/>
                <w:szCs w:val="20"/>
              </w:rPr>
              <w:t xml:space="preserve">eneral &amp; </w:t>
            </w:r>
            <w:r>
              <w:rPr>
                <w:color w:val="000000"/>
                <w:szCs w:val="20"/>
              </w:rPr>
              <w:t>O</w:t>
            </w:r>
            <w:r w:rsidRPr="006D28E0">
              <w:rPr>
                <w:color w:val="000000"/>
                <w:szCs w:val="20"/>
              </w:rPr>
              <w:t xml:space="preserve">perations </w:t>
            </w:r>
            <w:r>
              <w:rPr>
                <w:color w:val="000000"/>
                <w:szCs w:val="20"/>
              </w:rPr>
              <w:t>M</w:t>
            </w:r>
            <w:r w:rsidRPr="006D28E0">
              <w:rPr>
                <w:color w:val="000000"/>
                <w:szCs w:val="20"/>
              </w:rPr>
              <w:t>anagers</w:t>
            </w:r>
          </w:p>
        </w:tc>
        <w:tc>
          <w:tcPr>
            <w:tcW w:w="1082" w:type="pct"/>
            <w:tcBorders>
              <w:top w:val="single" w:sz="4" w:space="0" w:color="000000"/>
              <w:left w:val="single" w:sz="4" w:space="0" w:color="000000"/>
              <w:bottom w:val="single" w:sz="4" w:space="0" w:color="000000"/>
              <w:right w:val="single" w:sz="4" w:space="0" w:color="000000"/>
            </w:tcBorders>
            <w:vAlign w:val="center"/>
          </w:tcPr>
          <w:p w:rsidR="00B31063" w:rsidRPr="006D28E0" w:rsidP="00822C18" w14:paraId="6567F868" w14:textId="392B5844">
            <w:pPr>
              <w:keepNext/>
              <w:keepLines/>
              <w:snapToGrid w:val="0"/>
              <w:ind w:left="15"/>
              <w:jc w:val="center"/>
              <w:rPr>
                <w:bCs/>
                <w:color w:val="000000"/>
                <w:szCs w:val="20"/>
                <w:highlight w:val="green"/>
              </w:rPr>
            </w:pPr>
            <w:r w:rsidRPr="00E963CF">
              <w:rPr>
                <w:color w:val="000000"/>
                <w:szCs w:val="20"/>
              </w:rPr>
              <w:t>$</w:t>
            </w:r>
            <w:r>
              <w:rPr>
                <w:color w:val="000000"/>
                <w:szCs w:val="20"/>
              </w:rPr>
              <w:t>124.90</w:t>
            </w:r>
            <w:r w:rsidRPr="00E963CF">
              <w:rPr>
                <w:color w:val="000000"/>
                <w:szCs w:val="20"/>
              </w:rPr>
              <w:t xml:space="preserve"> </w:t>
            </w:r>
          </w:p>
        </w:tc>
      </w:tr>
      <w:tr w14:paraId="7A2FE455" w14:textId="77777777" w:rsidTr="00822C18">
        <w:tblPrEx>
          <w:tblW w:w="4555" w:type="pct"/>
          <w:jc w:val="center"/>
          <w:tblCellMar>
            <w:left w:w="0" w:type="dxa"/>
            <w:right w:w="0" w:type="dxa"/>
          </w:tblCellMar>
          <w:tblLook w:val="0000"/>
        </w:tblPrEx>
        <w:trPr>
          <w:jc w:val="center"/>
        </w:trPr>
        <w:tc>
          <w:tcPr>
            <w:tcW w:w="1106" w:type="pct"/>
            <w:tcBorders>
              <w:top w:val="single" w:sz="4" w:space="0" w:color="000000"/>
              <w:left w:val="single" w:sz="4" w:space="0" w:color="000000"/>
              <w:bottom w:val="single" w:sz="4" w:space="0" w:color="000000"/>
            </w:tcBorders>
          </w:tcPr>
          <w:p w:rsidR="00B31063" w:rsidRPr="006D28E0" w:rsidP="00822C18" w14:paraId="1675E762" w14:textId="77777777">
            <w:pPr>
              <w:keepNext/>
              <w:keepLines/>
              <w:snapToGrid w:val="0"/>
              <w:ind w:left="15"/>
              <w:rPr>
                <w:color w:val="000000"/>
                <w:szCs w:val="20"/>
              </w:rPr>
            </w:pPr>
            <w:r w:rsidRPr="006D28E0">
              <w:rPr>
                <w:color w:val="000000"/>
                <w:szCs w:val="20"/>
              </w:rPr>
              <w:t>Technical</w:t>
            </w:r>
          </w:p>
        </w:tc>
        <w:tc>
          <w:tcPr>
            <w:tcW w:w="2812" w:type="pct"/>
            <w:tcBorders>
              <w:top w:val="single" w:sz="4" w:space="0" w:color="000000"/>
              <w:left w:val="single" w:sz="4" w:space="0" w:color="000000"/>
              <w:bottom w:val="single" w:sz="4" w:space="0" w:color="000000"/>
            </w:tcBorders>
            <w:vAlign w:val="center"/>
          </w:tcPr>
          <w:p w:rsidR="00B31063" w:rsidRPr="006D28E0" w:rsidP="00822C18" w14:paraId="443A600F" w14:textId="77777777">
            <w:pPr>
              <w:keepNext/>
              <w:keepLines/>
              <w:snapToGrid w:val="0"/>
              <w:ind w:left="15"/>
              <w:rPr>
                <w:color w:val="000000"/>
                <w:szCs w:val="20"/>
              </w:rPr>
            </w:pPr>
            <w:r w:rsidRPr="006D28E0">
              <w:rPr>
                <w:color w:val="000000"/>
                <w:szCs w:val="20"/>
              </w:rPr>
              <w:t xml:space="preserve">17-2081 </w:t>
            </w:r>
            <w:r>
              <w:rPr>
                <w:color w:val="000000"/>
                <w:szCs w:val="20"/>
              </w:rPr>
              <w:t>E</w:t>
            </w:r>
            <w:r w:rsidRPr="006D28E0">
              <w:rPr>
                <w:color w:val="000000"/>
                <w:szCs w:val="20"/>
              </w:rPr>
              <w:t xml:space="preserve">nvironmental </w:t>
            </w:r>
            <w:r>
              <w:rPr>
                <w:color w:val="000000"/>
                <w:szCs w:val="20"/>
              </w:rPr>
              <w:t>E</w:t>
            </w:r>
            <w:r w:rsidRPr="006D28E0">
              <w:rPr>
                <w:color w:val="000000"/>
                <w:szCs w:val="20"/>
              </w:rPr>
              <w:t>ngineers</w:t>
            </w:r>
          </w:p>
        </w:tc>
        <w:tc>
          <w:tcPr>
            <w:tcW w:w="1082" w:type="pct"/>
            <w:tcBorders>
              <w:top w:val="single" w:sz="4" w:space="0" w:color="000000"/>
              <w:left w:val="single" w:sz="4" w:space="0" w:color="000000"/>
              <w:bottom w:val="single" w:sz="4" w:space="0" w:color="000000"/>
              <w:right w:val="single" w:sz="4" w:space="0" w:color="000000"/>
            </w:tcBorders>
            <w:vAlign w:val="center"/>
          </w:tcPr>
          <w:p w:rsidR="00B31063" w:rsidRPr="006D28E0" w:rsidP="00822C18" w14:paraId="0E8407E7" w14:textId="0360436B">
            <w:pPr>
              <w:keepNext/>
              <w:keepLines/>
              <w:snapToGrid w:val="0"/>
              <w:ind w:left="15"/>
              <w:jc w:val="center"/>
              <w:rPr>
                <w:bCs/>
                <w:color w:val="000000"/>
                <w:szCs w:val="20"/>
                <w:highlight w:val="green"/>
              </w:rPr>
            </w:pPr>
            <w:r w:rsidRPr="00E963CF">
              <w:rPr>
                <w:color w:val="000000"/>
                <w:szCs w:val="20"/>
              </w:rPr>
              <w:t>$</w:t>
            </w:r>
            <w:r>
              <w:rPr>
                <w:color w:val="000000"/>
                <w:szCs w:val="20"/>
              </w:rPr>
              <w:t>96.56</w:t>
            </w:r>
          </w:p>
        </w:tc>
      </w:tr>
      <w:tr w14:paraId="18CD0D45" w14:textId="77777777" w:rsidTr="00822C18">
        <w:tblPrEx>
          <w:tblW w:w="4555" w:type="pct"/>
          <w:jc w:val="center"/>
          <w:tblCellMar>
            <w:left w:w="0" w:type="dxa"/>
            <w:right w:w="0" w:type="dxa"/>
          </w:tblCellMar>
          <w:tblLook w:val="0000"/>
        </w:tblPrEx>
        <w:trPr>
          <w:jc w:val="center"/>
        </w:trPr>
        <w:tc>
          <w:tcPr>
            <w:tcW w:w="1106" w:type="pct"/>
            <w:tcBorders>
              <w:top w:val="single" w:sz="4" w:space="0" w:color="000000"/>
              <w:left w:val="single" w:sz="4" w:space="0" w:color="000000"/>
              <w:bottom w:val="single" w:sz="4" w:space="0" w:color="000000"/>
            </w:tcBorders>
          </w:tcPr>
          <w:p w:rsidR="00B31063" w:rsidRPr="006D28E0" w:rsidP="00822C18" w14:paraId="1A5792A8" w14:textId="77777777">
            <w:pPr>
              <w:keepNext/>
              <w:keepLines/>
              <w:snapToGrid w:val="0"/>
              <w:ind w:left="15"/>
              <w:rPr>
                <w:color w:val="000000"/>
                <w:szCs w:val="20"/>
              </w:rPr>
            </w:pPr>
            <w:r w:rsidRPr="006D28E0">
              <w:rPr>
                <w:color w:val="000000"/>
                <w:szCs w:val="20"/>
              </w:rPr>
              <w:t>Clerical</w:t>
            </w:r>
          </w:p>
        </w:tc>
        <w:tc>
          <w:tcPr>
            <w:tcW w:w="2812" w:type="pct"/>
            <w:tcBorders>
              <w:top w:val="single" w:sz="4" w:space="0" w:color="000000"/>
              <w:left w:val="single" w:sz="4" w:space="0" w:color="000000"/>
              <w:bottom w:val="single" w:sz="4" w:space="0" w:color="000000"/>
            </w:tcBorders>
            <w:vAlign w:val="center"/>
          </w:tcPr>
          <w:p w:rsidR="00B31063" w:rsidRPr="006D28E0" w:rsidP="00822C18" w14:paraId="2CA20196" w14:textId="77777777">
            <w:pPr>
              <w:keepNext/>
              <w:keepLines/>
              <w:snapToGrid w:val="0"/>
              <w:ind w:left="15"/>
              <w:rPr>
                <w:color w:val="000000"/>
                <w:szCs w:val="20"/>
              </w:rPr>
            </w:pPr>
            <w:r w:rsidRPr="006D28E0">
              <w:rPr>
                <w:color w:val="000000"/>
                <w:szCs w:val="20"/>
              </w:rPr>
              <w:t xml:space="preserve">43-9061 </w:t>
            </w:r>
            <w:r>
              <w:rPr>
                <w:color w:val="000000"/>
                <w:szCs w:val="20"/>
              </w:rPr>
              <w:t>O</w:t>
            </w:r>
            <w:r w:rsidRPr="006D28E0">
              <w:rPr>
                <w:color w:val="000000"/>
                <w:szCs w:val="20"/>
              </w:rPr>
              <w:t xml:space="preserve">ffice </w:t>
            </w:r>
            <w:r>
              <w:rPr>
                <w:color w:val="000000"/>
                <w:szCs w:val="20"/>
              </w:rPr>
              <w:t>C</w:t>
            </w:r>
            <w:r w:rsidRPr="006D28E0">
              <w:rPr>
                <w:color w:val="000000"/>
                <w:szCs w:val="20"/>
              </w:rPr>
              <w:t xml:space="preserve">lerks, </w:t>
            </w:r>
            <w:r>
              <w:rPr>
                <w:color w:val="000000"/>
                <w:szCs w:val="20"/>
              </w:rPr>
              <w:t>G</w:t>
            </w:r>
            <w:r w:rsidRPr="006D28E0">
              <w:rPr>
                <w:color w:val="000000"/>
                <w:szCs w:val="20"/>
              </w:rPr>
              <w:t>eneral</w:t>
            </w:r>
          </w:p>
        </w:tc>
        <w:tc>
          <w:tcPr>
            <w:tcW w:w="1082" w:type="pct"/>
            <w:tcBorders>
              <w:top w:val="single" w:sz="4" w:space="0" w:color="000000"/>
              <w:left w:val="single" w:sz="4" w:space="0" w:color="000000"/>
              <w:bottom w:val="single" w:sz="4" w:space="0" w:color="000000"/>
              <w:right w:val="single" w:sz="4" w:space="0" w:color="000000"/>
            </w:tcBorders>
            <w:vAlign w:val="center"/>
          </w:tcPr>
          <w:p w:rsidR="00B31063" w:rsidRPr="006D28E0" w:rsidP="00822C18" w14:paraId="5E23A711" w14:textId="395FBA59">
            <w:pPr>
              <w:keepNext/>
              <w:keepLines/>
              <w:snapToGrid w:val="0"/>
              <w:ind w:left="15"/>
              <w:jc w:val="center"/>
              <w:rPr>
                <w:bCs/>
                <w:color w:val="000000"/>
                <w:szCs w:val="20"/>
                <w:highlight w:val="green"/>
              </w:rPr>
            </w:pPr>
            <w:r w:rsidRPr="00E963CF">
              <w:rPr>
                <w:color w:val="000000"/>
                <w:szCs w:val="20"/>
              </w:rPr>
              <w:t>$</w:t>
            </w:r>
            <w:r>
              <w:rPr>
                <w:color w:val="000000"/>
                <w:szCs w:val="20"/>
              </w:rPr>
              <w:t>44.22</w:t>
            </w:r>
            <w:r w:rsidRPr="00E963CF">
              <w:rPr>
                <w:color w:val="000000"/>
                <w:szCs w:val="20"/>
              </w:rPr>
              <w:t xml:space="preserve"> </w:t>
            </w:r>
          </w:p>
        </w:tc>
      </w:tr>
    </w:tbl>
    <w:p w:rsidR="00C0424F" w:rsidRPr="00C0424F" w:rsidP="007C7F26" w14:paraId="483EFE53" w14:textId="77777777">
      <w:pPr>
        <w:pStyle w:val="BodyTextDSW"/>
        <w:rPr>
          <w:rFonts w:asciiTheme="minorHAnsi" w:hAnsiTheme="minorHAnsi" w:cstheme="minorHAnsi"/>
          <w:sz w:val="22"/>
          <w:szCs w:val="22"/>
        </w:rPr>
      </w:pPr>
    </w:p>
    <w:p w:rsidR="00D74E1B" w:rsidRPr="00D74E1B" w:rsidP="00D74E1B" w14:paraId="44F4647B" w14:textId="77777777">
      <w:pPr>
        <w:pStyle w:val="BodyTextDSW"/>
        <w:rPr>
          <w:rFonts w:asciiTheme="minorHAnsi" w:hAnsiTheme="minorHAnsi" w:cstheme="minorHAnsi"/>
          <w:b/>
          <w:sz w:val="22"/>
          <w:szCs w:val="22"/>
        </w:rPr>
      </w:pPr>
      <w:r w:rsidRPr="00D74E1B">
        <w:rPr>
          <w:rFonts w:asciiTheme="minorHAnsi" w:hAnsiTheme="minorHAnsi" w:cstheme="minorHAnsi"/>
          <w:b/>
          <w:sz w:val="22"/>
          <w:szCs w:val="22"/>
        </w:rPr>
        <w:t>Respondent Tally</w:t>
      </w:r>
    </w:p>
    <w:p w:rsidR="00D74E1B" w:rsidP="00D74E1B" w14:paraId="6EBF8F42" w14:textId="329082B0">
      <w:pPr>
        <w:pStyle w:val="BodyTextDSW"/>
        <w:rPr>
          <w:rFonts w:asciiTheme="minorHAnsi" w:hAnsiTheme="minorHAnsi" w:cstheme="minorHAnsi"/>
          <w:sz w:val="22"/>
          <w:szCs w:val="22"/>
        </w:rPr>
      </w:pPr>
      <w:r w:rsidRPr="00D74E1B">
        <w:rPr>
          <w:rFonts w:asciiTheme="minorHAnsi" w:hAnsiTheme="minorHAnsi" w:cstheme="minorHAnsi"/>
          <w:sz w:val="22"/>
          <w:szCs w:val="22"/>
        </w:rPr>
        <w:t xml:space="preserve">Exhibit </w:t>
      </w:r>
      <w:r w:rsidRPr="00D74E1B">
        <w:rPr>
          <w:rFonts w:asciiTheme="minorHAnsi" w:hAnsiTheme="minorHAnsi" w:cstheme="minorHAnsi"/>
          <w:sz w:val="22"/>
          <w:szCs w:val="22"/>
        </w:rPr>
        <w:t xml:space="preserve">1 </w:t>
      </w:r>
      <w:r>
        <w:rPr>
          <w:rFonts w:asciiTheme="minorHAnsi" w:hAnsiTheme="minorHAnsi" w:cstheme="minorHAnsi"/>
          <w:sz w:val="22"/>
          <w:szCs w:val="22"/>
        </w:rPr>
        <w:t>attached</w:t>
      </w:r>
      <w:r>
        <w:rPr>
          <w:rFonts w:asciiTheme="minorHAnsi" w:hAnsiTheme="minorHAnsi" w:cstheme="minorHAnsi"/>
          <w:sz w:val="22"/>
          <w:szCs w:val="22"/>
        </w:rPr>
        <w:t xml:space="preserve"> </w:t>
      </w:r>
      <w:r w:rsidRPr="00D74E1B">
        <w:rPr>
          <w:rFonts w:asciiTheme="minorHAnsi" w:hAnsiTheme="minorHAnsi" w:cstheme="minorHAnsi"/>
          <w:sz w:val="22"/>
          <w:szCs w:val="22"/>
        </w:rPr>
        <w:t>summarizes the total annual respondent hour and cost burden associated with all the requirements covered in this ICR. As shown in the exhibit, EPA estimates the annual respondent burden to be 36,</w:t>
      </w:r>
      <w:r>
        <w:rPr>
          <w:rFonts w:asciiTheme="minorHAnsi" w:hAnsiTheme="minorHAnsi" w:cstheme="minorHAnsi"/>
          <w:sz w:val="22"/>
          <w:szCs w:val="22"/>
        </w:rPr>
        <w:t>48</w:t>
      </w:r>
      <w:r w:rsidR="007B67BB">
        <w:rPr>
          <w:rFonts w:asciiTheme="minorHAnsi" w:hAnsiTheme="minorHAnsi" w:cstheme="minorHAnsi"/>
          <w:sz w:val="22"/>
          <w:szCs w:val="22"/>
        </w:rPr>
        <w:t>9</w:t>
      </w:r>
      <w:r w:rsidRPr="00D74E1B">
        <w:rPr>
          <w:rFonts w:asciiTheme="minorHAnsi" w:hAnsiTheme="minorHAnsi" w:cstheme="minorHAnsi"/>
          <w:sz w:val="22"/>
          <w:szCs w:val="22"/>
        </w:rPr>
        <w:t xml:space="preserve"> hours.  </w:t>
      </w:r>
    </w:p>
    <w:p w:rsidR="00D74E1B" w:rsidRPr="00D74E1B" w:rsidP="00D74E1B" w14:paraId="03AF333C" w14:textId="77777777">
      <w:pPr>
        <w:pStyle w:val="BodyTextDSW"/>
        <w:keepNext/>
        <w:rPr>
          <w:rFonts w:asciiTheme="minorHAnsi" w:hAnsiTheme="minorHAnsi" w:cstheme="minorHAnsi"/>
          <w:b/>
          <w:sz w:val="22"/>
          <w:szCs w:val="22"/>
        </w:rPr>
      </w:pPr>
      <w:r w:rsidRPr="00D74E1B">
        <w:rPr>
          <w:rFonts w:asciiTheme="minorHAnsi" w:hAnsiTheme="minorHAnsi" w:cstheme="minorHAnsi"/>
          <w:b/>
          <w:sz w:val="22"/>
          <w:szCs w:val="22"/>
        </w:rPr>
        <w:t>State Agency Tally</w:t>
      </w:r>
    </w:p>
    <w:p w:rsidR="00D74E1B" w:rsidRPr="00D74E1B" w:rsidP="00D74E1B" w14:paraId="734D3426" w14:textId="4EE0CDEE">
      <w:pPr>
        <w:pStyle w:val="BodyTextDSW"/>
        <w:rPr>
          <w:rFonts w:asciiTheme="minorHAnsi" w:hAnsiTheme="minorHAnsi" w:cstheme="minorHAnsi"/>
          <w:sz w:val="22"/>
          <w:szCs w:val="22"/>
        </w:rPr>
      </w:pPr>
      <w:r w:rsidRPr="00D74E1B">
        <w:rPr>
          <w:rFonts w:asciiTheme="minorHAnsi" w:hAnsiTheme="minorHAnsi" w:cstheme="minorHAnsi"/>
          <w:sz w:val="22"/>
          <w:szCs w:val="22"/>
        </w:rPr>
        <w:t>Exhibit 2</w:t>
      </w:r>
      <w:r>
        <w:rPr>
          <w:rFonts w:asciiTheme="minorHAnsi" w:hAnsiTheme="minorHAnsi" w:cstheme="minorHAnsi"/>
          <w:sz w:val="22"/>
          <w:szCs w:val="22"/>
        </w:rPr>
        <w:t xml:space="preserve"> attached</w:t>
      </w:r>
      <w:r w:rsidRPr="00D74E1B">
        <w:rPr>
          <w:rFonts w:asciiTheme="minorHAnsi" w:hAnsiTheme="minorHAnsi" w:cstheme="minorHAnsi"/>
          <w:sz w:val="22"/>
          <w:szCs w:val="22"/>
        </w:rPr>
        <w:t xml:space="preserve"> summarizes the total annual state agency hour and cost burden associated with all the requirements covered in this ICR. As shown in the exhibit, EPA estimates the annual state agency burden to be 1,</w:t>
      </w:r>
      <w:r>
        <w:rPr>
          <w:rFonts w:asciiTheme="minorHAnsi" w:hAnsiTheme="minorHAnsi" w:cstheme="minorHAnsi"/>
          <w:sz w:val="22"/>
          <w:szCs w:val="22"/>
        </w:rPr>
        <w:t>907</w:t>
      </w:r>
      <w:r w:rsidRPr="00D74E1B">
        <w:rPr>
          <w:rFonts w:asciiTheme="minorHAnsi" w:hAnsiTheme="minorHAnsi" w:cstheme="minorHAnsi"/>
          <w:sz w:val="22"/>
          <w:szCs w:val="22"/>
        </w:rPr>
        <w:t xml:space="preserve"> hours.  </w:t>
      </w:r>
    </w:p>
    <w:p w:rsidR="00BB2B15" w:rsidRPr="00277D9A" w:rsidP="00277D9A" w14:paraId="2DFB848E" w14:textId="3C49D99C">
      <w:pPr>
        <w:pStyle w:val="ListParagraph"/>
        <w:numPr>
          <w:ilvl w:val="0"/>
          <w:numId w:val="2"/>
        </w:numPr>
        <w:tabs>
          <w:tab w:val="left" w:pos="-1440"/>
        </w:tabs>
        <w:rPr>
          <w:rFonts w:cstheme="minorHAnsi"/>
          <w:i/>
          <w:iCs/>
        </w:rPr>
      </w:pPr>
      <w:r w:rsidRPr="00277D9A">
        <w:rPr>
          <w:rFonts w:cstheme="minorHAnsi"/>
          <w:b/>
          <w:bCs/>
          <w:caps/>
        </w:rPr>
        <w:t>Respondent</w:t>
      </w:r>
      <w:r w:rsidRPr="00277D9A" w:rsidR="009A09EC">
        <w:rPr>
          <w:rFonts w:cstheme="minorHAnsi"/>
          <w:b/>
          <w:bCs/>
          <w:caps/>
        </w:rPr>
        <w:t xml:space="preserve"> </w:t>
      </w:r>
      <w:r w:rsidRPr="00277D9A" w:rsidR="00D17BB9">
        <w:rPr>
          <w:rFonts w:cstheme="minorHAnsi"/>
          <w:b/>
          <w:bCs/>
          <w:caps/>
        </w:rPr>
        <w:t xml:space="preserve">CAPITAL AND O&amp;m </w:t>
      </w:r>
      <w:r w:rsidRPr="00277D9A" w:rsidR="004E3CB0">
        <w:rPr>
          <w:rFonts w:cstheme="minorHAnsi"/>
          <w:b/>
          <w:bCs/>
          <w:caps/>
        </w:rPr>
        <w:t>Cost</w:t>
      </w:r>
      <w:r w:rsidRPr="00277D9A" w:rsidR="00D17BB9">
        <w:rPr>
          <w:rFonts w:cstheme="minorHAnsi"/>
          <w:b/>
          <w:bCs/>
          <w:caps/>
        </w:rPr>
        <w:t>S</w:t>
      </w:r>
      <w:bookmarkEnd w:id="19"/>
      <w:r w:rsidRPr="00277D9A" w:rsidR="004E3CB0">
        <w:rPr>
          <w:rFonts w:cstheme="minorHAnsi"/>
          <w:i/>
          <w:iCs/>
        </w:rPr>
        <w:t xml:space="preserve"> </w:t>
      </w:r>
    </w:p>
    <w:p w:rsidR="00F92596" w:rsidRPr="00585FF1" w:rsidP="00F92596" w14:paraId="2518FF66" w14:textId="77777777">
      <w:pPr>
        <w:spacing w:after="0" w:line="240" w:lineRule="auto"/>
        <w:rPr>
          <w:rFonts w:cstheme="minorHAnsi"/>
          <w:i/>
          <w:iCs/>
        </w:rPr>
      </w:pPr>
      <w:r w:rsidRPr="00585FF1">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585FF1" w:rsidP="00163C69" w14:paraId="4B0AAE4A" w14:textId="77777777">
      <w:pPr>
        <w:spacing w:before="120" w:after="0" w:line="240" w:lineRule="auto"/>
        <w:rPr>
          <w:rFonts w:cstheme="minorHAnsi"/>
          <w:i/>
          <w:iCs/>
        </w:rPr>
      </w:pPr>
      <w:r w:rsidRPr="00585FF1">
        <w:rPr>
          <w:rFonts w:cstheme="minorHAnsi"/>
          <w:i/>
          <w:iCs/>
        </w:rPr>
        <w:t>The cost estimate should be split into two components</w:t>
      </w:r>
      <w:r w:rsidRPr="00585FF1">
        <w:rPr>
          <w:rFonts w:cstheme="minorHAnsi"/>
          <w:i/>
          <w:iCs/>
        </w:rPr>
        <w:t>: (a) a</w:t>
      </w:r>
      <w:r w:rsidRPr="00585FF1">
        <w:rPr>
          <w:rFonts w:cstheme="minorHAnsi"/>
          <w:i/>
          <w:iCs/>
        </w:rPr>
        <w:t xml:space="preserve"> total capital and start-up cost</w:t>
      </w:r>
    </w:p>
    <w:p w:rsidR="00F92596" w:rsidRPr="00585FF1" w:rsidP="00F92596" w14:paraId="73CD3C99" w14:textId="77777777">
      <w:pPr>
        <w:spacing w:after="0" w:line="240" w:lineRule="auto"/>
        <w:rPr>
          <w:rFonts w:cstheme="minorHAnsi"/>
          <w:i/>
          <w:iCs/>
        </w:rPr>
      </w:pPr>
      <w:r w:rsidRPr="00585FF1">
        <w:rPr>
          <w:rFonts w:cstheme="minorHAnsi"/>
          <w:i/>
          <w:iCs/>
        </w:rPr>
        <w:t xml:space="preserve">component (annualized over its expected useful life) and (b) </w:t>
      </w:r>
      <w:r w:rsidRPr="00585FF1">
        <w:rPr>
          <w:rFonts w:cstheme="minorHAnsi"/>
          <w:i/>
          <w:iCs/>
        </w:rPr>
        <w:t>a total</w:t>
      </w:r>
      <w:r w:rsidRPr="00585FF1">
        <w:rPr>
          <w:rFonts w:cstheme="minorHAnsi"/>
          <w:i/>
          <w:iCs/>
        </w:rPr>
        <w:t xml:space="preserve"> operation and maintenance and purchase of services component. The estimates should consider costs associated with generating, maintaining, and disclosing or providing </w:t>
      </w:r>
      <w:r w:rsidRPr="00585FF1">
        <w:rPr>
          <w:rFonts w:cstheme="minorHAnsi"/>
          <w:i/>
          <w:iCs/>
        </w:rPr>
        <w:t>the information</w:t>
      </w:r>
      <w:r w:rsidRPr="00585FF1">
        <w:rPr>
          <w:rFonts w:cstheme="minorHAnsi"/>
          <w:i/>
          <w:iCs/>
        </w:rPr>
        <w:t>.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585FF1" w:rsidP="00163C69" w14:paraId="239AB31E" w14:textId="77777777">
      <w:pPr>
        <w:spacing w:line="240" w:lineRule="auto"/>
        <w:rPr>
          <w:rFonts w:cstheme="minorHAnsi"/>
          <w:i/>
          <w:iCs/>
        </w:rPr>
      </w:pPr>
      <w:r w:rsidRPr="00585FF1">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585FF1" w:rsidP="00163C69" w14:paraId="00D6515B" w14:textId="77777777">
      <w:pPr>
        <w:pBdr>
          <w:bottom w:val="single" w:sz="4" w:space="1" w:color="auto"/>
        </w:pBdr>
        <w:spacing w:line="240" w:lineRule="auto"/>
        <w:rPr>
          <w:rFonts w:cstheme="minorHAnsi"/>
          <w:i/>
          <w:iCs/>
        </w:rPr>
      </w:pPr>
      <w:r w:rsidRPr="00585FF1">
        <w:rPr>
          <w:rFonts w:cstheme="minorHAnsi"/>
          <w:i/>
          <w:iCs/>
        </w:rPr>
        <w:t xml:space="preserve">Generally, estimates should not include purchases of equipment or services, or portions thereof, made: (1) prior to October 1, 1995, (2) to achieve regulatory compliance with requirements not associated with </w:t>
      </w:r>
      <w:r w:rsidRPr="00585FF1">
        <w:rPr>
          <w:rFonts w:cstheme="minorHAnsi"/>
          <w:i/>
          <w:iCs/>
        </w:rPr>
        <w:t>the information collection, (3) for reasons other than to provide information or keep records for the government, or (4) as part of customary and usual business or private practices.</w:t>
      </w:r>
    </w:p>
    <w:p w:rsidR="00D74E1B" w:rsidRPr="00D74E1B" w:rsidP="00D74E1B" w14:paraId="00790424" w14:textId="4180018D">
      <w:pPr>
        <w:pStyle w:val="BodyTextDSW"/>
        <w:rPr>
          <w:rFonts w:asciiTheme="minorHAnsi" w:hAnsiTheme="minorHAnsi" w:cstheme="minorHAnsi"/>
          <w:sz w:val="22"/>
          <w:szCs w:val="22"/>
        </w:rPr>
      </w:pPr>
      <w:bookmarkStart w:id="20" w:name="_Toc156593387"/>
      <w:r w:rsidRPr="00D74E1B">
        <w:rPr>
          <w:rFonts w:asciiTheme="minorHAnsi" w:hAnsiTheme="minorHAnsi" w:cstheme="minorHAnsi"/>
          <w:bCs/>
          <w:sz w:val="22"/>
          <w:szCs w:val="22"/>
        </w:rPr>
        <w:t xml:space="preserve">Exhibit 1 </w:t>
      </w:r>
      <w:r>
        <w:rPr>
          <w:rFonts w:asciiTheme="minorHAnsi" w:hAnsiTheme="minorHAnsi" w:cstheme="minorHAnsi"/>
          <w:bCs/>
          <w:sz w:val="22"/>
          <w:szCs w:val="22"/>
        </w:rPr>
        <w:t xml:space="preserve">attached </w:t>
      </w:r>
      <w:r w:rsidRPr="00D74E1B">
        <w:rPr>
          <w:rFonts w:asciiTheme="minorHAnsi" w:hAnsiTheme="minorHAnsi" w:cstheme="minorHAnsi"/>
          <w:bCs/>
          <w:sz w:val="22"/>
          <w:szCs w:val="22"/>
        </w:rPr>
        <w:t>provides</w:t>
      </w:r>
      <w:r w:rsidRPr="00D74E1B">
        <w:rPr>
          <w:rFonts w:asciiTheme="minorHAnsi" w:hAnsiTheme="minorHAnsi" w:cstheme="minorHAnsi"/>
          <w:sz w:val="22"/>
          <w:szCs w:val="22"/>
        </w:rPr>
        <w:t xml:space="preserve"> estimates of the annual respondent costs associated with the RCRA DSW exclusion paperwork requirements covered in this ICR. These costs are based on the cost of labor, capital, and operation and maintenance (O&amp;M). </w:t>
      </w:r>
    </w:p>
    <w:p w:rsidR="00D74E1B" w:rsidRPr="00D74E1B" w:rsidP="00D74E1B" w14:paraId="23C5D09E" w14:textId="77777777">
      <w:pPr>
        <w:pStyle w:val="BodyTextDSW"/>
        <w:rPr>
          <w:rFonts w:asciiTheme="minorHAnsi" w:hAnsiTheme="minorHAnsi" w:cstheme="minorHAnsi"/>
          <w:sz w:val="22"/>
          <w:szCs w:val="22"/>
        </w:rPr>
      </w:pPr>
      <w:r w:rsidRPr="00D74E1B">
        <w:rPr>
          <w:rFonts w:asciiTheme="minorHAnsi" w:hAnsiTheme="minorHAnsi" w:cstheme="minorHAnsi"/>
          <w:b/>
          <w:bCs/>
          <w:sz w:val="22"/>
          <w:szCs w:val="22"/>
        </w:rPr>
        <w:t>Capital Costs</w:t>
      </w:r>
    </w:p>
    <w:p w:rsidR="00D74E1B" w:rsidRPr="00D74E1B" w:rsidP="00D74E1B" w14:paraId="76E108EC" w14:textId="16A6E33E">
      <w:pPr>
        <w:pStyle w:val="BodyTextDSW"/>
        <w:rPr>
          <w:rFonts w:asciiTheme="minorHAnsi" w:hAnsiTheme="minorHAnsi" w:cstheme="minorHAnsi"/>
          <w:sz w:val="22"/>
          <w:szCs w:val="22"/>
        </w:rPr>
      </w:pPr>
      <w:r w:rsidRPr="00D74E1B">
        <w:rPr>
          <w:rFonts w:asciiTheme="minorHAnsi" w:hAnsiTheme="minorHAnsi" w:cstheme="minorHAnsi"/>
          <w:sz w:val="22"/>
          <w:szCs w:val="22"/>
        </w:rPr>
        <w:t>EPA does not anticipate that respondents will incur capital costs in carrying out the information collection requirements covered in this ICR.</w:t>
      </w:r>
    </w:p>
    <w:p w:rsidR="00D74E1B" w:rsidRPr="00D74E1B" w:rsidP="00D74E1B" w14:paraId="4E38529F" w14:textId="77777777">
      <w:pPr>
        <w:pStyle w:val="BodyTextDSW"/>
        <w:rPr>
          <w:rFonts w:asciiTheme="minorHAnsi" w:hAnsiTheme="minorHAnsi" w:cstheme="minorHAnsi"/>
          <w:b/>
          <w:bCs/>
          <w:sz w:val="22"/>
          <w:szCs w:val="22"/>
        </w:rPr>
      </w:pPr>
      <w:r w:rsidRPr="00D74E1B">
        <w:rPr>
          <w:rFonts w:asciiTheme="minorHAnsi" w:hAnsiTheme="minorHAnsi" w:cstheme="minorHAnsi"/>
          <w:b/>
          <w:bCs/>
          <w:sz w:val="22"/>
          <w:szCs w:val="22"/>
        </w:rPr>
        <w:t>Operation &amp; Maintenance Costs</w:t>
      </w:r>
    </w:p>
    <w:p w:rsidR="003B4425" w:rsidRPr="00D74E1B" w:rsidP="00D74E1B" w14:paraId="5F133D71" w14:textId="291A4F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0"/>
          <w:rFonts w:cstheme="minorHAnsi"/>
          <w:sz w:val="22"/>
          <w:vertAlign w:val="baseline"/>
        </w:rPr>
      </w:pPr>
      <w:r>
        <w:rPr>
          <w:rFonts w:cstheme="minorHAnsi"/>
        </w:rPr>
        <w:tab/>
        <w:t xml:space="preserve">EPA anticipates the </w:t>
      </w:r>
      <w:r w:rsidRPr="00D74E1B">
        <w:rPr>
          <w:rFonts w:cstheme="minorHAnsi"/>
        </w:rPr>
        <w:t xml:space="preserve">O&amp;M costs </w:t>
      </w:r>
      <w:r>
        <w:rPr>
          <w:rFonts w:cstheme="minorHAnsi"/>
        </w:rPr>
        <w:t>associated with this</w:t>
      </w:r>
      <w:r w:rsidRPr="00D74E1B">
        <w:rPr>
          <w:rFonts w:cstheme="minorHAnsi"/>
        </w:rPr>
        <w:t xml:space="preserve"> ICR</w:t>
      </w:r>
      <w:r>
        <w:rPr>
          <w:rFonts w:cstheme="minorHAnsi"/>
        </w:rPr>
        <w:t xml:space="preserve"> to $20,33</w:t>
      </w:r>
      <w:r w:rsidR="007B67BB">
        <w:rPr>
          <w:rFonts w:cstheme="minorHAnsi"/>
        </w:rPr>
        <w:t>1</w:t>
      </w:r>
      <w:r>
        <w:rPr>
          <w:rFonts w:cstheme="minorHAnsi"/>
        </w:rPr>
        <w:t xml:space="preserve"> annually</w:t>
      </w:r>
      <w:r w:rsidRPr="00D74E1B">
        <w:rPr>
          <w:rFonts w:cstheme="minorHAnsi"/>
        </w:rPr>
        <w:t>.</w:t>
      </w:r>
    </w:p>
    <w:p w:rsidR="00023EFE" w:rsidRPr="00585FF1" w:rsidP="006A7810" w14:paraId="2D07D644" w14:textId="6138471B">
      <w:pPr>
        <w:pStyle w:val="ListParagraph"/>
        <w:numPr>
          <w:ilvl w:val="0"/>
          <w:numId w:val="5"/>
        </w:numPr>
        <w:pBdr>
          <w:bottom w:val="single" w:sz="4" w:space="1" w:color="auto"/>
        </w:pBdr>
        <w:spacing w:before="240" w:after="0"/>
        <w:rPr>
          <w:rFonts w:cstheme="minorHAnsi"/>
          <w:b/>
          <w:bCs/>
        </w:rPr>
      </w:pPr>
      <w:r w:rsidRPr="00585FF1">
        <w:rPr>
          <w:rFonts w:cstheme="minorHAnsi"/>
          <w:b/>
          <w:bCs/>
        </w:rPr>
        <w:t xml:space="preserve">AGENCY </w:t>
      </w:r>
      <w:bookmarkStart w:id="21" w:name="_Toc156593388"/>
      <w:bookmarkEnd w:id="20"/>
      <w:r w:rsidRPr="00585FF1" w:rsidR="00BB2B15">
        <w:rPr>
          <w:rFonts w:cstheme="minorHAnsi"/>
          <w:b/>
          <w:bCs/>
        </w:rPr>
        <w:t>COSTS</w:t>
      </w:r>
    </w:p>
    <w:p w:rsidR="001F0834" w:rsidRPr="00585FF1" w:rsidP="00854AAE" w14:paraId="20B3A6D4" w14:textId="77777777">
      <w:pPr>
        <w:pBdr>
          <w:bottom w:val="single" w:sz="4" w:space="1" w:color="auto"/>
        </w:pBdr>
        <w:rPr>
          <w:rFonts w:cstheme="minorHAnsi"/>
          <w:bCs/>
          <w:i/>
          <w:iCs/>
        </w:rPr>
      </w:pPr>
      <w:r w:rsidRPr="00585FF1">
        <w:rPr>
          <w:rFonts w:cstheme="minorHAnsi"/>
          <w:bCs/>
          <w:i/>
          <w:iCs/>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585FF1">
        <w:rPr>
          <w:rFonts w:cstheme="minorHAnsi"/>
          <w:bCs/>
          <w:i/>
          <w:iCs/>
        </w:rPr>
        <w:t>expense</w:t>
      </w:r>
      <w:r w:rsidRPr="00585FF1">
        <w:rPr>
          <w:rFonts w:cstheme="minorHAnsi"/>
          <w:bCs/>
          <w:i/>
          <w:iCs/>
        </w:rPr>
        <w:t xml:space="preserve"> that would not have been incurred without this collection of information.</w:t>
      </w:r>
    </w:p>
    <w:p w:rsidR="00023EFE" w:rsidP="00854AAE" w14:paraId="2713C85E" w14:textId="77777777">
      <w:pPr>
        <w:spacing w:before="120" w:after="0"/>
        <w:rPr>
          <w:rFonts w:eastAsiaTheme="majorEastAsia" w:cstheme="minorHAnsi"/>
          <w:b/>
          <w:bCs/>
        </w:rPr>
      </w:pPr>
      <w:r w:rsidRPr="00585FF1">
        <w:rPr>
          <w:rFonts w:eastAsiaTheme="majorEastAsia" w:cstheme="minorHAnsi"/>
          <w:b/>
          <w:bCs/>
        </w:rPr>
        <w:t xml:space="preserve">14a. </w:t>
      </w:r>
      <w:r w:rsidRPr="00585FF1" w:rsidR="00BB2B15">
        <w:rPr>
          <w:rFonts w:eastAsiaTheme="majorEastAsia" w:cstheme="minorHAnsi"/>
          <w:b/>
          <w:bCs/>
        </w:rPr>
        <w:t>Agency Activities</w:t>
      </w:r>
    </w:p>
    <w:p w:rsidR="00C0424F" w:rsidP="00B31063" w14:paraId="03277454" w14:textId="2041B5EF">
      <w:pPr>
        <w:pStyle w:val="BodyTextDSW"/>
        <w:rPr>
          <w:rFonts w:asciiTheme="minorHAnsi" w:hAnsiTheme="minorHAnsi" w:cstheme="minorHAnsi"/>
          <w:b/>
          <w:bCs/>
          <w:sz w:val="22"/>
          <w:szCs w:val="22"/>
        </w:rPr>
      </w:pPr>
      <w:r w:rsidRPr="00C0424F">
        <w:rPr>
          <w:rFonts w:asciiTheme="minorHAnsi" w:hAnsiTheme="minorHAnsi" w:cstheme="minorHAnsi"/>
          <w:sz w:val="22"/>
          <w:szCs w:val="22"/>
        </w:rPr>
        <w:t xml:space="preserve">The information collection requirements covered in this ICR will be administered by RCRA-Authorized State government regulatory programs and EPA. </w:t>
      </w:r>
    </w:p>
    <w:p w:rsidR="00517E92" w:rsidRPr="00C0424F" w:rsidP="00C0424F" w14:paraId="678672A1" w14:textId="09AE6A0F">
      <w:pPr>
        <w:pStyle w:val="BodyTextDSW"/>
        <w:ind w:firstLine="0"/>
        <w:rPr>
          <w:rFonts w:asciiTheme="minorHAnsi" w:hAnsiTheme="minorHAnsi" w:cstheme="minorHAnsi"/>
          <w:b/>
          <w:bCs/>
          <w:sz w:val="22"/>
          <w:szCs w:val="22"/>
        </w:rPr>
      </w:pPr>
      <w:r w:rsidRPr="00C0424F">
        <w:rPr>
          <w:rFonts w:asciiTheme="minorHAnsi" w:hAnsiTheme="minorHAnsi" w:cstheme="minorHAnsi"/>
          <w:b/>
          <w:bCs/>
          <w:sz w:val="22"/>
          <w:szCs w:val="22"/>
        </w:rPr>
        <w:t>Requirement 1: DSW off-site transfer-based exclusion</w:t>
      </w:r>
    </w:p>
    <w:p w:rsidR="00C0424F" w:rsidRPr="00C0424F" w:rsidP="00C0424F" w14:paraId="45EE406B" w14:textId="77777777">
      <w:pPr>
        <w:pStyle w:val="BodyTextDSW"/>
        <w:keepNext/>
        <w:numPr>
          <w:ilvl w:val="0"/>
          <w:numId w:val="27"/>
        </w:numPr>
        <w:spacing w:before="240" w:after="240"/>
        <w:ind w:left="1260" w:hanging="540"/>
        <w:rPr>
          <w:rFonts w:asciiTheme="minorHAnsi" w:hAnsiTheme="minorHAnsi" w:cstheme="minorHAnsi"/>
          <w:b/>
          <w:bCs/>
          <w:sz w:val="22"/>
          <w:szCs w:val="22"/>
        </w:rPr>
      </w:pPr>
      <w:r w:rsidRPr="00C0424F">
        <w:rPr>
          <w:rFonts w:asciiTheme="minorHAnsi" w:hAnsiTheme="minorHAnsi" w:cstheme="minorHAnsi"/>
          <w:b/>
          <w:bCs/>
          <w:sz w:val="22"/>
          <w:szCs w:val="22"/>
        </w:rPr>
        <w:t>Emergency Preparedness</w:t>
      </w:r>
    </w:p>
    <w:p w:rsidR="00C0424F" w:rsidRPr="00C0424F" w:rsidP="00C0424F" w14:paraId="602A203C" w14:textId="77777777">
      <w:pPr>
        <w:spacing w:before="240" w:after="240"/>
        <w:ind w:left="1440"/>
        <w:rPr>
          <w:rFonts w:cstheme="minorHAnsi"/>
          <w:u w:val="single"/>
        </w:rPr>
      </w:pPr>
      <w:r w:rsidRPr="00C0424F">
        <w:rPr>
          <w:rFonts w:cstheme="minorHAnsi"/>
          <w:u w:val="single"/>
        </w:rPr>
        <w:t>Emergency procedures</w:t>
      </w:r>
    </w:p>
    <w:p w:rsidR="00C0424F" w:rsidRPr="00C0424F" w:rsidP="00C0424F" w14:paraId="4B23960E" w14:textId="77777777">
      <w:pPr>
        <w:pStyle w:val="BodyTextDSW"/>
        <w:numPr>
          <w:ilvl w:val="0"/>
          <w:numId w:val="8"/>
        </w:numPr>
        <w:tabs>
          <w:tab w:val="clear" w:pos="1080"/>
          <w:tab w:val="num" w:pos="2340"/>
        </w:tabs>
        <w:ind w:left="2347"/>
        <w:rPr>
          <w:rFonts w:asciiTheme="minorHAnsi" w:hAnsiTheme="minorHAnsi" w:cstheme="minorHAnsi"/>
          <w:sz w:val="22"/>
          <w:szCs w:val="22"/>
        </w:rPr>
      </w:pPr>
      <w:r w:rsidRPr="00C0424F">
        <w:rPr>
          <w:rFonts w:asciiTheme="minorHAnsi" w:hAnsiTheme="minorHAnsi" w:cstheme="minorHAnsi"/>
          <w:sz w:val="22"/>
          <w:szCs w:val="22"/>
        </w:rPr>
        <w:t>Review submitted release report information</w:t>
      </w:r>
    </w:p>
    <w:p w:rsidR="00C0424F" w:rsidRPr="00C0424F" w:rsidP="00C0424F" w14:paraId="2F408562" w14:textId="77777777">
      <w:pPr>
        <w:pStyle w:val="BodyTextDSW"/>
        <w:numPr>
          <w:ilvl w:val="0"/>
          <w:numId w:val="8"/>
        </w:numPr>
        <w:tabs>
          <w:tab w:val="clear" w:pos="1080"/>
          <w:tab w:val="num" w:pos="2340"/>
        </w:tabs>
        <w:ind w:left="2347"/>
        <w:rPr>
          <w:rFonts w:asciiTheme="minorHAnsi" w:hAnsiTheme="minorHAnsi" w:cstheme="minorHAnsi"/>
          <w:sz w:val="22"/>
          <w:szCs w:val="22"/>
        </w:rPr>
      </w:pPr>
      <w:r w:rsidRPr="00C0424F">
        <w:rPr>
          <w:rFonts w:asciiTheme="minorHAnsi" w:hAnsiTheme="minorHAnsi" w:cstheme="minorHAnsi"/>
          <w:sz w:val="22"/>
          <w:szCs w:val="22"/>
        </w:rPr>
        <w:t>Enter information into database tracking all releases</w:t>
      </w:r>
    </w:p>
    <w:p w:rsidR="00C0424F" w:rsidRPr="00C0424F" w:rsidP="00C0424F" w14:paraId="5949C276" w14:textId="77777777">
      <w:pPr>
        <w:pStyle w:val="BodyTextDSW"/>
        <w:numPr>
          <w:ilvl w:val="0"/>
          <w:numId w:val="8"/>
        </w:numPr>
        <w:tabs>
          <w:tab w:val="clear" w:pos="1080"/>
          <w:tab w:val="num" w:pos="2340"/>
        </w:tabs>
        <w:ind w:left="2347"/>
        <w:rPr>
          <w:rFonts w:asciiTheme="minorHAnsi" w:hAnsiTheme="minorHAnsi" w:cstheme="minorHAnsi"/>
          <w:sz w:val="22"/>
          <w:szCs w:val="22"/>
        </w:rPr>
      </w:pPr>
      <w:r w:rsidRPr="00C0424F">
        <w:rPr>
          <w:rFonts w:asciiTheme="minorHAnsi" w:hAnsiTheme="minorHAnsi" w:cstheme="minorHAnsi"/>
          <w:sz w:val="22"/>
          <w:szCs w:val="22"/>
        </w:rPr>
        <w:t>Transmit information to respective response authorities</w:t>
      </w:r>
    </w:p>
    <w:p w:rsidR="00C0424F" w:rsidRPr="00C0424F" w:rsidP="00C0424F" w14:paraId="7DB61C1A" w14:textId="77777777">
      <w:pPr>
        <w:pStyle w:val="BodyTextDSW"/>
        <w:keepNext/>
        <w:numPr>
          <w:ilvl w:val="0"/>
          <w:numId w:val="27"/>
        </w:numPr>
        <w:spacing w:before="240" w:after="240"/>
        <w:ind w:left="1260" w:hanging="540"/>
        <w:rPr>
          <w:rFonts w:asciiTheme="minorHAnsi" w:hAnsiTheme="minorHAnsi" w:cstheme="minorHAnsi"/>
          <w:b/>
          <w:bCs/>
          <w:sz w:val="22"/>
          <w:szCs w:val="22"/>
        </w:rPr>
      </w:pPr>
      <w:r w:rsidRPr="00C0424F">
        <w:rPr>
          <w:rFonts w:asciiTheme="minorHAnsi" w:hAnsiTheme="minorHAnsi" w:cstheme="minorHAnsi"/>
          <w:b/>
          <w:bCs/>
          <w:sz w:val="22"/>
          <w:szCs w:val="22"/>
        </w:rPr>
        <w:t>Financial Assurance</w:t>
      </w:r>
    </w:p>
    <w:p w:rsidR="00C0424F" w:rsidRPr="00C0424F" w:rsidP="00C0424F" w14:paraId="4E611F95" w14:textId="77777777">
      <w:pPr>
        <w:spacing w:before="240" w:after="240"/>
        <w:ind w:left="720"/>
        <w:rPr>
          <w:rFonts w:cstheme="minorHAnsi"/>
          <w:u w:val="single"/>
        </w:rPr>
      </w:pPr>
      <w:r w:rsidRPr="00C0424F">
        <w:rPr>
          <w:rFonts w:cstheme="minorHAnsi"/>
          <w:u w:val="single"/>
        </w:rPr>
        <w:t>Trust fund</w:t>
      </w:r>
    </w:p>
    <w:p w:rsidR="00C0424F" w:rsidRPr="00C0424F" w:rsidP="00C0424F" w14:paraId="7F0586FE"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Receive and evaluate originally signed duplicate of the trust agreement and formal certification of acknowledgement</w:t>
      </w:r>
    </w:p>
    <w:p w:rsidR="00C0424F" w:rsidRPr="00C0424F" w:rsidP="00C0424F" w14:paraId="1218C5BF"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 xml:space="preserve">Receive and evaluate other financial </w:t>
      </w:r>
      <w:r w:rsidRPr="00C0424F">
        <w:rPr>
          <w:rFonts w:asciiTheme="minorHAnsi" w:hAnsiTheme="minorHAnsi" w:cstheme="minorHAnsi"/>
          <w:sz w:val="22"/>
          <w:szCs w:val="22"/>
        </w:rPr>
        <w:t>assurance</w:t>
      </w:r>
    </w:p>
    <w:p w:rsidR="00C0424F" w:rsidRPr="00C0424F" w:rsidP="00C0424F" w14:paraId="5B66F372"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 xml:space="preserve">Receive, review, and respond to request for release of the amount </w:t>
      </w:r>
      <w:r w:rsidRPr="00C0424F">
        <w:rPr>
          <w:rFonts w:asciiTheme="minorHAnsi" w:hAnsiTheme="minorHAnsi" w:cstheme="minorHAnsi"/>
          <w:sz w:val="22"/>
          <w:szCs w:val="22"/>
        </w:rPr>
        <w:t>in excess of</w:t>
      </w:r>
      <w:r w:rsidRPr="00C0424F">
        <w:rPr>
          <w:rFonts w:asciiTheme="minorHAnsi" w:hAnsiTheme="minorHAnsi" w:cstheme="minorHAnsi"/>
          <w:sz w:val="22"/>
          <w:szCs w:val="22"/>
        </w:rPr>
        <w:t xml:space="preserve"> the current cost estimate</w:t>
      </w:r>
    </w:p>
    <w:p w:rsidR="00C0424F" w:rsidRPr="00C0424F" w:rsidP="00C0424F" w14:paraId="17964C0F"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 xml:space="preserve">Receive, review, and respond to request for release of the amount </w:t>
      </w:r>
      <w:r w:rsidRPr="00C0424F">
        <w:rPr>
          <w:rFonts w:asciiTheme="minorHAnsi" w:hAnsiTheme="minorHAnsi" w:cstheme="minorHAnsi"/>
          <w:sz w:val="22"/>
          <w:szCs w:val="22"/>
        </w:rPr>
        <w:t>in excess of</w:t>
      </w:r>
      <w:r w:rsidRPr="00C0424F">
        <w:rPr>
          <w:rFonts w:asciiTheme="minorHAnsi" w:hAnsiTheme="minorHAnsi" w:cstheme="minorHAnsi"/>
          <w:sz w:val="22"/>
          <w:szCs w:val="22"/>
        </w:rPr>
        <w:t xml:space="preserve"> current cost estimate covered by trust fund</w:t>
      </w:r>
    </w:p>
    <w:p w:rsidR="00C0424F" w:rsidRPr="00C0424F" w:rsidP="00C0424F" w14:paraId="7BF0A7A6"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Instruct the trustee to release to the owner/operator such funds as EPA specifies in writing</w:t>
      </w:r>
    </w:p>
    <w:p w:rsidR="00C0424F" w:rsidRPr="00C0424F" w:rsidP="00C0424F" w14:paraId="5A5C8117"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Take other action as needed</w:t>
      </w:r>
    </w:p>
    <w:p w:rsidR="00C0424F" w:rsidRPr="00C0424F" w:rsidP="00C0424F" w14:paraId="29D13DE0" w14:textId="77777777">
      <w:pPr>
        <w:spacing w:before="240" w:after="240"/>
        <w:ind w:left="720"/>
        <w:rPr>
          <w:rFonts w:cstheme="minorHAnsi"/>
          <w:u w:val="single"/>
        </w:rPr>
      </w:pPr>
      <w:r w:rsidRPr="00C0424F">
        <w:rPr>
          <w:rFonts w:cstheme="minorHAnsi"/>
          <w:u w:val="single"/>
        </w:rPr>
        <w:t>Surety bond guaranteeing payment into a trust fund</w:t>
      </w:r>
    </w:p>
    <w:p w:rsidR="00C0424F" w:rsidRPr="00C0424F" w:rsidP="00C0424F" w14:paraId="5B3F9124"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Receive and evaluate surety bond</w:t>
      </w:r>
    </w:p>
    <w:p w:rsidR="00C0424F" w:rsidRPr="00C0424F" w:rsidP="00C0424F" w14:paraId="30AFF8F5"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Receive, review, and file evidence of the increase in the penal sum or other financial assurance to cover the increase</w:t>
      </w:r>
    </w:p>
    <w:p w:rsidR="00C0424F" w:rsidRPr="00C0424F" w:rsidP="00C0424F" w14:paraId="69EE918A"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Receive and evaluate alternate financial assurance if required because of cancellation of the bond</w:t>
      </w:r>
    </w:p>
    <w:p w:rsidR="00C0424F" w:rsidRPr="00C0424F" w:rsidP="00C0424F" w14:paraId="0052405D"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Receive, review, and file notice of cancellation from surety company</w:t>
      </w:r>
    </w:p>
    <w:p w:rsidR="00C0424F" w:rsidRPr="00C0424F" w:rsidP="00C0424F" w14:paraId="6E7BF278"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Take other action as needed</w:t>
      </w:r>
    </w:p>
    <w:p w:rsidR="00C0424F" w:rsidRPr="00C0424F" w:rsidP="00C0424F" w14:paraId="2411D8C3" w14:textId="77777777">
      <w:pPr>
        <w:keepNext/>
        <w:spacing w:before="240" w:after="240"/>
        <w:ind w:left="720"/>
        <w:rPr>
          <w:rFonts w:cstheme="minorHAnsi"/>
          <w:u w:val="single"/>
        </w:rPr>
      </w:pPr>
      <w:r w:rsidRPr="00C0424F">
        <w:rPr>
          <w:rFonts w:cstheme="minorHAnsi"/>
          <w:u w:val="single"/>
        </w:rPr>
        <w:t>Letter of credit</w:t>
      </w:r>
    </w:p>
    <w:p w:rsidR="00C0424F" w:rsidRPr="00C0424F" w:rsidP="00C0424F" w14:paraId="5BB579BE"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Receive and evaluate letter of credit and letter referring to the letter of credit</w:t>
      </w:r>
    </w:p>
    <w:p w:rsidR="00C0424F" w:rsidRPr="00C0424F" w:rsidP="00C0424F" w14:paraId="5C0C641C"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Receive, review, and file evidence of an increase in the credit or other financial assurance as specified to cover the increase</w:t>
      </w:r>
    </w:p>
    <w:p w:rsidR="00C0424F" w:rsidRPr="00C0424F" w:rsidP="00C0424F" w14:paraId="62696A33"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Receive and evaluate alternate financial assurance if required because of termination of credit</w:t>
      </w:r>
    </w:p>
    <w:p w:rsidR="00C0424F" w:rsidRPr="00C0424F" w:rsidP="00C0424F" w14:paraId="011C132D"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Receive, review, and file a notice of a decision not to extend the expiration date of the credit from the issuing institution</w:t>
      </w:r>
    </w:p>
    <w:p w:rsidR="00C0424F" w:rsidRPr="00C0424F" w:rsidP="00C0424F" w14:paraId="2D18675C"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Take other action as needed</w:t>
      </w:r>
    </w:p>
    <w:p w:rsidR="00C0424F" w:rsidRPr="00C0424F" w:rsidP="00C0424F" w14:paraId="1C420F3D" w14:textId="77777777">
      <w:pPr>
        <w:spacing w:before="240" w:after="240"/>
        <w:ind w:left="720"/>
        <w:rPr>
          <w:rFonts w:cstheme="minorHAnsi"/>
          <w:u w:val="single"/>
        </w:rPr>
      </w:pPr>
      <w:r w:rsidRPr="00C0424F">
        <w:rPr>
          <w:rFonts w:cstheme="minorHAnsi"/>
          <w:u w:val="single"/>
        </w:rPr>
        <w:t>Insurance</w:t>
      </w:r>
    </w:p>
    <w:p w:rsidR="00C0424F" w:rsidRPr="00C0424F" w:rsidP="00C0424F" w14:paraId="2D4F5BD5"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Receive and evaluate certificate of insurance</w:t>
      </w:r>
    </w:p>
    <w:p w:rsidR="00C0424F" w:rsidRPr="00C0424F" w:rsidP="00C0424F" w14:paraId="5882D335"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Receive, review, and approve reimbursements for expenditures</w:t>
      </w:r>
    </w:p>
    <w:p w:rsidR="00C0424F" w:rsidRPr="00C0424F" w:rsidP="00C0424F" w14:paraId="2DED6BC3"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Receive, review, and file evidence of an increase in the policy or approve other financial assurance as specified to cover the increase</w:t>
      </w:r>
    </w:p>
    <w:p w:rsidR="00C0424F" w:rsidRPr="00C0424F" w:rsidP="00C0424F" w14:paraId="084BEF5C"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Receive and evaluate alternate financial assurance if required because of cancellation, termination, or failure to renew the insurance</w:t>
      </w:r>
    </w:p>
    <w:p w:rsidR="00C0424F" w:rsidRPr="00C0424F" w:rsidP="00C0424F" w14:paraId="642A55E4"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Receive, review, and file notice of cancellation</w:t>
      </w:r>
    </w:p>
    <w:p w:rsidR="00C0424F" w:rsidRPr="00C0424F" w:rsidP="00C0424F" w14:paraId="472DF1E1"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Take other action as needed</w:t>
      </w:r>
    </w:p>
    <w:p w:rsidR="00C0424F" w:rsidRPr="00C0424F" w:rsidP="00C0424F" w14:paraId="48A52DB6" w14:textId="77777777">
      <w:pPr>
        <w:spacing w:before="240" w:after="240"/>
        <w:ind w:left="720"/>
        <w:rPr>
          <w:rFonts w:cstheme="minorHAnsi"/>
          <w:u w:val="single"/>
        </w:rPr>
      </w:pPr>
      <w:r w:rsidRPr="00C0424F">
        <w:rPr>
          <w:rFonts w:cstheme="minorHAnsi"/>
          <w:u w:val="single"/>
        </w:rPr>
        <w:t>Financial test and corporate guarantee</w:t>
      </w:r>
    </w:p>
    <w:p w:rsidR="00C0424F" w:rsidRPr="00C0424F" w:rsidP="00C0424F" w14:paraId="03D78B51"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Receive and evaluate a signed letter and accompanying material</w:t>
      </w:r>
    </w:p>
    <w:p w:rsidR="00C0424F" w:rsidRPr="00C0424F" w:rsidP="00C0424F" w14:paraId="7F0860FD"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Receive, review, and approve an extension of the time allowed for submission of the documents specified in 40 CFR 261.143(e)(3)</w:t>
      </w:r>
    </w:p>
    <w:p w:rsidR="00C0424F" w:rsidRPr="00C0424F" w:rsidP="00C0424F" w14:paraId="7F7DBD72"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Receive, review, and file updated information at the close of each fiscal year</w:t>
      </w:r>
    </w:p>
    <w:p w:rsidR="00C0424F" w:rsidRPr="00C0424F" w:rsidP="00C0424F" w14:paraId="15D9C237"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Receive, review, and file a notice of intent to establish alternate financial assurance</w:t>
      </w:r>
    </w:p>
    <w:p w:rsidR="00C0424F" w:rsidRPr="00C0424F" w:rsidP="00C0424F" w14:paraId="5DFC7EF0"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Request, receive, review and file reports of financial condition</w:t>
      </w:r>
    </w:p>
    <w:p w:rsidR="00C0424F" w:rsidRPr="00C0424F" w:rsidP="00C0424F" w14:paraId="3A9E978D"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 xml:space="preserve">Receive and evaluate alternate financial assurance </w:t>
      </w:r>
    </w:p>
    <w:p w:rsidR="00C0424F" w:rsidRPr="00C0424F" w:rsidP="00C0424F" w14:paraId="7128D84F"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Prepare and transmit notice of disallowance</w:t>
      </w:r>
    </w:p>
    <w:p w:rsidR="00C0424F" w:rsidRPr="00C0424F" w:rsidP="00C0424F" w14:paraId="46FF319B"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Take other action as needed</w:t>
      </w:r>
    </w:p>
    <w:p w:rsidR="00517E92" w:rsidP="00C0424F" w14:paraId="2BE888AB" w14:textId="0BA4B8EA">
      <w:pPr>
        <w:pStyle w:val="BodyTextDSW"/>
        <w:ind w:firstLine="0"/>
        <w:rPr>
          <w:rFonts w:asciiTheme="minorHAnsi" w:hAnsiTheme="minorHAnsi" w:cstheme="minorHAnsi"/>
          <w:b/>
          <w:bCs/>
          <w:sz w:val="22"/>
          <w:szCs w:val="22"/>
        </w:rPr>
      </w:pPr>
      <w:r w:rsidRPr="00C0424F">
        <w:rPr>
          <w:rFonts w:asciiTheme="minorHAnsi" w:hAnsiTheme="minorHAnsi" w:cstheme="minorHAnsi"/>
          <w:b/>
          <w:bCs/>
          <w:sz w:val="22"/>
          <w:szCs w:val="22"/>
        </w:rPr>
        <w:t>Requirement 2: DSW generator-controlled exclusion</w:t>
      </w:r>
    </w:p>
    <w:p w:rsidR="00C0424F" w:rsidRPr="00C0424F" w:rsidP="00C0424F" w14:paraId="031F96D8" w14:textId="77777777">
      <w:pPr>
        <w:spacing w:before="240" w:after="240"/>
        <w:ind w:left="720"/>
        <w:rPr>
          <w:rFonts w:cstheme="minorHAnsi"/>
          <w:u w:val="single"/>
        </w:rPr>
      </w:pPr>
      <w:r w:rsidRPr="00C0424F">
        <w:rPr>
          <w:rFonts w:cstheme="minorHAnsi"/>
          <w:u w:val="single"/>
        </w:rPr>
        <w:t>Emergency procedures</w:t>
      </w:r>
    </w:p>
    <w:p w:rsidR="00C0424F" w:rsidRPr="00C0424F" w:rsidP="00C0424F" w14:paraId="6DEA903E"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Review submitted release report information</w:t>
      </w:r>
    </w:p>
    <w:p w:rsidR="00C0424F" w:rsidRPr="00C0424F" w:rsidP="00C0424F" w14:paraId="5AAC8812"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Enter information into database tracking all releases</w:t>
      </w:r>
    </w:p>
    <w:p w:rsidR="00C0424F" w:rsidRPr="00C0424F" w:rsidP="00C0424F" w14:paraId="27ECFA86"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Transmit information to respective response authorities</w:t>
      </w:r>
    </w:p>
    <w:p w:rsidR="00517E92" w:rsidRPr="00C0424F" w:rsidP="00C0424F" w14:paraId="12CFDD78" w14:textId="77777777">
      <w:pPr>
        <w:pStyle w:val="BodyTextDSW"/>
        <w:ind w:firstLine="0"/>
        <w:rPr>
          <w:rFonts w:asciiTheme="minorHAnsi" w:hAnsiTheme="minorHAnsi" w:cstheme="minorHAnsi"/>
          <w:b/>
          <w:bCs/>
          <w:sz w:val="22"/>
          <w:szCs w:val="22"/>
        </w:rPr>
      </w:pPr>
      <w:r w:rsidRPr="00C0424F">
        <w:rPr>
          <w:rFonts w:asciiTheme="minorHAnsi" w:hAnsiTheme="minorHAnsi" w:cstheme="minorHAnsi"/>
          <w:b/>
          <w:bCs/>
          <w:sz w:val="22"/>
          <w:szCs w:val="22"/>
        </w:rPr>
        <w:t>Requirement 3: Solid waste variances and non-waste determinations</w:t>
      </w:r>
    </w:p>
    <w:p w:rsidR="00C0424F" w:rsidRPr="00C0424F" w:rsidP="00C0424F" w14:paraId="522052BB" w14:textId="77777777">
      <w:pPr>
        <w:pStyle w:val="BodyTextDSW"/>
        <w:keepNext/>
        <w:numPr>
          <w:ilvl w:val="0"/>
          <w:numId w:val="28"/>
        </w:numPr>
        <w:spacing w:before="240" w:after="240"/>
        <w:ind w:left="1350" w:hanging="630"/>
        <w:rPr>
          <w:rFonts w:asciiTheme="minorHAnsi" w:hAnsiTheme="minorHAnsi" w:cstheme="minorHAnsi"/>
          <w:b/>
          <w:bCs/>
          <w:sz w:val="22"/>
          <w:szCs w:val="22"/>
        </w:rPr>
      </w:pPr>
      <w:r w:rsidRPr="00C0424F">
        <w:rPr>
          <w:rFonts w:asciiTheme="minorHAnsi" w:hAnsiTheme="minorHAnsi" w:cstheme="minorHAnsi"/>
          <w:b/>
          <w:bCs/>
          <w:sz w:val="22"/>
          <w:szCs w:val="22"/>
        </w:rPr>
        <w:t>Re-Application</w:t>
      </w:r>
    </w:p>
    <w:p w:rsidR="00C0424F" w:rsidRPr="00C0424F" w:rsidP="00C0424F" w14:paraId="3D12A115" w14:textId="77777777">
      <w:pPr>
        <w:pStyle w:val="BodyTextDSW"/>
        <w:numPr>
          <w:ilvl w:val="0"/>
          <w:numId w:val="8"/>
        </w:numPr>
        <w:tabs>
          <w:tab w:val="clear" w:pos="1080"/>
          <w:tab w:val="num" w:pos="2340"/>
        </w:tabs>
        <w:ind w:left="2347"/>
        <w:rPr>
          <w:rFonts w:asciiTheme="minorHAnsi" w:hAnsiTheme="minorHAnsi" w:cstheme="minorHAnsi"/>
          <w:sz w:val="22"/>
          <w:szCs w:val="22"/>
        </w:rPr>
      </w:pPr>
      <w:r w:rsidRPr="00C0424F">
        <w:rPr>
          <w:rFonts w:asciiTheme="minorHAnsi" w:hAnsiTheme="minorHAnsi" w:cstheme="minorHAnsi"/>
          <w:sz w:val="22"/>
          <w:szCs w:val="22"/>
        </w:rPr>
        <w:t xml:space="preserve">Receive, review, and file re-applications every ten years </w:t>
      </w:r>
    </w:p>
    <w:p w:rsidR="00C0424F" w:rsidRPr="00C0424F" w:rsidP="00C0424F" w14:paraId="0EBA719B" w14:textId="77777777">
      <w:pPr>
        <w:pStyle w:val="BodyTextDSW"/>
        <w:keepNext/>
        <w:numPr>
          <w:ilvl w:val="0"/>
          <w:numId w:val="28"/>
        </w:numPr>
        <w:spacing w:before="240" w:after="240"/>
        <w:ind w:left="1260" w:hanging="540"/>
        <w:rPr>
          <w:rFonts w:asciiTheme="minorHAnsi" w:hAnsiTheme="minorHAnsi" w:cstheme="minorHAnsi"/>
          <w:b/>
          <w:bCs/>
          <w:sz w:val="22"/>
          <w:szCs w:val="22"/>
        </w:rPr>
      </w:pPr>
      <w:r w:rsidRPr="00C0424F">
        <w:rPr>
          <w:rFonts w:asciiTheme="minorHAnsi" w:hAnsiTheme="minorHAnsi" w:cstheme="minorHAnsi"/>
          <w:b/>
          <w:bCs/>
          <w:sz w:val="22"/>
          <w:szCs w:val="22"/>
        </w:rPr>
        <w:t>Re-Notification</w:t>
      </w:r>
    </w:p>
    <w:p w:rsidR="00C0424F" w:rsidRPr="00C0424F" w:rsidP="00C0424F" w14:paraId="21A50C05" w14:textId="77777777">
      <w:pPr>
        <w:pStyle w:val="BodyTextDSW"/>
        <w:numPr>
          <w:ilvl w:val="0"/>
          <w:numId w:val="8"/>
        </w:numPr>
        <w:tabs>
          <w:tab w:val="clear" w:pos="1080"/>
          <w:tab w:val="num" w:pos="2340"/>
        </w:tabs>
        <w:ind w:left="2347"/>
        <w:rPr>
          <w:rFonts w:asciiTheme="minorHAnsi" w:hAnsiTheme="minorHAnsi" w:cstheme="minorHAnsi"/>
          <w:sz w:val="22"/>
          <w:szCs w:val="22"/>
        </w:rPr>
      </w:pPr>
      <w:r w:rsidRPr="00C0424F">
        <w:rPr>
          <w:rFonts w:asciiTheme="minorHAnsi" w:hAnsiTheme="minorHAnsi" w:cstheme="minorHAnsi"/>
          <w:sz w:val="22"/>
          <w:szCs w:val="22"/>
        </w:rPr>
        <w:t>Receive, review, and file notifications in the event of a change in circumstances</w:t>
      </w:r>
    </w:p>
    <w:p w:rsidR="00C0424F" w:rsidRPr="00C0424F" w:rsidP="00C0424F" w14:paraId="53CAE4F2" w14:textId="77777777">
      <w:pPr>
        <w:pStyle w:val="BodyTextDSW"/>
        <w:keepNext/>
        <w:numPr>
          <w:ilvl w:val="0"/>
          <w:numId w:val="28"/>
        </w:numPr>
        <w:spacing w:before="240" w:after="240"/>
        <w:ind w:left="1260" w:hanging="540"/>
        <w:rPr>
          <w:rFonts w:asciiTheme="minorHAnsi" w:hAnsiTheme="minorHAnsi" w:cstheme="minorHAnsi"/>
          <w:b/>
          <w:bCs/>
          <w:sz w:val="22"/>
          <w:szCs w:val="22"/>
        </w:rPr>
      </w:pPr>
      <w:r w:rsidRPr="00C0424F">
        <w:rPr>
          <w:rFonts w:asciiTheme="minorHAnsi" w:hAnsiTheme="minorHAnsi" w:cstheme="minorHAnsi"/>
          <w:b/>
          <w:bCs/>
          <w:sz w:val="22"/>
          <w:szCs w:val="22"/>
        </w:rPr>
        <w:t>Variance from Classification from Solid Waste (260.31(c) and 260.33(a))</w:t>
      </w:r>
    </w:p>
    <w:p w:rsidR="00C0424F" w:rsidRPr="00C0424F" w:rsidP="00C0424F" w14:paraId="29BDFC8B" w14:textId="77777777">
      <w:pPr>
        <w:pStyle w:val="BodyTextDSW"/>
        <w:numPr>
          <w:ilvl w:val="0"/>
          <w:numId w:val="8"/>
        </w:numPr>
        <w:tabs>
          <w:tab w:val="clear" w:pos="1080"/>
          <w:tab w:val="num" w:pos="2340"/>
        </w:tabs>
        <w:ind w:left="2347"/>
        <w:rPr>
          <w:rFonts w:asciiTheme="minorHAnsi" w:hAnsiTheme="minorHAnsi" w:cstheme="minorHAnsi"/>
          <w:sz w:val="22"/>
          <w:szCs w:val="22"/>
        </w:rPr>
      </w:pPr>
      <w:r w:rsidRPr="00C0424F">
        <w:rPr>
          <w:rFonts w:asciiTheme="minorHAnsi" w:hAnsiTheme="minorHAnsi" w:cstheme="minorHAnsi"/>
          <w:sz w:val="22"/>
          <w:szCs w:val="22"/>
        </w:rPr>
        <w:t>Review the variance demonstration</w:t>
      </w:r>
    </w:p>
    <w:p w:rsidR="00C0424F" w:rsidRPr="00C0424F" w:rsidP="00C0424F" w14:paraId="788E3829" w14:textId="77777777">
      <w:pPr>
        <w:pStyle w:val="BodyTextDSW"/>
        <w:numPr>
          <w:ilvl w:val="0"/>
          <w:numId w:val="8"/>
        </w:numPr>
        <w:tabs>
          <w:tab w:val="clear" w:pos="1080"/>
          <w:tab w:val="num" w:pos="2340"/>
        </w:tabs>
        <w:ind w:left="2347"/>
        <w:rPr>
          <w:rFonts w:asciiTheme="minorHAnsi" w:hAnsiTheme="minorHAnsi" w:cstheme="minorHAnsi"/>
          <w:sz w:val="22"/>
          <w:szCs w:val="22"/>
        </w:rPr>
      </w:pPr>
      <w:r w:rsidRPr="00C0424F">
        <w:rPr>
          <w:rFonts w:asciiTheme="minorHAnsi" w:hAnsiTheme="minorHAnsi" w:cstheme="minorHAnsi"/>
          <w:sz w:val="22"/>
          <w:szCs w:val="22"/>
        </w:rPr>
        <w:t>Request additional information if necessary</w:t>
      </w:r>
    </w:p>
    <w:p w:rsidR="00C0424F" w:rsidRPr="00C0424F" w:rsidP="00C0424F" w14:paraId="030D6AAB" w14:textId="77777777">
      <w:pPr>
        <w:pStyle w:val="BodyTextDSW"/>
        <w:numPr>
          <w:ilvl w:val="0"/>
          <w:numId w:val="8"/>
        </w:numPr>
        <w:tabs>
          <w:tab w:val="clear" w:pos="1080"/>
          <w:tab w:val="num" w:pos="2340"/>
        </w:tabs>
        <w:ind w:left="2347"/>
        <w:rPr>
          <w:rFonts w:asciiTheme="minorHAnsi" w:hAnsiTheme="minorHAnsi" w:cstheme="minorHAnsi"/>
          <w:sz w:val="22"/>
          <w:szCs w:val="22"/>
        </w:rPr>
      </w:pPr>
      <w:r w:rsidRPr="00C0424F">
        <w:rPr>
          <w:rFonts w:asciiTheme="minorHAnsi" w:hAnsiTheme="minorHAnsi" w:cstheme="minorHAnsi"/>
          <w:sz w:val="22"/>
          <w:szCs w:val="22"/>
        </w:rPr>
        <w:t>Deliberate and issue draft determination</w:t>
      </w:r>
    </w:p>
    <w:p w:rsidR="00C0424F" w:rsidRPr="00C0424F" w:rsidP="00C0424F" w14:paraId="34C1D9A5" w14:textId="77777777">
      <w:pPr>
        <w:pStyle w:val="BodyTextDSW"/>
        <w:numPr>
          <w:ilvl w:val="0"/>
          <w:numId w:val="8"/>
        </w:numPr>
        <w:tabs>
          <w:tab w:val="clear" w:pos="1080"/>
          <w:tab w:val="num" w:pos="2340"/>
        </w:tabs>
        <w:ind w:left="2347"/>
        <w:rPr>
          <w:rFonts w:asciiTheme="minorHAnsi" w:hAnsiTheme="minorHAnsi" w:cstheme="minorHAnsi"/>
          <w:sz w:val="22"/>
          <w:szCs w:val="22"/>
        </w:rPr>
      </w:pPr>
      <w:r w:rsidRPr="00C0424F">
        <w:rPr>
          <w:rFonts w:asciiTheme="minorHAnsi" w:hAnsiTheme="minorHAnsi" w:cstheme="minorHAnsi"/>
          <w:sz w:val="22"/>
          <w:szCs w:val="22"/>
        </w:rPr>
        <w:t>Publicize draft determination</w:t>
      </w:r>
    </w:p>
    <w:p w:rsidR="00C0424F" w:rsidRPr="00C0424F" w:rsidP="00C0424F" w14:paraId="0BC75947" w14:textId="77777777">
      <w:pPr>
        <w:pStyle w:val="BodyTextDSW"/>
        <w:numPr>
          <w:ilvl w:val="0"/>
          <w:numId w:val="8"/>
        </w:numPr>
        <w:tabs>
          <w:tab w:val="clear" w:pos="1080"/>
          <w:tab w:val="num" w:pos="2340"/>
        </w:tabs>
        <w:ind w:left="2347"/>
        <w:rPr>
          <w:rFonts w:asciiTheme="minorHAnsi" w:hAnsiTheme="minorHAnsi" w:cstheme="minorHAnsi"/>
          <w:sz w:val="22"/>
          <w:szCs w:val="22"/>
        </w:rPr>
      </w:pPr>
      <w:r w:rsidRPr="00C0424F">
        <w:rPr>
          <w:rFonts w:asciiTheme="minorHAnsi" w:hAnsiTheme="minorHAnsi" w:cstheme="minorHAnsi"/>
          <w:sz w:val="22"/>
          <w:szCs w:val="22"/>
        </w:rPr>
        <w:t>Hold hearing, if required</w:t>
      </w:r>
    </w:p>
    <w:p w:rsidR="00C0424F" w:rsidRPr="00C0424F" w:rsidP="00C0424F" w14:paraId="79B8A419" w14:textId="77777777">
      <w:pPr>
        <w:pStyle w:val="BodyTextDSW"/>
        <w:numPr>
          <w:ilvl w:val="0"/>
          <w:numId w:val="8"/>
        </w:numPr>
        <w:tabs>
          <w:tab w:val="clear" w:pos="1080"/>
          <w:tab w:val="num" w:pos="2340"/>
        </w:tabs>
        <w:ind w:left="2347"/>
        <w:rPr>
          <w:rFonts w:asciiTheme="minorHAnsi" w:hAnsiTheme="minorHAnsi" w:cstheme="minorHAnsi"/>
          <w:sz w:val="22"/>
          <w:szCs w:val="22"/>
        </w:rPr>
      </w:pPr>
      <w:r w:rsidRPr="00C0424F">
        <w:rPr>
          <w:rFonts w:asciiTheme="minorHAnsi" w:hAnsiTheme="minorHAnsi" w:cstheme="minorHAnsi"/>
          <w:sz w:val="22"/>
          <w:szCs w:val="22"/>
        </w:rPr>
        <w:t>Review comments and make final determination</w:t>
      </w:r>
    </w:p>
    <w:p w:rsidR="00C0424F" w:rsidRPr="00C0424F" w:rsidP="00C0424F" w14:paraId="3B7C52D6" w14:textId="77777777">
      <w:pPr>
        <w:pStyle w:val="BodyTextDSW"/>
        <w:keepNext/>
        <w:numPr>
          <w:ilvl w:val="0"/>
          <w:numId w:val="28"/>
        </w:numPr>
        <w:spacing w:before="240" w:after="240"/>
        <w:ind w:left="1260" w:hanging="540"/>
        <w:rPr>
          <w:rFonts w:asciiTheme="minorHAnsi" w:hAnsiTheme="minorHAnsi" w:cstheme="minorHAnsi"/>
          <w:b/>
          <w:bCs/>
          <w:sz w:val="22"/>
          <w:szCs w:val="22"/>
        </w:rPr>
      </w:pPr>
      <w:r w:rsidRPr="00C0424F">
        <w:rPr>
          <w:rFonts w:asciiTheme="minorHAnsi" w:hAnsiTheme="minorHAnsi" w:cstheme="minorHAnsi"/>
          <w:b/>
          <w:bCs/>
          <w:sz w:val="22"/>
          <w:szCs w:val="22"/>
        </w:rPr>
        <w:t>Non-Waste Determination</w:t>
      </w:r>
    </w:p>
    <w:p w:rsidR="00C0424F" w:rsidRPr="00C0424F" w:rsidP="00C0424F" w14:paraId="2B82AA0B" w14:textId="77777777">
      <w:pPr>
        <w:pStyle w:val="BodyTextDSW"/>
        <w:numPr>
          <w:ilvl w:val="0"/>
          <w:numId w:val="8"/>
        </w:numPr>
        <w:tabs>
          <w:tab w:val="clear" w:pos="1080"/>
          <w:tab w:val="num" w:pos="2340"/>
        </w:tabs>
        <w:ind w:left="2347"/>
        <w:rPr>
          <w:rFonts w:asciiTheme="minorHAnsi" w:hAnsiTheme="minorHAnsi" w:cstheme="minorHAnsi"/>
          <w:sz w:val="22"/>
          <w:szCs w:val="22"/>
        </w:rPr>
      </w:pPr>
      <w:r w:rsidRPr="00C0424F">
        <w:rPr>
          <w:rFonts w:asciiTheme="minorHAnsi" w:hAnsiTheme="minorHAnsi" w:cstheme="minorHAnsi"/>
          <w:sz w:val="22"/>
          <w:szCs w:val="22"/>
        </w:rPr>
        <w:t>Review the non-waste determination application</w:t>
      </w:r>
    </w:p>
    <w:p w:rsidR="00C0424F" w:rsidRPr="00C0424F" w:rsidP="00C0424F" w14:paraId="4EC23AB7" w14:textId="77777777">
      <w:pPr>
        <w:pStyle w:val="BodyTextDSW"/>
        <w:numPr>
          <w:ilvl w:val="0"/>
          <w:numId w:val="8"/>
        </w:numPr>
        <w:tabs>
          <w:tab w:val="clear" w:pos="1080"/>
          <w:tab w:val="num" w:pos="2340"/>
        </w:tabs>
        <w:ind w:left="2347"/>
        <w:rPr>
          <w:rFonts w:asciiTheme="minorHAnsi" w:hAnsiTheme="minorHAnsi" w:cstheme="minorHAnsi"/>
          <w:sz w:val="22"/>
          <w:szCs w:val="22"/>
        </w:rPr>
      </w:pPr>
      <w:r w:rsidRPr="00C0424F">
        <w:rPr>
          <w:rFonts w:asciiTheme="minorHAnsi" w:hAnsiTheme="minorHAnsi" w:cstheme="minorHAnsi"/>
          <w:sz w:val="22"/>
          <w:szCs w:val="22"/>
        </w:rPr>
        <w:t>Request additional information if necessary</w:t>
      </w:r>
    </w:p>
    <w:p w:rsidR="00C0424F" w:rsidRPr="00C0424F" w:rsidP="00C0424F" w14:paraId="0C536CB4" w14:textId="77777777">
      <w:pPr>
        <w:pStyle w:val="BodyTextDSW"/>
        <w:numPr>
          <w:ilvl w:val="0"/>
          <w:numId w:val="8"/>
        </w:numPr>
        <w:tabs>
          <w:tab w:val="clear" w:pos="1080"/>
          <w:tab w:val="num" w:pos="2340"/>
        </w:tabs>
        <w:ind w:left="2347"/>
        <w:rPr>
          <w:rFonts w:asciiTheme="minorHAnsi" w:hAnsiTheme="minorHAnsi" w:cstheme="minorHAnsi"/>
          <w:sz w:val="22"/>
          <w:szCs w:val="22"/>
        </w:rPr>
      </w:pPr>
      <w:r w:rsidRPr="00C0424F">
        <w:rPr>
          <w:rFonts w:asciiTheme="minorHAnsi" w:hAnsiTheme="minorHAnsi" w:cstheme="minorHAnsi"/>
          <w:sz w:val="22"/>
          <w:szCs w:val="22"/>
        </w:rPr>
        <w:t>Deliberate and issue draft determination</w:t>
      </w:r>
    </w:p>
    <w:p w:rsidR="00C0424F" w:rsidRPr="00C0424F" w:rsidP="00C0424F" w14:paraId="777DF048" w14:textId="77777777">
      <w:pPr>
        <w:pStyle w:val="BodyTextDSW"/>
        <w:numPr>
          <w:ilvl w:val="0"/>
          <w:numId w:val="8"/>
        </w:numPr>
        <w:tabs>
          <w:tab w:val="clear" w:pos="1080"/>
          <w:tab w:val="num" w:pos="2340"/>
        </w:tabs>
        <w:ind w:left="2347"/>
        <w:rPr>
          <w:rFonts w:asciiTheme="minorHAnsi" w:hAnsiTheme="minorHAnsi" w:cstheme="minorHAnsi"/>
          <w:sz w:val="22"/>
          <w:szCs w:val="22"/>
        </w:rPr>
      </w:pPr>
      <w:r w:rsidRPr="00C0424F">
        <w:rPr>
          <w:rFonts w:asciiTheme="minorHAnsi" w:hAnsiTheme="minorHAnsi" w:cstheme="minorHAnsi"/>
          <w:sz w:val="22"/>
          <w:szCs w:val="22"/>
        </w:rPr>
        <w:t>Publicize draft determination</w:t>
      </w:r>
    </w:p>
    <w:p w:rsidR="00C0424F" w:rsidRPr="00C0424F" w:rsidP="00C0424F" w14:paraId="3577F185" w14:textId="77777777">
      <w:pPr>
        <w:pStyle w:val="BodyTextDSW"/>
        <w:numPr>
          <w:ilvl w:val="0"/>
          <w:numId w:val="8"/>
        </w:numPr>
        <w:tabs>
          <w:tab w:val="clear" w:pos="1080"/>
          <w:tab w:val="num" w:pos="2340"/>
        </w:tabs>
        <w:ind w:left="2347"/>
        <w:rPr>
          <w:rFonts w:asciiTheme="minorHAnsi" w:hAnsiTheme="minorHAnsi" w:cstheme="minorHAnsi"/>
          <w:sz w:val="22"/>
          <w:szCs w:val="22"/>
        </w:rPr>
      </w:pPr>
      <w:r w:rsidRPr="00C0424F">
        <w:rPr>
          <w:rFonts w:asciiTheme="minorHAnsi" w:hAnsiTheme="minorHAnsi" w:cstheme="minorHAnsi"/>
          <w:sz w:val="22"/>
          <w:szCs w:val="22"/>
        </w:rPr>
        <w:t>Hold hearing, if required</w:t>
      </w:r>
    </w:p>
    <w:p w:rsidR="00C0424F" w:rsidRPr="00C0424F" w:rsidP="00C0424F" w14:paraId="55793C6E" w14:textId="77777777">
      <w:pPr>
        <w:pStyle w:val="BodyTextDSW"/>
        <w:numPr>
          <w:ilvl w:val="0"/>
          <w:numId w:val="8"/>
        </w:numPr>
        <w:tabs>
          <w:tab w:val="clear" w:pos="1080"/>
          <w:tab w:val="num" w:pos="2340"/>
        </w:tabs>
        <w:ind w:left="2347"/>
        <w:rPr>
          <w:rFonts w:asciiTheme="minorHAnsi" w:hAnsiTheme="minorHAnsi" w:cstheme="minorHAnsi"/>
          <w:sz w:val="22"/>
          <w:szCs w:val="22"/>
        </w:rPr>
      </w:pPr>
      <w:r w:rsidRPr="00C0424F">
        <w:rPr>
          <w:rFonts w:asciiTheme="minorHAnsi" w:hAnsiTheme="minorHAnsi" w:cstheme="minorHAnsi"/>
          <w:sz w:val="22"/>
          <w:szCs w:val="22"/>
        </w:rPr>
        <w:t>Review comments and make final determination</w:t>
      </w:r>
    </w:p>
    <w:p w:rsidR="00517E92" w:rsidP="00C0424F" w14:paraId="4B6FF3CC" w14:textId="7AA67F53">
      <w:pPr>
        <w:pStyle w:val="BodyTextDSW"/>
        <w:ind w:firstLine="0"/>
        <w:rPr>
          <w:rFonts w:asciiTheme="minorHAnsi" w:hAnsiTheme="minorHAnsi" w:cstheme="minorHAnsi"/>
          <w:b/>
          <w:bCs/>
          <w:sz w:val="22"/>
          <w:szCs w:val="22"/>
        </w:rPr>
      </w:pPr>
      <w:r w:rsidRPr="00C0424F">
        <w:rPr>
          <w:rFonts w:asciiTheme="minorHAnsi" w:hAnsiTheme="minorHAnsi" w:cstheme="minorHAnsi"/>
          <w:b/>
          <w:bCs/>
          <w:sz w:val="22"/>
          <w:szCs w:val="22"/>
        </w:rPr>
        <w:t>Requirement 4: DSW “remanufacturing” exclusion</w:t>
      </w:r>
    </w:p>
    <w:p w:rsidR="00C0424F" w:rsidRPr="00C0424F" w:rsidP="00C0424F" w14:paraId="63589CA3" w14:textId="77777777">
      <w:pPr>
        <w:pStyle w:val="BodyTextDSW"/>
        <w:keepNext/>
        <w:numPr>
          <w:ilvl w:val="0"/>
          <w:numId w:val="29"/>
        </w:numPr>
        <w:spacing w:before="240" w:after="240"/>
        <w:ind w:left="1260" w:hanging="540"/>
        <w:rPr>
          <w:rFonts w:asciiTheme="minorHAnsi" w:hAnsiTheme="minorHAnsi" w:cstheme="minorHAnsi"/>
          <w:b/>
          <w:bCs/>
          <w:sz w:val="22"/>
          <w:szCs w:val="22"/>
        </w:rPr>
      </w:pPr>
      <w:r w:rsidRPr="00C0424F">
        <w:rPr>
          <w:rFonts w:asciiTheme="minorHAnsi" w:hAnsiTheme="minorHAnsi" w:cstheme="minorHAnsi"/>
          <w:b/>
          <w:bCs/>
          <w:sz w:val="22"/>
          <w:szCs w:val="22"/>
        </w:rPr>
        <w:t>Petition Process</w:t>
      </w:r>
    </w:p>
    <w:p w:rsidR="00C0424F" w:rsidRPr="00C0424F" w:rsidP="00C0424F" w14:paraId="597E0A5B" w14:textId="77777777">
      <w:pPr>
        <w:pStyle w:val="BodyTextDSW"/>
        <w:numPr>
          <w:ilvl w:val="0"/>
          <w:numId w:val="8"/>
        </w:numPr>
        <w:tabs>
          <w:tab w:val="clear" w:pos="1080"/>
          <w:tab w:val="num" w:pos="2340"/>
        </w:tabs>
        <w:ind w:left="2347"/>
        <w:rPr>
          <w:rFonts w:asciiTheme="minorHAnsi" w:hAnsiTheme="minorHAnsi" w:cstheme="minorHAnsi"/>
          <w:sz w:val="22"/>
          <w:szCs w:val="22"/>
        </w:rPr>
      </w:pPr>
      <w:r w:rsidRPr="00C0424F">
        <w:rPr>
          <w:rFonts w:asciiTheme="minorHAnsi" w:hAnsiTheme="minorHAnsi" w:cstheme="minorHAnsi"/>
          <w:sz w:val="22"/>
          <w:szCs w:val="22"/>
        </w:rPr>
        <w:t>Review</w:t>
      </w:r>
      <w:r w:rsidRPr="00C0424F">
        <w:rPr>
          <w:rFonts w:asciiTheme="minorHAnsi" w:hAnsiTheme="minorHAnsi" w:cstheme="minorHAnsi"/>
          <w:sz w:val="22"/>
          <w:szCs w:val="22"/>
        </w:rPr>
        <w:t xml:space="preserve"> the petition</w:t>
      </w:r>
    </w:p>
    <w:p w:rsidR="00C0424F" w:rsidRPr="00C0424F" w:rsidP="00C0424F" w14:paraId="53602989" w14:textId="77777777">
      <w:pPr>
        <w:pStyle w:val="BodyTextDSW"/>
        <w:numPr>
          <w:ilvl w:val="0"/>
          <w:numId w:val="8"/>
        </w:numPr>
        <w:tabs>
          <w:tab w:val="clear" w:pos="1080"/>
          <w:tab w:val="num" w:pos="2340"/>
        </w:tabs>
        <w:ind w:left="2347"/>
        <w:rPr>
          <w:rFonts w:asciiTheme="minorHAnsi" w:hAnsiTheme="minorHAnsi" w:cstheme="minorHAnsi"/>
          <w:sz w:val="22"/>
          <w:szCs w:val="22"/>
        </w:rPr>
      </w:pPr>
      <w:r w:rsidRPr="00C0424F">
        <w:rPr>
          <w:rFonts w:asciiTheme="minorHAnsi" w:hAnsiTheme="minorHAnsi" w:cstheme="minorHAnsi"/>
          <w:sz w:val="22"/>
          <w:szCs w:val="22"/>
        </w:rPr>
        <w:t>Request additional information if necessary</w:t>
      </w:r>
    </w:p>
    <w:p w:rsidR="00C0424F" w:rsidRPr="00C0424F" w:rsidP="00C0424F" w14:paraId="2B265CDD" w14:textId="77777777">
      <w:pPr>
        <w:pStyle w:val="BodyTextDSW"/>
        <w:numPr>
          <w:ilvl w:val="0"/>
          <w:numId w:val="8"/>
        </w:numPr>
        <w:tabs>
          <w:tab w:val="clear" w:pos="1080"/>
          <w:tab w:val="num" w:pos="2340"/>
        </w:tabs>
        <w:ind w:left="2347"/>
        <w:rPr>
          <w:rFonts w:asciiTheme="minorHAnsi" w:hAnsiTheme="minorHAnsi" w:cstheme="minorHAnsi"/>
          <w:sz w:val="22"/>
          <w:szCs w:val="22"/>
        </w:rPr>
      </w:pPr>
      <w:r w:rsidRPr="00C0424F">
        <w:rPr>
          <w:rFonts w:asciiTheme="minorHAnsi" w:hAnsiTheme="minorHAnsi" w:cstheme="minorHAnsi"/>
          <w:sz w:val="22"/>
          <w:szCs w:val="22"/>
        </w:rPr>
        <w:t>Deliberate and issue draft determination</w:t>
      </w:r>
    </w:p>
    <w:p w:rsidR="00C0424F" w:rsidRPr="00C0424F" w:rsidP="00C0424F" w14:paraId="79C559EE" w14:textId="77777777">
      <w:pPr>
        <w:pStyle w:val="BodyTextDSW"/>
        <w:numPr>
          <w:ilvl w:val="0"/>
          <w:numId w:val="8"/>
        </w:numPr>
        <w:tabs>
          <w:tab w:val="clear" w:pos="1080"/>
          <w:tab w:val="num" w:pos="2340"/>
        </w:tabs>
        <w:ind w:left="2347"/>
        <w:rPr>
          <w:rFonts w:asciiTheme="minorHAnsi" w:hAnsiTheme="minorHAnsi" w:cstheme="minorHAnsi"/>
          <w:sz w:val="22"/>
          <w:szCs w:val="22"/>
        </w:rPr>
      </w:pPr>
      <w:r w:rsidRPr="00C0424F">
        <w:rPr>
          <w:rFonts w:asciiTheme="minorHAnsi" w:hAnsiTheme="minorHAnsi" w:cstheme="minorHAnsi"/>
          <w:sz w:val="22"/>
          <w:szCs w:val="22"/>
        </w:rPr>
        <w:t>Publicize draft determination</w:t>
      </w:r>
    </w:p>
    <w:p w:rsidR="00C0424F" w:rsidRPr="00C0424F" w:rsidP="00C0424F" w14:paraId="231802E3" w14:textId="77777777">
      <w:pPr>
        <w:pStyle w:val="BodyTextDSW"/>
        <w:numPr>
          <w:ilvl w:val="0"/>
          <w:numId w:val="8"/>
        </w:numPr>
        <w:tabs>
          <w:tab w:val="clear" w:pos="1080"/>
          <w:tab w:val="num" w:pos="2340"/>
        </w:tabs>
        <w:ind w:left="2347"/>
        <w:rPr>
          <w:rFonts w:asciiTheme="minorHAnsi" w:hAnsiTheme="minorHAnsi" w:cstheme="minorHAnsi"/>
          <w:sz w:val="22"/>
          <w:szCs w:val="22"/>
        </w:rPr>
      </w:pPr>
      <w:r w:rsidRPr="00C0424F">
        <w:rPr>
          <w:rFonts w:asciiTheme="minorHAnsi" w:hAnsiTheme="minorHAnsi" w:cstheme="minorHAnsi"/>
          <w:sz w:val="22"/>
          <w:szCs w:val="22"/>
        </w:rPr>
        <w:t>Hold hearing, if required</w:t>
      </w:r>
    </w:p>
    <w:p w:rsidR="00C0424F" w:rsidRPr="00C0424F" w:rsidP="00C0424F" w14:paraId="6B338904" w14:textId="77777777">
      <w:pPr>
        <w:pStyle w:val="BodyTextDSW"/>
        <w:numPr>
          <w:ilvl w:val="0"/>
          <w:numId w:val="8"/>
        </w:numPr>
        <w:tabs>
          <w:tab w:val="clear" w:pos="1080"/>
          <w:tab w:val="num" w:pos="2340"/>
        </w:tabs>
        <w:ind w:left="2347"/>
        <w:rPr>
          <w:rFonts w:asciiTheme="minorHAnsi" w:hAnsiTheme="minorHAnsi" w:cstheme="minorHAnsi"/>
          <w:sz w:val="22"/>
          <w:szCs w:val="22"/>
        </w:rPr>
      </w:pPr>
      <w:r w:rsidRPr="00C0424F">
        <w:rPr>
          <w:rFonts w:asciiTheme="minorHAnsi" w:hAnsiTheme="minorHAnsi" w:cstheme="minorHAnsi"/>
          <w:sz w:val="22"/>
          <w:szCs w:val="22"/>
        </w:rPr>
        <w:t>Review comments and make final determination</w:t>
      </w:r>
    </w:p>
    <w:p w:rsidR="00C0424F" w:rsidRPr="00C0424F" w:rsidP="00C0424F" w14:paraId="331C5464" w14:textId="77777777">
      <w:pPr>
        <w:pStyle w:val="BodyTextDSW"/>
        <w:keepNext/>
        <w:numPr>
          <w:ilvl w:val="0"/>
          <w:numId w:val="29"/>
        </w:numPr>
        <w:spacing w:before="240" w:after="240"/>
        <w:ind w:left="1260" w:hanging="540"/>
        <w:rPr>
          <w:rFonts w:asciiTheme="minorHAnsi" w:hAnsiTheme="minorHAnsi" w:cstheme="minorHAnsi"/>
          <w:b/>
          <w:bCs/>
          <w:sz w:val="22"/>
          <w:szCs w:val="22"/>
        </w:rPr>
      </w:pPr>
      <w:r w:rsidRPr="00C0424F">
        <w:rPr>
          <w:rFonts w:asciiTheme="minorHAnsi" w:hAnsiTheme="minorHAnsi" w:cstheme="minorHAnsi"/>
          <w:b/>
          <w:bCs/>
          <w:sz w:val="22"/>
          <w:szCs w:val="22"/>
        </w:rPr>
        <w:t>Technical Standards</w:t>
      </w:r>
    </w:p>
    <w:p w:rsidR="00C0424F" w:rsidRPr="00C0424F" w:rsidP="00C0424F" w14:paraId="60DE5692" w14:textId="77777777">
      <w:pPr>
        <w:pStyle w:val="BodyTextDSW"/>
        <w:numPr>
          <w:ilvl w:val="0"/>
          <w:numId w:val="8"/>
        </w:numPr>
        <w:tabs>
          <w:tab w:val="clear" w:pos="1080"/>
          <w:tab w:val="num" w:pos="2340"/>
        </w:tabs>
        <w:ind w:left="2347"/>
        <w:rPr>
          <w:rFonts w:asciiTheme="minorHAnsi" w:hAnsiTheme="minorHAnsi" w:cstheme="minorHAnsi"/>
          <w:sz w:val="22"/>
          <w:szCs w:val="22"/>
        </w:rPr>
      </w:pPr>
      <w:r w:rsidRPr="00C0424F">
        <w:rPr>
          <w:rFonts w:asciiTheme="minorHAnsi" w:hAnsiTheme="minorHAnsi" w:cstheme="minorHAnsi"/>
          <w:sz w:val="22"/>
          <w:szCs w:val="22"/>
        </w:rPr>
        <w:t>Conduct agency activities related to OMB Control No. 2050-0050 “Hazardous Waste Specific Unit Requirements and Special Waste Processes and Types” for additional facilities</w:t>
      </w:r>
    </w:p>
    <w:p w:rsidR="00C0424F" w:rsidRPr="00C0424F" w:rsidP="00C0424F" w14:paraId="4CABFB80" w14:textId="77777777">
      <w:pPr>
        <w:pStyle w:val="BodyTextDSW"/>
        <w:keepNext/>
        <w:numPr>
          <w:ilvl w:val="0"/>
          <w:numId w:val="29"/>
        </w:numPr>
        <w:spacing w:before="240" w:after="240"/>
        <w:ind w:left="1260" w:hanging="540"/>
        <w:rPr>
          <w:rFonts w:asciiTheme="minorHAnsi" w:hAnsiTheme="minorHAnsi" w:cstheme="minorHAnsi"/>
          <w:b/>
          <w:bCs/>
          <w:sz w:val="22"/>
          <w:szCs w:val="22"/>
        </w:rPr>
      </w:pPr>
      <w:r w:rsidRPr="00C0424F">
        <w:rPr>
          <w:rFonts w:asciiTheme="minorHAnsi" w:hAnsiTheme="minorHAnsi" w:cstheme="minorHAnsi"/>
          <w:b/>
          <w:bCs/>
          <w:sz w:val="22"/>
          <w:szCs w:val="22"/>
        </w:rPr>
        <w:t>NESHAP Standards</w:t>
      </w:r>
    </w:p>
    <w:p w:rsidR="00C0424F" w:rsidRPr="00C0424F" w:rsidP="00C0424F" w14:paraId="7CDC3CE1" w14:textId="77777777">
      <w:pPr>
        <w:pStyle w:val="BodyTextDSW"/>
        <w:numPr>
          <w:ilvl w:val="0"/>
          <w:numId w:val="8"/>
        </w:numPr>
        <w:tabs>
          <w:tab w:val="clear" w:pos="1080"/>
          <w:tab w:val="num" w:pos="2340"/>
        </w:tabs>
        <w:ind w:left="2347"/>
        <w:rPr>
          <w:rFonts w:asciiTheme="minorHAnsi" w:hAnsiTheme="minorHAnsi" w:cstheme="minorHAnsi"/>
          <w:sz w:val="22"/>
          <w:szCs w:val="22"/>
        </w:rPr>
      </w:pPr>
      <w:r w:rsidRPr="00C0424F">
        <w:rPr>
          <w:rFonts w:asciiTheme="minorHAnsi" w:hAnsiTheme="minorHAnsi" w:cstheme="minorHAnsi"/>
          <w:sz w:val="22"/>
          <w:szCs w:val="22"/>
        </w:rPr>
        <w:t>Conduct agency activities related to pollution standards covered by OMB Control No. 2050-0035 “Hazardous Waste Generator Standards” and OMB Control No. 2060-0318 “Air Emission Standards for Tanks, Surface Impoundment and Containers”.</w:t>
      </w:r>
    </w:p>
    <w:p w:rsidR="00517E92" w:rsidP="00C0424F" w14:paraId="20E8C396" w14:textId="40335927">
      <w:pPr>
        <w:pStyle w:val="BodyTextDSW"/>
        <w:ind w:firstLine="0"/>
        <w:rPr>
          <w:rFonts w:asciiTheme="minorHAnsi" w:hAnsiTheme="minorHAnsi" w:cstheme="minorHAnsi"/>
          <w:b/>
          <w:bCs/>
          <w:sz w:val="22"/>
          <w:szCs w:val="22"/>
        </w:rPr>
      </w:pPr>
      <w:r w:rsidRPr="00C0424F">
        <w:rPr>
          <w:rFonts w:asciiTheme="minorHAnsi" w:hAnsiTheme="minorHAnsi" w:cstheme="minorHAnsi"/>
          <w:b/>
          <w:bCs/>
          <w:sz w:val="22"/>
          <w:szCs w:val="22"/>
        </w:rPr>
        <w:t>Requirement 5: Required recordkeeping for speculative accumulation</w:t>
      </w:r>
    </w:p>
    <w:p w:rsidR="00C0424F" w:rsidRPr="00C0424F" w:rsidP="00C0424F" w14:paraId="56407D3D" w14:textId="77777777">
      <w:pPr>
        <w:pStyle w:val="BodyTextDSW"/>
        <w:keepNext/>
        <w:ind w:firstLine="540"/>
        <w:rPr>
          <w:rFonts w:asciiTheme="minorHAnsi" w:hAnsiTheme="minorHAnsi" w:cstheme="minorHAnsi"/>
          <w:sz w:val="22"/>
          <w:szCs w:val="22"/>
        </w:rPr>
      </w:pPr>
      <w:r w:rsidRPr="00C0424F">
        <w:rPr>
          <w:rFonts w:asciiTheme="minorHAnsi" w:hAnsiTheme="minorHAnsi" w:cstheme="minorHAnsi"/>
          <w:sz w:val="22"/>
          <w:szCs w:val="22"/>
        </w:rPr>
        <w:t xml:space="preserve">There </w:t>
      </w:r>
      <w:r w:rsidRPr="00C0424F">
        <w:rPr>
          <w:rFonts w:asciiTheme="minorHAnsi" w:hAnsiTheme="minorHAnsi" w:cstheme="minorHAnsi"/>
          <w:sz w:val="22"/>
          <w:szCs w:val="22"/>
        </w:rPr>
        <w:t>are</w:t>
      </w:r>
      <w:r w:rsidRPr="00C0424F">
        <w:rPr>
          <w:rFonts w:asciiTheme="minorHAnsi" w:hAnsiTheme="minorHAnsi" w:cstheme="minorHAnsi"/>
          <w:sz w:val="22"/>
          <w:szCs w:val="22"/>
        </w:rPr>
        <w:t xml:space="preserve"> no agency activities associated with these requirements.</w:t>
      </w:r>
    </w:p>
    <w:p w:rsidR="00517E92" w:rsidP="00C0424F" w14:paraId="1CA4093E" w14:textId="77777777">
      <w:pPr>
        <w:pStyle w:val="BodyTextDSW"/>
        <w:ind w:firstLine="0"/>
        <w:rPr>
          <w:rFonts w:asciiTheme="minorHAnsi" w:hAnsiTheme="minorHAnsi" w:cstheme="minorHAnsi"/>
          <w:b/>
          <w:bCs/>
          <w:sz w:val="22"/>
          <w:szCs w:val="22"/>
        </w:rPr>
      </w:pPr>
      <w:r w:rsidRPr="00C0424F">
        <w:rPr>
          <w:rFonts w:asciiTheme="minorHAnsi" w:hAnsiTheme="minorHAnsi" w:cstheme="minorHAnsi"/>
          <w:b/>
          <w:bCs/>
          <w:sz w:val="22"/>
          <w:szCs w:val="22"/>
        </w:rPr>
        <w:t>Requirement 6: Export requirements</w:t>
      </w:r>
    </w:p>
    <w:p w:rsidR="00C0424F" w:rsidRPr="00C0424F" w:rsidP="00C0424F" w14:paraId="076D3B1B"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Receive, review, and file shipment notifications and renotifications.</w:t>
      </w:r>
    </w:p>
    <w:p w:rsidR="00C0424F" w:rsidRPr="00C0424F" w:rsidP="00C0424F" w14:paraId="04813F86" w14:textId="77777777">
      <w:pPr>
        <w:pStyle w:val="BodyTextDSW"/>
        <w:numPr>
          <w:ilvl w:val="0"/>
          <w:numId w:val="8"/>
        </w:numPr>
        <w:tabs>
          <w:tab w:val="clear" w:pos="1080"/>
          <w:tab w:val="num" w:pos="1620"/>
        </w:tabs>
        <w:ind w:left="1627"/>
        <w:rPr>
          <w:rFonts w:asciiTheme="minorHAnsi" w:hAnsiTheme="minorHAnsi" w:cstheme="minorHAnsi"/>
          <w:sz w:val="22"/>
          <w:szCs w:val="22"/>
        </w:rPr>
      </w:pPr>
      <w:r w:rsidRPr="00C0424F">
        <w:rPr>
          <w:rFonts w:asciiTheme="minorHAnsi" w:hAnsiTheme="minorHAnsi" w:cstheme="minorHAnsi"/>
          <w:sz w:val="22"/>
          <w:szCs w:val="22"/>
        </w:rPr>
        <w:t xml:space="preserve">Receive, review, and file annual reports. </w:t>
      </w:r>
    </w:p>
    <w:p w:rsidR="00023EFE" w:rsidRPr="00585FF1" w:rsidP="008B654D" w14:paraId="70C8C311" w14:textId="77777777">
      <w:pPr>
        <w:spacing w:before="120" w:after="0"/>
        <w:rPr>
          <w:rFonts w:eastAsiaTheme="majorEastAsia" w:cstheme="minorHAnsi"/>
          <w:b/>
          <w:bCs/>
        </w:rPr>
      </w:pPr>
      <w:r w:rsidRPr="00585FF1">
        <w:rPr>
          <w:rFonts w:eastAsiaTheme="majorEastAsia" w:cstheme="minorHAnsi"/>
          <w:b/>
          <w:bCs/>
        </w:rPr>
        <w:t xml:space="preserve">14b. </w:t>
      </w:r>
      <w:r w:rsidRPr="00585FF1" w:rsidR="00BB2B15">
        <w:rPr>
          <w:rFonts w:eastAsiaTheme="majorEastAsia" w:cstheme="minorHAnsi"/>
          <w:b/>
          <w:bCs/>
        </w:rPr>
        <w:t>Agency Labor Cost</w:t>
      </w:r>
    </w:p>
    <w:p w:rsidR="00C0424F" w:rsidRPr="00C0424F" w:rsidP="00C0424F" w14:paraId="35E6A783" w14:textId="6EB7CDCB">
      <w:pPr>
        <w:pStyle w:val="BodyTextDSW"/>
        <w:rPr>
          <w:rFonts w:asciiTheme="minorHAnsi" w:hAnsiTheme="minorHAnsi" w:cstheme="minorHAnsi"/>
          <w:bCs/>
          <w:sz w:val="22"/>
          <w:szCs w:val="22"/>
        </w:rPr>
      </w:pPr>
      <w:r w:rsidRPr="00C0424F">
        <w:rPr>
          <w:rFonts w:asciiTheme="minorHAnsi" w:hAnsiTheme="minorHAnsi" w:cstheme="minorHAnsi"/>
          <w:sz w:val="22"/>
          <w:szCs w:val="22"/>
        </w:rPr>
        <w:t>The information collection requirements covered in this ICR will be administered by RCRA-Authorized State government regulatory programs and EPA. The States administer the program – thus there is no Federal burden.</w:t>
      </w:r>
    </w:p>
    <w:p w:rsidR="00D17BB9" w:rsidRPr="00585FF1" w:rsidP="00854AAE" w14:paraId="00CB15DE" w14:textId="77777777">
      <w:pPr>
        <w:spacing w:before="120" w:after="0"/>
        <w:rPr>
          <w:rFonts w:eastAsiaTheme="majorEastAsia" w:cstheme="minorHAnsi"/>
          <w:b/>
          <w:bCs/>
        </w:rPr>
      </w:pPr>
      <w:r w:rsidRPr="00585FF1">
        <w:rPr>
          <w:rFonts w:eastAsiaTheme="majorEastAsia" w:cstheme="minorHAnsi"/>
          <w:b/>
          <w:bCs/>
        </w:rPr>
        <w:t xml:space="preserve">14c. </w:t>
      </w:r>
      <w:r w:rsidRPr="00585FF1">
        <w:rPr>
          <w:rFonts w:eastAsiaTheme="majorEastAsia" w:cstheme="minorHAnsi"/>
          <w:b/>
          <w:bCs/>
        </w:rPr>
        <w:t>Agency Non-Labor Costs</w:t>
      </w:r>
    </w:p>
    <w:p w:rsidR="00E82A70" w:rsidRPr="00585FF1" w:rsidP="00854AAE" w14:paraId="0C7A88CF" w14:textId="14C9DBA2">
      <w:pPr>
        <w:spacing w:before="120" w:after="0"/>
        <w:rPr>
          <w:rFonts w:cstheme="minorHAnsi"/>
        </w:rPr>
      </w:pPr>
      <w:r w:rsidRPr="00585FF1">
        <w:rPr>
          <w:rFonts w:cstheme="minorHAnsi"/>
          <w:b/>
          <w:bCs/>
        </w:rPr>
        <w:tab/>
      </w:r>
      <w:r w:rsidRPr="00585FF1">
        <w:rPr>
          <w:rFonts w:cstheme="minorHAnsi"/>
        </w:rPr>
        <w:t>The Agency non-labor cost is $</w:t>
      </w:r>
      <w:r w:rsidR="00B31063">
        <w:rPr>
          <w:rFonts w:cstheme="minorHAnsi"/>
        </w:rPr>
        <w:t>0</w:t>
      </w:r>
      <w:r w:rsidRPr="00585FF1">
        <w:rPr>
          <w:rFonts w:cstheme="minorHAnsi"/>
        </w:rPr>
        <w:t xml:space="preserve"> annually.</w:t>
      </w:r>
    </w:p>
    <w:p w:rsidR="004620CA" w:rsidRPr="00585FF1" w:rsidP="006A7810" w14:paraId="08CAF84F" w14:textId="77777777">
      <w:pPr>
        <w:pStyle w:val="ListParagraph"/>
        <w:numPr>
          <w:ilvl w:val="0"/>
          <w:numId w:val="3"/>
        </w:numPr>
        <w:spacing w:before="240" w:after="0"/>
        <w:rPr>
          <w:rFonts w:cstheme="minorHAnsi"/>
          <w:b/>
          <w:bCs/>
        </w:rPr>
      </w:pPr>
      <w:r w:rsidRPr="00585FF1">
        <w:rPr>
          <w:rFonts w:cstheme="minorHAnsi"/>
          <w:b/>
          <w:bCs/>
        </w:rPr>
        <w:t xml:space="preserve">REASONS FOR </w:t>
      </w:r>
      <w:r w:rsidRPr="00585FF1" w:rsidR="00AD46F7">
        <w:rPr>
          <w:rFonts w:cstheme="minorHAnsi"/>
          <w:b/>
          <w:bCs/>
        </w:rPr>
        <w:t>CHANGE IN BURDEN</w:t>
      </w:r>
      <w:bookmarkEnd w:id="21"/>
    </w:p>
    <w:p w:rsidR="001F0834" w:rsidRPr="00585FF1" w:rsidP="00854AAE" w14:paraId="6DA49685" w14:textId="77777777">
      <w:pPr>
        <w:pBdr>
          <w:bottom w:val="single" w:sz="12" w:space="1" w:color="auto"/>
        </w:pBdr>
        <w:spacing w:before="60"/>
        <w:rPr>
          <w:rFonts w:cstheme="minorHAnsi"/>
          <w:bCs/>
          <w:i/>
          <w:iCs/>
        </w:rPr>
      </w:pPr>
      <w:r w:rsidRPr="00585FF1">
        <w:rPr>
          <w:rFonts w:cstheme="minorHAnsi"/>
          <w:bCs/>
          <w:i/>
          <w:iCs/>
        </w:rPr>
        <w:t>Explain the reasons for any program changes or adjustments reported in the burden or capital/O&amp;M cost estimates.</w:t>
      </w:r>
    </w:p>
    <w:p w:rsidR="000A4005" w:rsidRPr="00585FF1" w:rsidP="00164222" w14:paraId="0B46630F" w14:textId="61B60D4E">
      <w:pPr>
        <w:ind w:firstLine="360"/>
        <w:rPr>
          <w:rFonts w:cstheme="minorHAnsi"/>
          <w:b/>
          <w:bCs/>
        </w:rPr>
      </w:pPr>
      <w:bookmarkStart w:id="22" w:name="_Hlk206766392"/>
      <w:bookmarkStart w:id="23" w:name="_Toc156593389"/>
      <w:r w:rsidRPr="00585FF1">
        <w:rPr>
          <w:rFonts w:cstheme="minorHAnsi"/>
        </w:rPr>
        <w:t xml:space="preserve">There is an increase of </w:t>
      </w:r>
      <w:r w:rsidR="00297AE9">
        <w:rPr>
          <w:rFonts w:cstheme="minorHAnsi"/>
        </w:rPr>
        <w:t>11,341</w:t>
      </w:r>
      <w:r w:rsidRPr="00585FF1">
        <w:rPr>
          <w:rFonts w:cstheme="minorHAnsi"/>
        </w:rPr>
        <w:t xml:space="preserve"> hours in the burden estimates for this ICR due to </w:t>
      </w:r>
      <w:bookmarkEnd w:id="22"/>
      <w:r w:rsidR="00297AE9">
        <w:rPr>
          <w:rFonts w:cstheme="minorHAnsi"/>
        </w:rPr>
        <w:t>adjustments in Agency estimates.</w:t>
      </w:r>
    </w:p>
    <w:p w:rsidR="005D140B" w:rsidRPr="00585FF1" w:rsidP="006A7810" w14:paraId="5CA0C952" w14:textId="77777777">
      <w:pPr>
        <w:pStyle w:val="ListParagraph"/>
        <w:numPr>
          <w:ilvl w:val="0"/>
          <w:numId w:val="3"/>
        </w:numPr>
        <w:spacing w:before="240" w:after="0"/>
        <w:rPr>
          <w:rFonts w:cstheme="minorHAnsi"/>
          <w:b/>
          <w:bCs/>
        </w:rPr>
      </w:pPr>
      <w:r w:rsidRPr="00585FF1">
        <w:rPr>
          <w:rFonts w:cstheme="minorHAnsi"/>
          <w:b/>
          <w:bCs/>
        </w:rPr>
        <w:t xml:space="preserve">PUBLICATION OF </w:t>
      </w:r>
      <w:bookmarkStart w:id="24" w:name="_Toc156593390"/>
      <w:bookmarkEnd w:id="23"/>
      <w:r w:rsidRPr="00585FF1" w:rsidR="00E73E81">
        <w:rPr>
          <w:rFonts w:cstheme="minorHAnsi"/>
          <w:b/>
          <w:bCs/>
        </w:rPr>
        <w:t>DATA</w:t>
      </w:r>
    </w:p>
    <w:p w:rsidR="001F0834" w:rsidRPr="00585FF1" w:rsidP="00854AAE" w14:paraId="1F5826C2" w14:textId="77777777">
      <w:pPr>
        <w:pBdr>
          <w:bottom w:val="single" w:sz="12" w:space="1" w:color="auto"/>
        </w:pBdr>
        <w:spacing w:before="60"/>
        <w:rPr>
          <w:rFonts w:cstheme="minorHAnsi"/>
          <w:bCs/>
          <w:i/>
          <w:iCs/>
        </w:rPr>
      </w:pPr>
      <w:r w:rsidRPr="00585FF1">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585FF1" w:rsidP="0021437D" w14:paraId="13D39D65" w14:textId="4454FC29">
      <w:pPr>
        <w:pBdr>
          <w:top w:val="single" w:sz="6" w:space="0" w:color="FFFFFF"/>
          <w:left w:val="single" w:sz="6" w:space="0" w:color="FFFFFF"/>
          <w:bottom w:val="single" w:sz="6" w:space="0" w:color="FFFFFF"/>
          <w:right w:val="single" w:sz="6" w:space="0" w:color="FFFFFF"/>
        </w:pBdr>
        <w:ind w:firstLine="360"/>
        <w:rPr>
          <w:rFonts w:cstheme="minorHAnsi"/>
        </w:rPr>
      </w:pPr>
      <w:r w:rsidRPr="00585FF1">
        <w:rPr>
          <w:rFonts w:cstheme="minorHAnsi"/>
        </w:rPr>
        <w:t>Results from this ICR are not published formally.</w:t>
      </w:r>
    </w:p>
    <w:p w:rsidR="00627768" w:rsidRPr="00585FF1" w:rsidP="006A7810" w14:paraId="3849F905" w14:textId="77777777">
      <w:pPr>
        <w:pStyle w:val="ListParagraph"/>
        <w:numPr>
          <w:ilvl w:val="0"/>
          <w:numId w:val="3"/>
        </w:numPr>
        <w:spacing w:before="240" w:after="0"/>
        <w:rPr>
          <w:rFonts w:cstheme="minorHAnsi"/>
          <w:b/>
          <w:bCs/>
        </w:rPr>
      </w:pPr>
      <w:r w:rsidRPr="00585FF1">
        <w:rPr>
          <w:rFonts w:cstheme="minorHAnsi"/>
          <w:b/>
          <w:bCs/>
        </w:rPr>
        <w:t xml:space="preserve">DISPLAY </w:t>
      </w:r>
      <w:r w:rsidRPr="00585FF1" w:rsidR="00644EBE">
        <w:rPr>
          <w:rFonts w:cstheme="minorHAnsi"/>
          <w:b/>
          <w:bCs/>
        </w:rPr>
        <w:t xml:space="preserve">OF </w:t>
      </w:r>
      <w:r w:rsidRPr="00585FF1" w:rsidR="000D5863">
        <w:rPr>
          <w:rFonts w:cstheme="minorHAnsi"/>
          <w:b/>
          <w:bCs/>
        </w:rPr>
        <w:t>EXPIRATION DATE</w:t>
      </w:r>
      <w:bookmarkEnd w:id="24"/>
      <w:r w:rsidRPr="00585FF1" w:rsidR="00644EBE">
        <w:rPr>
          <w:rFonts w:cstheme="minorHAnsi"/>
          <w:b/>
          <w:bCs/>
        </w:rPr>
        <w:t xml:space="preserve"> </w:t>
      </w:r>
    </w:p>
    <w:p w:rsidR="001F0834" w:rsidRPr="00585FF1" w:rsidP="00854AAE" w14:paraId="08E2F9AE" w14:textId="77777777">
      <w:pPr>
        <w:pBdr>
          <w:bottom w:val="single" w:sz="12" w:space="1" w:color="auto"/>
        </w:pBdr>
        <w:spacing w:before="60"/>
        <w:rPr>
          <w:rFonts w:cstheme="minorHAnsi"/>
          <w:i/>
          <w:iCs/>
        </w:rPr>
      </w:pPr>
      <w:r w:rsidRPr="00585FF1">
        <w:rPr>
          <w:rFonts w:cstheme="minorHAnsi"/>
          <w:i/>
          <w:iCs/>
        </w:rPr>
        <w:t>If seeking approval to not display the expiration date for OMB approval of the information collection, explain the reasons that display would be inappropriate.</w:t>
      </w:r>
    </w:p>
    <w:p w:rsidR="000A4005" w:rsidRPr="00585FF1" w:rsidP="0021437D" w14:paraId="32072173" w14:textId="47BBE280">
      <w:pPr>
        <w:pBdr>
          <w:top w:val="single" w:sz="6" w:space="0" w:color="FFFFFF"/>
          <w:left w:val="single" w:sz="6" w:space="0" w:color="FFFFFF"/>
          <w:bottom w:val="single" w:sz="6" w:space="0" w:color="FFFFFF"/>
          <w:right w:val="single" w:sz="6" w:space="0" w:color="FFFFFF"/>
        </w:pBdr>
        <w:ind w:firstLine="360"/>
        <w:rPr>
          <w:rFonts w:cstheme="minorHAnsi"/>
        </w:rPr>
      </w:pPr>
      <w:bookmarkStart w:id="25" w:name="_Toc156593391"/>
      <w:r w:rsidRPr="00585FF1">
        <w:rPr>
          <w:rFonts w:cstheme="minorHAnsi"/>
        </w:rPr>
        <w:t>There are no instruments for this ICR</w:t>
      </w:r>
      <w:r w:rsidRPr="00585FF1" w:rsidR="00AF28F1">
        <w:rPr>
          <w:rFonts w:cstheme="minorHAnsi"/>
        </w:rPr>
        <w:t>.</w:t>
      </w:r>
    </w:p>
    <w:p w:rsidR="00691828" w:rsidRPr="00585FF1" w:rsidP="006A7810" w14:paraId="0C414566" w14:textId="77777777">
      <w:pPr>
        <w:pStyle w:val="ListParagraph"/>
        <w:numPr>
          <w:ilvl w:val="0"/>
          <w:numId w:val="3"/>
        </w:numPr>
        <w:spacing w:before="240" w:after="0"/>
        <w:rPr>
          <w:rFonts w:cstheme="minorHAnsi"/>
          <w:b/>
          <w:bCs/>
        </w:rPr>
      </w:pPr>
      <w:r w:rsidRPr="00585FF1">
        <w:rPr>
          <w:rFonts w:cstheme="minorHAnsi"/>
          <w:b/>
          <w:bCs/>
        </w:rPr>
        <w:t>CERTIFICATION STATEMENT</w:t>
      </w:r>
      <w:bookmarkEnd w:id="25"/>
    </w:p>
    <w:p w:rsidR="001F0834" w:rsidRPr="00585FF1" w:rsidP="00854AAE" w14:paraId="3F100C1B" w14:textId="77777777">
      <w:pPr>
        <w:pBdr>
          <w:bottom w:val="single" w:sz="12" w:space="1" w:color="auto"/>
        </w:pBdr>
        <w:spacing w:before="60"/>
        <w:rPr>
          <w:rFonts w:cstheme="minorHAnsi"/>
          <w:i/>
          <w:iCs/>
        </w:rPr>
      </w:pPr>
      <w:r w:rsidRPr="00585FF1">
        <w:rPr>
          <w:rFonts w:cstheme="minorHAnsi"/>
          <w:i/>
          <w:iCs/>
        </w:rPr>
        <w:t>Explain each exception to the topics of the certification statement identified in “Certification for Paperwork Reduction Act Submissions.”</w:t>
      </w:r>
    </w:p>
    <w:tbl>
      <w:tblPr>
        <w:tblW w:w="13680" w:type="dxa"/>
        <w:tblLook w:val="04A0"/>
      </w:tblPr>
      <w:tblGrid>
        <w:gridCol w:w="13680"/>
      </w:tblGrid>
      <w:tr w14:paraId="14B9DF37" w14:textId="77777777" w:rsidTr="00CF40DF">
        <w:tblPrEx>
          <w:tblW w:w="13680" w:type="dxa"/>
          <w:tblLook w:val="04A0"/>
        </w:tblPrEx>
        <w:trPr>
          <w:trHeight w:val="223"/>
        </w:trPr>
        <w:tc>
          <w:tcPr>
            <w:tcW w:w="13680" w:type="dxa"/>
            <w:tcBorders>
              <w:top w:val="nil"/>
              <w:left w:val="nil"/>
              <w:bottom w:val="single" w:sz="8" w:space="0" w:color="auto"/>
              <w:right w:val="nil"/>
            </w:tcBorders>
            <w:noWrap/>
            <w:vAlign w:val="bottom"/>
          </w:tcPr>
          <w:p w:rsidR="001D4594" w:rsidRPr="00585FF1" w:rsidP="00A70F3A" w14:paraId="025F151E" w14:textId="2E498656">
            <w:pPr>
              <w:ind w:right="4035"/>
              <w:rPr>
                <w:rFonts w:cstheme="minorHAnsi"/>
                <w:b/>
                <w:bCs/>
                <w:color w:val="000000"/>
              </w:rPr>
            </w:pPr>
            <w:r w:rsidRPr="00585FF1">
              <w:rPr>
                <w:rFonts w:cstheme="minorHAnsi"/>
              </w:rPr>
              <w:t>This information collection complies with all provisions of the Certification for Paperwork Reduction Act Submissions.</w:t>
            </w:r>
          </w:p>
        </w:tc>
      </w:tr>
    </w:tbl>
    <w:p w:rsidR="001D4594" w:rsidRPr="00585FF1" w:rsidP="00CD41E8" w14:paraId="6488D7FA" w14:textId="0A99DF95">
      <w:pPr>
        <w:rPr>
          <w:rFonts w:cstheme="minorHAnsi"/>
          <w:b/>
          <w:bCs/>
        </w:rPr>
      </w:pPr>
    </w:p>
    <w:sectPr w:rsidSect="00CD41E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3BDD50ED"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3476683E"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Bullet List"/>
    <w:lvl w:ilvl="0">
      <w:start w:val="1"/>
      <w:numFmt w:val="decimal"/>
      <w:lvlText w:val="·"/>
      <w:lvlJc w:val="left"/>
    </w:lvl>
    <w:lvl w:ilvl="1">
      <w:start w:val="1"/>
      <w:numFmt w:val="lowerLetter"/>
      <w:pStyle w:val="Level2"/>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
    <w:nsid w:val="00000005"/>
    <w:multiLevelType w:val="multilevel"/>
    <w:tmpl w:val="C602CAD4"/>
    <w:name w:val="WW8Num5"/>
    <w:lvl w:ilvl="0">
      <w:start w:val="1"/>
      <w:numFmt w:val="bullet"/>
      <w:lvlText w:val=""/>
      <w:lvlJc w:val="left"/>
      <w:pPr>
        <w:tabs>
          <w:tab w:val="num" w:pos="1080"/>
        </w:tabs>
        <w:ind w:left="1080" w:hanging="360"/>
      </w:pPr>
      <w:rPr>
        <w:rFonts w:ascii="Symbol" w:hAnsi="Symbol" w:hint="default"/>
        <w:sz w:val="28"/>
      </w:rPr>
    </w:lvl>
    <w:lvl w:ilvl="1">
      <w:start w:val="1"/>
      <w:numFmt w:val="bullet"/>
      <w:lvlText w:val=""/>
      <w:lvlJc w:val="left"/>
      <w:pPr>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cs="Times New Roman"/>
        <w:sz w:val="28"/>
      </w:rPr>
    </w:lvl>
    <w:lvl w:ilvl="3">
      <w:start w:val="1"/>
      <w:numFmt w:val="bullet"/>
      <w:lvlText w:val=""/>
      <w:lvlJc w:val="left"/>
      <w:pPr>
        <w:tabs>
          <w:tab w:val="num" w:pos="3240"/>
        </w:tabs>
        <w:ind w:left="3240" w:hanging="360"/>
      </w:pPr>
      <w:rPr>
        <w:rFonts w:ascii="Symbol" w:hAnsi="Symbol" w:cs="Times New Roman"/>
        <w:sz w:val="28"/>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cs="Times New Roman"/>
        <w:sz w:val="28"/>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2">
    <w:nsid w:val="03976F7A"/>
    <w:multiLevelType w:val="hybridMultilevel"/>
    <w:tmpl w:val="AF98D47C"/>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F045B2"/>
    <w:multiLevelType w:val="hybridMultilevel"/>
    <w:tmpl w:val="8AB4A53A"/>
    <w:lvl w:ilvl="0">
      <w:start w:val="1"/>
      <w:numFmt w:val="bullet"/>
      <w:lvlText w:val=""/>
      <w:lvlJc w:val="left"/>
      <w:pPr>
        <w:ind w:left="2160" w:hanging="72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07EA5B4F"/>
    <w:multiLevelType w:val="hybridMultilevel"/>
    <w:tmpl w:val="9090773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12A720E"/>
    <w:multiLevelType w:val="hybridMultilevel"/>
    <w:tmpl w:val="2CDAEEB8"/>
    <w:lvl w:ilvl="0">
      <w:start w:val="1"/>
      <w:numFmt w:val="bullet"/>
      <w:lvlText w:val=""/>
      <w:lvlJc w:val="left"/>
      <w:pPr>
        <w:tabs>
          <w:tab w:val="num" w:pos="1987"/>
        </w:tabs>
        <w:ind w:left="1987" w:hanging="360"/>
      </w:pPr>
      <w:rPr>
        <w:rFonts w:ascii="Symbol" w:hAnsi="Symbol" w:hint="default"/>
      </w:rPr>
    </w:lvl>
    <w:lvl w:ilvl="1">
      <w:start w:val="1"/>
      <w:numFmt w:val="bullet"/>
      <w:lvlText w:val=""/>
      <w:lvlJc w:val="left"/>
      <w:pPr>
        <w:ind w:left="2707" w:hanging="360"/>
      </w:pPr>
      <w:rPr>
        <w:rFonts w:ascii="Symbol" w:hAnsi="Symbol" w:hint="default"/>
      </w:rPr>
    </w:lvl>
    <w:lvl w:ilvl="2" w:tentative="1">
      <w:start w:val="1"/>
      <w:numFmt w:val="bullet"/>
      <w:lvlText w:val=""/>
      <w:lvlJc w:val="left"/>
      <w:pPr>
        <w:tabs>
          <w:tab w:val="num" w:pos="3427"/>
        </w:tabs>
        <w:ind w:left="3427" w:hanging="360"/>
      </w:pPr>
      <w:rPr>
        <w:rFonts w:ascii="Wingdings" w:hAnsi="Wingdings" w:hint="default"/>
      </w:rPr>
    </w:lvl>
    <w:lvl w:ilvl="3" w:tentative="1">
      <w:start w:val="1"/>
      <w:numFmt w:val="bullet"/>
      <w:lvlText w:val=""/>
      <w:lvlJc w:val="left"/>
      <w:pPr>
        <w:tabs>
          <w:tab w:val="num" w:pos="4147"/>
        </w:tabs>
        <w:ind w:left="4147" w:hanging="360"/>
      </w:pPr>
      <w:rPr>
        <w:rFonts w:ascii="Symbol" w:hAnsi="Symbol" w:hint="default"/>
      </w:rPr>
    </w:lvl>
    <w:lvl w:ilvl="4" w:tentative="1">
      <w:start w:val="1"/>
      <w:numFmt w:val="bullet"/>
      <w:lvlText w:val="o"/>
      <w:lvlJc w:val="left"/>
      <w:pPr>
        <w:tabs>
          <w:tab w:val="num" w:pos="4867"/>
        </w:tabs>
        <w:ind w:left="4867" w:hanging="360"/>
      </w:pPr>
      <w:rPr>
        <w:rFonts w:ascii="Courier New" w:hAnsi="Courier New" w:hint="default"/>
      </w:rPr>
    </w:lvl>
    <w:lvl w:ilvl="5" w:tentative="1">
      <w:start w:val="1"/>
      <w:numFmt w:val="bullet"/>
      <w:lvlText w:val=""/>
      <w:lvlJc w:val="left"/>
      <w:pPr>
        <w:tabs>
          <w:tab w:val="num" w:pos="5587"/>
        </w:tabs>
        <w:ind w:left="5587" w:hanging="360"/>
      </w:pPr>
      <w:rPr>
        <w:rFonts w:ascii="Wingdings" w:hAnsi="Wingdings" w:hint="default"/>
      </w:rPr>
    </w:lvl>
    <w:lvl w:ilvl="6" w:tentative="1">
      <w:start w:val="1"/>
      <w:numFmt w:val="bullet"/>
      <w:lvlText w:val=""/>
      <w:lvlJc w:val="left"/>
      <w:pPr>
        <w:tabs>
          <w:tab w:val="num" w:pos="6307"/>
        </w:tabs>
        <w:ind w:left="6307" w:hanging="360"/>
      </w:pPr>
      <w:rPr>
        <w:rFonts w:ascii="Symbol" w:hAnsi="Symbol" w:hint="default"/>
      </w:rPr>
    </w:lvl>
    <w:lvl w:ilvl="7" w:tentative="1">
      <w:start w:val="1"/>
      <w:numFmt w:val="bullet"/>
      <w:lvlText w:val="o"/>
      <w:lvlJc w:val="left"/>
      <w:pPr>
        <w:tabs>
          <w:tab w:val="num" w:pos="7027"/>
        </w:tabs>
        <w:ind w:left="7027" w:hanging="360"/>
      </w:pPr>
      <w:rPr>
        <w:rFonts w:ascii="Courier New" w:hAnsi="Courier New" w:hint="default"/>
      </w:rPr>
    </w:lvl>
    <w:lvl w:ilvl="8" w:tentative="1">
      <w:start w:val="1"/>
      <w:numFmt w:val="bullet"/>
      <w:lvlText w:val=""/>
      <w:lvlJc w:val="left"/>
      <w:pPr>
        <w:tabs>
          <w:tab w:val="num" w:pos="7747"/>
        </w:tabs>
        <w:ind w:left="7747" w:hanging="360"/>
      </w:pPr>
      <w:rPr>
        <w:rFonts w:ascii="Wingdings" w:hAnsi="Wingdings" w:hint="default"/>
      </w:rPr>
    </w:lvl>
  </w:abstractNum>
  <w:abstractNum w:abstractNumId="6">
    <w:nsid w:val="256C6312"/>
    <w:multiLevelType w:val="hybridMultilevel"/>
    <w:tmpl w:val="F7C01F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6CD3DE1"/>
    <w:multiLevelType w:val="hybridMultilevel"/>
    <w:tmpl w:val="92C4FB82"/>
    <w:lvl w:ilvl="0">
      <w:start w:val="1"/>
      <w:numFmt w:val="bullet"/>
      <w:lvlText w:val=""/>
      <w:lvlJc w:val="left"/>
      <w:pPr>
        <w:ind w:left="1440" w:hanging="72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6F953E2"/>
    <w:multiLevelType w:val="hybridMultilevel"/>
    <w:tmpl w:val="D22442E2"/>
    <w:lvl w:ilvl="0">
      <w:start w:val="4"/>
      <w:numFmt w:val="lowerRoman"/>
      <w:lvlText w:val="%1."/>
      <w:lvlJc w:val="left"/>
      <w:pPr>
        <w:ind w:left="1440" w:hanging="720"/>
      </w:pPr>
      <w:rPr>
        <w:rFonts w:hint="default"/>
      </w:rPr>
    </w:lvl>
    <w:lvl w:ilvl="1">
      <w:start w:val="1"/>
      <w:numFmt w:val="bullet"/>
      <w:lvlText w:val=""/>
      <w:lvlJc w:val="left"/>
      <w:pPr>
        <w:ind w:left="1987"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C4C0E26"/>
    <w:multiLevelType w:val="hybridMultilevel"/>
    <w:tmpl w:val="F3DE180C"/>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4AD155D"/>
    <w:multiLevelType w:val="hybridMultilevel"/>
    <w:tmpl w:val="255A52AC"/>
    <w:lvl w:ilvl="0">
      <w:start w:val="1"/>
      <w:numFmt w:val="lowerRoman"/>
      <w:lvlText w:val="%1."/>
      <w:lvlJc w:val="left"/>
      <w:pPr>
        <w:ind w:left="1440" w:hanging="72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50240F0"/>
    <w:multiLevelType w:val="hybridMultilevel"/>
    <w:tmpl w:val="531CD08C"/>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5410EFB"/>
    <w:multiLevelType w:val="hybridMultilevel"/>
    <w:tmpl w:val="F9FE0B6A"/>
    <w:lvl w:ilvl="0">
      <w:start w:val="1"/>
      <w:numFmt w:val="bullet"/>
      <w:lvlText w:val=""/>
      <w:lvlJc w:val="left"/>
      <w:pPr>
        <w:tabs>
          <w:tab w:val="num" w:pos="1987"/>
        </w:tabs>
        <w:ind w:left="1987" w:hanging="360"/>
      </w:pPr>
      <w:rPr>
        <w:rFonts w:ascii="Symbol" w:hAnsi="Symbol" w:hint="default"/>
      </w:rPr>
    </w:lvl>
    <w:lvl w:ilvl="1">
      <w:start w:val="1"/>
      <w:numFmt w:val="bullet"/>
      <w:lvlText w:val=""/>
      <w:lvlJc w:val="left"/>
      <w:pPr>
        <w:tabs>
          <w:tab w:val="num" w:pos="3067"/>
        </w:tabs>
        <w:ind w:left="3067" w:hanging="720"/>
      </w:pPr>
      <w:rPr>
        <w:rFonts w:ascii="Symbol" w:hAnsi="Symbol" w:cs="Times New Roman" w:hint="default"/>
        <w:sz w:val="28"/>
      </w:rPr>
    </w:lvl>
    <w:lvl w:ilvl="2" w:tentative="1">
      <w:start w:val="1"/>
      <w:numFmt w:val="bullet"/>
      <w:lvlText w:val=""/>
      <w:lvlJc w:val="left"/>
      <w:pPr>
        <w:tabs>
          <w:tab w:val="num" w:pos="3427"/>
        </w:tabs>
        <w:ind w:left="3427" w:hanging="360"/>
      </w:pPr>
      <w:rPr>
        <w:rFonts w:ascii="Wingdings" w:hAnsi="Wingdings" w:hint="default"/>
      </w:rPr>
    </w:lvl>
    <w:lvl w:ilvl="3" w:tentative="1">
      <w:start w:val="1"/>
      <w:numFmt w:val="bullet"/>
      <w:lvlText w:val=""/>
      <w:lvlJc w:val="left"/>
      <w:pPr>
        <w:tabs>
          <w:tab w:val="num" w:pos="4147"/>
        </w:tabs>
        <w:ind w:left="4147" w:hanging="360"/>
      </w:pPr>
      <w:rPr>
        <w:rFonts w:ascii="Symbol" w:hAnsi="Symbol" w:hint="default"/>
      </w:rPr>
    </w:lvl>
    <w:lvl w:ilvl="4" w:tentative="1">
      <w:start w:val="1"/>
      <w:numFmt w:val="bullet"/>
      <w:lvlText w:val="o"/>
      <w:lvlJc w:val="left"/>
      <w:pPr>
        <w:tabs>
          <w:tab w:val="num" w:pos="4867"/>
        </w:tabs>
        <w:ind w:left="4867" w:hanging="360"/>
      </w:pPr>
      <w:rPr>
        <w:rFonts w:ascii="Courier New" w:hAnsi="Courier New" w:hint="default"/>
      </w:rPr>
    </w:lvl>
    <w:lvl w:ilvl="5" w:tentative="1">
      <w:start w:val="1"/>
      <w:numFmt w:val="bullet"/>
      <w:lvlText w:val=""/>
      <w:lvlJc w:val="left"/>
      <w:pPr>
        <w:tabs>
          <w:tab w:val="num" w:pos="5587"/>
        </w:tabs>
        <w:ind w:left="5587" w:hanging="360"/>
      </w:pPr>
      <w:rPr>
        <w:rFonts w:ascii="Wingdings" w:hAnsi="Wingdings" w:hint="default"/>
      </w:rPr>
    </w:lvl>
    <w:lvl w:ilvl="6" w:tentative="1">
      <w:start w:val="1"/>
      <w:numFmt w:val="bullet"/>
      <w:lvlText w:val=""/>
      <w:lvlJc w:val="left"/>
      <w:pPr>
        <w:tabs>
          <w:tab w:val="num" w:pos="6307"/>
        </w:tabs>
        <w:ind w:left="6307" w:hanging="360"/>
      </w:pPr>
      <w:rPr>
        <w:rFonts w:ascii="Symbol" w:hAnsi="Symbol" w:hint="default"/>
      </w:rPr>
    </w:lvl>
    <w:lvl w:ilvl="7" w:tentative="1">
      <w:start w:val="1"/>
      <w:numFmt w:val="bullet"/>
      <w:lvlText w:val="o"/>
      <w:lvlJc w:val="left"/>
      <w:pPr>
        <w:tabs>
          <w:tab w:val="num" w:pos="7027"/>
        </w:tabs>
        <w:ind w:left="7027" w:hanging="360"/>
      </w:pPr>
      <w:rPr>
        <w:rFonts w:ascii="Courier New" w:hAnsi="Courier New" w:hint="default"/>
      </w:rPr>
    </w:lvl>
    <w:lvl w:ilvl="8" w:tentative="1">
      <w:start w:val="1"/>
      <w:numFmt w:val="bullet"/>
      <w:lvlText w:val=""/>
      <w:lvlJc w:val="left"/>
      <w:pPr>
        <w:tabs>
          <w:tab w:val="num" w:pos="7747"/>
        </w:tabs>
        <w:ind w:left="7747" w:hanging="360"/>
      </w:pPr>
      <w:rPr>
        <w:rFonts w:ascii="Wingdings" w:hAnsi="Wingdings" w:hint="default"/>
      </w:rPr>
    </w:lvl>
  </w:abstractNum>
  <w:abstractNum w:abstractNumId="14">
    <w:nsid w:val="45951FA3"/>
    <w:multiLevelType w:val="hybridMultilevel"/>
    <w:tmpl w:val="1AB059C0"/>
    <w:lvl w:ilvl="0">
      <w:start w:val="1"/>
      <w:numFmt w:val="lowerRoman"/>
      <w:lvlText w:val="%1."/>
      <w:lvlJc w:val="left"/>
      <w:pPr>
        <w:ind w:left="1440" w:hanging="72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8F47C43"/>
    <w:multiLevelType w:val="hybridMultilevel"/>
    <w:tmpl w:val="9090773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49EA497F"/>
    <w:multiLevelType w:val="hybridMultilevel"/>
    <w:tmpl w:val="8DF6B7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FA0529"/>
    <w:multiLevelType w:val="hybridMultilevel"/>
    <w:tmpl w:val="E32CA312"/>
    <w:lvl w:ilvl="0">
      <w:start w:val="1"/>
      <w:numFmt w:val="decimal"/>
      <w:lvlText w:val="%1."/>
      <w:lvlJc w:val="left"/>
      <w:pPr>
        <w:ind w:left="360" w:hanging="360"/>
      </w:pPr>
      <w:rPr>
        <w:b/>
        <w:bCs/>
        <w:i w:val="0"/>
        <w:iCs w:val="0"/>
      </w:r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F2F7B18"/>
    <w:multiLevelType w:val="hybridMultilevel"/>
    <w:tmpl w:val="50B45A7E"/>
    <w:lvl w:ilvl="0">
      <w:start w:val="1"/>
      <w:numFmt w:val="lowerRoman"/>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6400CAD"/>
    <w:multiLevelType w:val="hybridMultilevel"/>
    <w:tmpl w:val="6568C948"/>
    <w:lvl w:ilvl="0">
      <w:start w:val="1"/>
      <w:numFmt w:val="lowerRoman"/>
      <w:lvlText w:val="%1."/>
      <w:lvlJc w:val="left"/>
      <w:pPr>
        <w:ind w:left="1440" w:hanging="72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6BF248D"/>
    <w:multiLevelType w:val="hybridMultilevel"/>
    <w:tmpl w:val="4D74EC0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91A73CC"/>
    <w:multiLevelType w:val="hybridMultilevel"/>
    <w:tmpl w:val="2CECBACA"/>
    <w:lvl w:ilvl="0">
      <w:start w:val="1"/>
      <w:numFmt w:val="bullet"/>
      <w:lvlText w:val=""/>
      <w:lvlJc w:val="left"/>
      <w:pPr>
        <w:tabs>
          <w:tab w:val="num" w:pos="1987"/>
        </w:tabs>
        <w:ind w:left="1987" w:hanging="360"/>
      </w:pPr>
      <w:rPr>
        <w:rFonts w:ascii="Symbol" w:hAnsi="Symbol" w:hint="default"/>
      </w:rPr>
    </w:lvl>
    <w:lvl w:ilvl="1">
      <w:start w:val="1"/>
      <w:numFmt w:val="bullet"/>
      <w:lvlText w:val=""/>
      <w:lvlJc w:val="left"/>
      <w:pPr>
        <w:ind w:left="2707" w:hanging="360"/>
      </w:pPr>
      <w:rPr>
        <w:rFonts w:ascii="Symbol" w:hAnsi="Symbol" w:hint="default"/>
      </w:rPr>
    </w:lvl>
    <w:lvl w:ilvl="2">
      <w:start w:val="1"/>
      <w:numFmt w:val="bullet"/>
      <w:lvlText w:val=""/>
      <w:lvlJc w:val="left"/>
      <w:pPr>
        <w:tabs>
          <w:tab w:val="num" w:pos="3427"/>
        </w:tabs>
        <w:ind w:left="3427" w:hanging="360"/>
      </w:pPr>
      <w:rPr>
        <w:rFonts w:ascii="Wingdings" w:hAnsi="Wingdings" w:hint="default"/>
      </w:rPr>
    </w:lvl>
    <w:lvl w:ilvl="3" w:tentative="1">
      <w:start w:val="1"/>
      <w:numFmt w:val="bullet"/>
      <w:lvlText w:val=""/>
      <w:lvlJc w:val="left"/>
      <w:pPr>
        <w:tabs>
          <w:tab w:val="num" w:pos="4147"/>
        </w:tabs>
        <w:ind w:left="4147" w:hanging="360"/>
      </w:pPr>
      <w:rPr>
        <w:rFonts w:ascii="Symbol" w:hAnsi="Symbol" w:hint="default"/>
      </w:rPr>
    </w:lvl>
    <w:lvl w:ilvl="4" w:tentative="1">
      <w:start w:val="1"/>
      <w:numFmt w:val="bullet"/>
      <w:lvlText w:val="o"/>
      <w:lvlJc w:val="left"/>
      <w:pPr>
        <w:tabs>
          <w:tab w:val="num" w:pos="4867"/>
        </w:tabs>
        <w:ind w:left="4867" w:hanging="360"/>
      </w:pPr>
      <w:rPr>
        <w:rFonts w:ascii="Courier New" w:hAnsi="Courier New" w:hint="default"/>
      </w:rPr>
    </w:lvl>
    <w:lvl w:ilvl="5" w:tentative="1">
      <w:start w:val="1"/>
      <w:numFmt w:val="bullet"/>
      <w:lvlText w:val=""/>
      <w:lvlJc w:val="left"/>
      <w:pPr>
        <w:tabs>
          <w:tab w:val="num" w:pos="5587"/>
        </w:tabs>
        <w:ind w:left="5587" w:hanging="360"/>
      </w:pPr>
      <w:rPr>
        <w:rFonts w:ascii="Wingdings" w:hAnsi="Wingdings" w:hint="default"/>
      </w:rPr>
    </w:lvl>
    <w:lvl w:ilvl="6" w:tentative="1">
      <w:start w:val="1"/>
      <w:numFmt w:val="bullet"/>
      <w:lvlText w:val=""/>
      <w:lvlJc w:val="left"/>
      <w:pPr>
        <w:tabs>
          <w:tab w:val="num" w:pos="6307"/>
        </w:tabs>
        <w:ind w:left="6307" w:hanging="360"/>
      </w:pPr>
      <w:rPr>
        <w:rFonts w:ascii="Symbol" w:hAnsi="Symbol" w:hint="default"/>
      </w:rPr>
    </w:lvl>
    <w:lvl w:ilvl="7" w:tentative="1">
      <w:start w:val="1"/>
      <w:numFmt w:val="bullet"/>
      <w:lvlText w:val="o"/>
      <w:lvlJc w:val="left"/>
      <w:pPr>
        <w:tabs>
          <w:tab w:val="num" w:pos="7027"/>
        </w:tabs>
        <w:ind w:left="7027" w:hanging="360"/>
      </w:pPr>
      <w:rPr>
        <w:rFonts w:ascii="Courier New" w:hAnsi="Courier New" w:hint="default"/>
      </w:rPr>
    </w:lvl>
    <w:lvl w:ilvl="8" w:tentative="1">
      <w:start w:val="1"/>
      <w:numFmt w:val="bullet"/>
      <w:lvlText w:val=""/>
      <w:lvlJc w:val="left"/>
      <w:pPr>
        <w:tabs>
          <w:tab w:val="num" w:pos="7747"/>
        </w:tabs>
        <w:ind w:left="7747" w:hanging="360"/>
      </w:pPr>
      <w:rPr>
        <w:rFonts w:ascii="Wingdings" w:hAnsi="Wingdings" w:hint="default"/>
      </w:rPr>
    </w:lvl>
  </w:abstractNum>
  <w:abstractNum w:abstractNumId="22">
    <w:nsid w:val="5F150092"/>
    <w:multiLevelType w:val="hybridMultilevel"/>
    <w:tmpl w:val="9090773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1344303"/>
    <w:multiLevelType w:val="hybridMultilevel"/>
    <w:tmpl w:val="D9A66596"/>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4">
    <w:nsid w:val="623546CE"/>
    <w:multiLevelType w:val="hybridMultilevel"/>
    <w:tmpl w:val="32D817C0"/>
    <w:lvl w:ilvl="0">
      <w:start w:val="1"/>
      <w:numFmt w:val="lowerRoman"/>
      <w:lvlText w:val="%1."/>
      <w:lvlJc w:val="left"/>
      <w:pPr>
        <w:ind w:left="1440" w:hanging="720"/>
      </w:pPr>
      <w:rPr>
        <w:rFonts w:hint="default"/>
      </w:rPr>
    </w:lvl>
    <w:lvl w:ilvl="1">
      <w:start w:val="1"/>
      <w:numFmt w:val="bullet"/>
      <w:lvlText w:val=""/>
      <w:lvlJc w:val="left"/>
      <w:pPr>
        <w:ind w:left="1987"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2F2360C"/>
    <w:multiLevelType w:val="hybridMultilevel"/>
    <w:tmpl w:val="F3DE180C"/>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FC82A8C"/>
    <w:multiLevelType w:val="hybridMultilevel"/>
    <w:tmpl w:val="6F127D7C"/>
    <w:lvl w:ilvl="0">
      <w:start w:val="1"/>
      <w:numFmt w:val="bullet"/>
      <w:lvlText w:val=""/>
      <w:lvlJc w:val="left"/>
      <w:pPr>
        <w:tabs>
          <w:tab w:val="num" w:pos="1987"/>
        </w:tabs>
        <w:ind w:left="1987" w:hanging="360"/>
      </w:pPr>
      <w:rPr>
        <w:rFonts w:ascii="Symbol" w:hAnsi="Symbol" w:hint="default"/>
      </w:rPr>
    </w:lvl>
    <w:lvl w:ilvl="1">
      <w:start w:val="1"/>
      <w:numFmt w:val="bullet"/>
      <w:lvlText w:val=""/>
      <w:lvlJc w:val="left"/>
      <w:pPr>
        <w:ind w:left="2707" w:hanging="360"/>
      </w:pPr>
      <w:rPr>
        <w:rFonts w:ascii="Symbol" w:hAnsi="Symbol" w:hint="default"/>
      </w:rPr>
    </w:lvl>
    <w:lvl w:ilvl="2" w:tentative="1">
      <w:start w:val="1"/>
      <w:numFmt w:val="bullet"/>
      <w:lvlText w:val=""/>
      <w:lvlJc w:val="left"/>
      <w:pPr>
        <w:tabs>
          <w:tab w:val="num" w:pos="3427"/>
        </w:tabs>
        <w:ind w:left="3427" w:hanging="360"/>
      </w:pPr>
      <w:rPr>
        <w:rFonts w:ascii="Wingdings" w:hAnsi="Wingdings" w:hint="default"/>
      </w:rPr>
    </w:lvl>
    <w:lvl w:ilvl="3" w:tentative="1">
      <w:start w:val="1"/>
      <w:numFmt w:val="bullet"/>
      <w:lvlText w:val=""/>
      <w:lvlJc w:val="left"/>
      <w:pPr>
        <w:tabs>
          <w:tab w:val="num" w:pos="4147"/>
        </w:tabs>
        <w:ind w:left="4147" w:hanging="360"/>
      </w:pPr>
      <w:rPr>
        <w:rFonts w:ascii="Symbol" w:hAnsi="Symbol" w:hint="default"/>
      </w:rPr>
    </w:lvl>
    <w:lvl w:ilvl="4" w:tentative="1">
      <w:start w:val="1"/>
      <w:numFmt w:val="bullet"/>
      <w:lvlText w:val="o"/>
      <w:lvlJc w:val="left"/>
      <w:pPr>
        <w:tabs>
          <w:tab w:val="num" w:pos="4867"/>
        </w:tabs>
        <w:ind w:left="4867" w:hanging="360"/>
      </w:pPr>
      <w:rPr>
        <w:rFonts w:ascii="Courier New" w:hAnsi="Courier New" w:hint="default"/>
      </w:rPr>
    </w:lvl>
    <w:lvl w:ilvl="5" w:tentative="1">
      <w:start w:val="1"/>
      <w:numFmt w:val="bullet"/>
      <w:lvlText w:val=""/>
      <w:lvlJc w:val="left"/>
      <w:pPr>
        <w:tabs>
          <w:tab w:val="num" w:pos="5587"/>
        </w:tabs>
        <w:ind w:left="5587" w:hanging="360"/>
      </w:pPr>
      <w:rPr>
        <w:rFonts w:ascii="Wingdings" w:hAnsi="Wingdings" w:hint="default"/>
      </w:rPr>
    </w:lvl>
    <w:lvl w:ilvl="6" w:tentative="1">
      <w:start w:val="1"/>
      <w:numFmt w:val="bullet"/>
      <w:lvlText w:val=""/>
      <w:lvlJc w:val="left"/>
      <w:pPr>
        <w:tabs>
          <w:tab w:val="num" w:pos="6307"/>
        </w:tabs>
        <w:ind w:left="6307" w:hanging="360"/>
      </w:pPr>
      <w:rPr>
        <w:rFonts w:ascii="Symbol" w:hAnsi="Symbol" w:hint="default"/>
      </w:rPr>
    </w:lvl>
    <w:lvl w:ilvl="7" w:tentative="1">
      <w:start w:val="1"/>
      <w:numFmt w:val="bullet"/>
      <w:lvlText w:val="o"/>
      <w:lvlJc w:val="left"/>
      <w:pPr>
        <w:tabs>
          <w:tab w:val="num" w:pos="7027"/>
        </w:tabs>
        <w:ind w:left="7027" w:hanging="360"/>
      </w:pPr>
      <w:rPr>
        <w:rFonts w:ascii="Courier New" w:hAnsi="Courier New" w:hint="default"/>
      </w:rPr>
    </w:lvl>
    <w:lvl w:ilvl="8" w:tentative="1">
      <w:start w:val="1"/>
      <w:numFmt w:val="bullet"/>
      <w:lvlText w:val=""/>
      <w:lvlJc w:val="left"/>
      <w:pPr>
        <w:tabs>
          <w:tab w:val="num" w:pos="7747"/>
        </w:tabs>
        <w:ind w:left="7747" w:hanging="360"/>
      </w:pPr>
      <w:rPr>
        <w:rFonts w:ascii="Wingdings" w:hAnsi="Wingdings" w:hint="default"/>
      </w:rPr>
    </w:lvl>
  </w:abstractNum>
  <w:abstractNum w:abstractNumId="28">
    <w:nsid w:val="7C2905B1"/>
    <w:multiLevelType w:val="hybridMultilevel"/>
    <w:tmpl w:val="96DE2E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39490726">
    <w:abstractNumId w:val="10"/>
  </w:num>
  <w:num w:numId="2" w16cid:durableId="258569098">
    <w:abstractNumId w:val="17"/>
  </w:num>
  <w:num w:numId="3" w16cid:durableId="1015961391">
    <w:abstractNumId w:val="26"/>
  </w:num>
  <w:num w:numId="4" w16cid:durableId="1658532385">
    <w:abstractNumId w:val="0"/>
    <w:lvlOverride w:ilvl="0">
      <w:startOverride w:val="1"/>
      <w:lvl w:ilvl="0">
        <w:start w:val="1"/>
        <w:numFmt w:val="decimal"/>
        <w:lvlText w:val="·"/>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5" w16cid:durableId="1638803116">
    <w:abstractNumId w:val="2"/>
  </w:num>
  <w:num w:numId="6" w16cid:durableId="59452830">
    <w:abstractNumId w:val="16"/>
  </w:num>
  <w:num w:numId="7" w16cid:durableId="481507385">
    <w:abstractNumId w:val="6"/>
  </w:num>
  <w:num w:numId="8" w16cid:durableId="984696578">
    <w:abstractNumId w:val="1"/>
  </w:num>
  <w:num w:numId="9" w16cid:durableId="980429195">
    <w:abstractNumId w:val="13"/>
  </w:num>
  <w:num w:numId="10" w16cid:durableId="520512133">
    <w:abstractNumId w:val="28"/>
  </w:num>
  <w:num w:numId="11" w16cid:durableId="1746415239">
    <w:abstractNumId w:val="8"/>
  </w:num>
  <w:num w:numId="12" w16cid:durableId="656766500">
    <w:abstractNumId w:val="12"/>
  </w:num>
  <w:num w:numId="13" w16cid:durableId="314142303">
    <w:abstractNumId w:val="25"/>
  </w:num>
  <w:num w:numId="14" w16cid:durableId="767114886">
    <w:abstractNumId w:val="23"/>
  </w:num>
  <w:num w:numId="15" w16cid:durableId="1053583635">
    <w:abstractNumId w:val="20"/>
  </w:num>
  <w:num w:numId="16" w16cid:durableId="432628697">
    <w:abstractNumId w:val="18"/>
  </w:num>
  <w:num w:numId="17" w16cid:durableId="1204904543">
    <w:abstractNumId w:val="5"/>
  </w:num>
  <w:num w:numId="18" w16cid:durableId="1998415646">
    <w:abstractNumId w:val="27"/>
  </w:num>
  <w:num w:numId="19" w16cid:durableId="392655653">
    <w:abstractNumId w:val="21"/>
  </w:num>
  <w:num w:numId="20" w16cid:durableId="359597253">
    <w:abstractNumId w:val="7"/>
  </w:num>
  <w:num w:numId="21" w16cid:durableId="466551750">
    <w:abstractNumId w:val="14"/>
  </w:num>
  <w:num w:numId="22" w16cid:durableId="1267301785">
    <w:abstractNumId w:val="24"/>
  </w:num>
  <w:num w:numId="23" w16cid:durableId="892036113">
    <w:abstractNumId w:val="19"/>
  </w:num>
  <w:num w:numId="24" w16cid:durableId="233786200">
    <w:abstractNumId w:val="3"/>
  </w:num>
  <w:num w:numId="25" w16cid:durableId="1975598182">
    <w:abstractNumId w:val="9"/>
  </w:num>
  <w:num w:numId="26" w16cid:durableId="1140002723">
    <w:abstractNumId w:val="11"/>
  </w:num>
  <w:num w:numId="27" w16cid:durableId="647979245">
    <w:abstractNumId w:val="22"/>
  </w:num>
  <w:num w:numId="28" w16cid:durableId="61875190">
    <w:abstractNumId w:val="15"/>
  </w:num>
  <w:num w:numId="29" w16cid:durableId="122922422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29"/>
    <w:rsid w:val="0000050D"/>
    <w:rsid w:val="0000329D"/>
    <w:rsid w:val="00003D64"/>
    <w:rsid w:val="00004678"/>
    <w:rsid w:val="000069C3"/>
    <w:rsid w:val="00006C95"/>
    <w:rsid w:val="00007FB5"/>
    <w:rsid w:val="00010EEE"/>
    <w:rsid w:val="000129E1"/>
    <w:rsid w:val="00012A7C"/>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5397"/>
    <w:rsid w:val="000461BA"/>
    <w:rsid w:val="00047160"/>
    <w:rsid w:val="000505D2"/>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342"/>
    <w:rsid w:val="00077D8A"/>
    <w:rsid w:val="00082A72"/>
    <w:rsid w:val="00083D4A"/>
    <w:rsid w:val="00084BF3"/>
    <w:rsid w:val="00090627"/>
    <w:rsid w:val="00090750"/>
    <w:rsid w:val="000911D6"/>
    <w:rsid w:val="00091EB4"/>
    <w:rsid w:val="0009219E"/>
    <w:rsid w:val="000925BD"/>
    <w:rsid w:val="00093C11"/>
    <w:rsid w:val="00093C6D"/>
    <w:rsid w:val="00093DC2"/>
    <w:rsid w:val="00094023"/>
    <w:rsid w:val="0009492C"/>
    <w:rsid w:val="00095F01"/>
    <w:rsid w:val="000978FD"/>
    <w:rsid w:val="000A1198"/>
    <w:rsid w:val="000A11F1"/>
    <w:rsid w:val="000A170A"/>
    <w:rsid w:val="000A2DA2"/>
    <w:rsid w:val="000A397C"/>
    <w:rsid w:val="000A4005"/>
    <w:rsid w:val="000A4527"/>
    <w:rsid w:val="000B132F"/>
    <w:rsid w:val="000B3576"/>
    <w:rsid w:val="000B461B"/>
    <w:rsid w:val="000B7BBA"/>
    <w:rsid w:val="000C41A7"/>
    <w:rsid w:val="000C43C8"/>
    <w:rsid w:val="000C52BF"/>
    <w:rsid w:val="000C608D"/>
    <w:rsid w:val="000D0E52"/>
    <w:rsid w:val="000D224E"/>
    <w:rsid w:val="000D251E"/>
    <w:rsid w:val="000D2D5D"/>
    <w:rsid w:val="000D3C22"/>
    <w:rsid w:val="000D45B2"/>
    <w:rsid w:val="000D516A"/>
    <w:rsid w:val="000D5863"/>
    <w:rsid w:val="000D6D3B"/>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24D15"/>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1A1B"/>
    <w:rsid w:val="001636DA"/>
    <w:rsid w:val="00163C69"/>
    <w:rsid w:val="00164169"/>
    <w:rsid w:val="00164222"/>
    <w:rsid w:val="00164696"/>
    <w:rsid w:val="00165275"/>
    <w:rsid w:val="00166B27"/>
    <w:rsid w:val="00170329"/>
    <w:rsid w:val="00170689"/>
    <w:rsid w:val="00170EB8"/>
    <w:rsid w:val="0017193B"/>
    <w:rsid w:val="00171DC0"/>
    <w:rsid w:val="00173422"/>
    <w:rsid w:val="00173E50"/>
    <w:rsid w:val="00176B22"/>
    <w:rsid w:val="00176BA8"/>
    <w:rsid w:val="001775F3"/>
    <w:rsid w:val="00180511"/>
    <w:rsid w:val="00182B0B"/>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0F6"/>
    <w:rsid w:val="001D01BB"/>
    <w:rsid w:val="001D294E"/>
    <w:rsid w:val="001D3CB0"/>
    <w:rsid w:val="001D4594"/>
    <w:rsid w:val="001D47F8"/>
    <w:rsid w:val="001D4CDC"/>
    <w:rsid w:val="001D4D40"/>
    <w:rsid w:val="001D4F2F"/>
    <w:rsid w:val="001D51D8"/>
    <w:rsid w:val="001D5205"/>
    <w:rsid w:val="001D5CED"/>
    <w:rsid w:val="001E0924"/>
    <w:rsid w:val="001E211E"/>
    <w:rsid w:val="001E3A31"/>
    <w:rsid w:val="001E3DB6"/>
    <w:rsid w:val="001E43D7"/>
    <w:rsid w:val="001E4A8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8F0"/>
    <w:rsid w:val="001F7B1A"/>
    <w:rsid w:val="001F7DF2"/>
    <w:rsid w:val="0020142E"/>
    <w:rsid w:val="00201886"/>
    <w:rsid w:val="002018A2"/>
    <w:rsid w:val="002064A4"/>
    <w:rsid w:val="00210F2E"/>
    <w:rsid w:val="00211627"/>
    <w:rsid w:val="002116BC"/>
    <w:rsid w:val="0021345A"/>
    <w:rsid w:val="00213AE6"/>
    <w:rsid w:val="0021437D"/>
    <w:rsid w:val="00215C2A"/>
    <w:rsid w:val="00216C6A"/>
    <w:rsid w:val="00220258"/>
    <w:rsid w:val="00222530"/>
    <w:rsid w:val="0022259D"/>
    <w:rsid w:val="0022416D"/>
    <w:rsid w:val="00224BB3"/>
    <w:rsid w:val="00224D61"/>
    <w:rsid w:val="00224F14"/>
    <w:rsid w:val="00226D49"/>
    <w:rsid w:val="00226DEE"/>
    <w:rsid w:val="0022710C"/>
    <w:rsid w:val="002272EE"/>
    <w:rsid w:val="00227759"/>
    <w:rsid w:val="00230F45"/>
    <w:rsid w:val="00233342"/>
    <w:rsid w:val="002335AB"/>
    <w:rsid w:val="00234B8D"/>
    <w:rsid w:val="00235E79"/>
    <w:rsid w:val="002360BC"/>
    <w:rsid w:val="00236754"/>
    <w:rsid w:val="00240F23"/>
    <w:rsid w:val="0024175E"/>
    <w:rsid w:val="002420F2"/>
    <w:rsid w:val="002455F0"/>
    <w:rsid w:val="0024599B"/>
    <w:rsid w:val="00246A7E"/>
    <w:rsid w:val="00247198"/>
    <w:rsid w:val="0025051F"/>
    <w:rsid w:val="00251151"/>
    <w:rsid w:val="00252A4E"/>
    <w:rsid w:val="00252FE5"/>
    <w:rsid w:val="0025319A"/>
    <w:rsid w:val="0025617C"/>
    <w:rsid w:val="0026050F"/>
    <w:rsid w:val="00260FB7"/>
    <w:rsid w:val="0026268D"/>
    <w:rsid w:val="002648CF"/>
    <w:rsid w:val="00265FE7"/>
    <w:rsid w:val="00270940"/>
    <w:rsid w:val="00271801"/>
    <w:rsid w:val="00271C45"/>
    <w:rsid w:val="00277A03"/>
    <w:rsid w:val="00277D9A"/>
    <w:rsid w:val="0028240D"/>
    <w:rsid w:val="00282EF4"/>
    <w:rsid w:val="0028340E"/>
    <w:rsid w:val="00283764"/>
    <w:rsid w:val="00283AE9"/>
    <w:rsid w:val="00283C66"/>
    <w:rsid w:val="002847BB"/>
    <w:rsid w:val="00285782"/>
    <w:rsid w:val="00285A68"/>
    <w:rsid w:val="00286FA0"/>
    <w:rsid w:val="002875A6"/>
    <w:rsid w:val="00287F94"/>
    <w:rsid w:val="00290000"/>
    <w:rsid w:val="00290BEB"/>
    <w:rsid w:val="00291493"/>
    <w:rsid w:val="00291589"/>
    <w:rsid w:val="0029755D"/>
    <w:rsid w:val="00297AE9"/>
    <w:rsid w:val="002A43D0"/>
    <w:rsid w:val="002A6075"/>
    <w:rsid w:val="002A676B"/>
    <w:rsid w:val="002A6E4E"/>
    <w:rsid w:val="002A7581"/>
    <w:rsid w:val="002A774D"/>
    <w:rsid w:val="002A7860"/>
    <w:rsid w:val="002A78D3"/>
    <w:rsid w:val="002B0036"/>
    <w:rsid w:val="002B4615"/>
    <w:rsid w:val="002B6DD4"/>
    <w:rsid w:val="002B7383"/>
    <w:rsid w:val="002B77A2"/>
    <w:rsid w:val="002C0623"/>
    <w:rsid w:val="002C1434"/>
    <w:rsid w:val="002C1646"/>
    <w:rsid w:val="002C4713"/>
    <w:rsid w:val="002C65D0"/>
    <w:rsid w:val="002C7DDE"/>
    <w:rsid w:val="002D3E1A"/>
    <w:rsid w:val="002E0316"/>
    <w:rsid w:val="002E0999"/>
    <w:rsid w:val="002E2569"/>
    <w:rsid w:val="002E27C5"/>
    <w:rsid w:val="002E5BAD"/>
    <w:rsid w:val="002E6047"/>
    <w:rsid w:val="002E6D1D"/>
    <w:rsid w:val="002F0614"/>
    <w:rsid w:val="002F077A"/>
    <w:rsid w:val="002F10BE"/>
    <w:rsid w:val="002F13DA"/>
    <w:rsid w:val="002F15EB"/>
    <w:rsid w:val="002F16B1"/>
    <w:rsid w:val="002F3CE0"/>
    <w:rsid w:val="002F3E13"/>
    <w:rsid w:val="002F6A76"/>
    <w:rsid w:val="003005BB"/>
    <w:rsid w:val="00302CC9"/>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02E"/>
    <w:rsid w:val="003467C8"/>
    <w:rsid w:val="00347C3C"/>
    <w:rsid w:val="0035079F"/>
    <w:rsid w:val="003527C1"/>
    <w:rsid w:val="00352C25"/>
    <w:rsid w:val="00354F02"/>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0BD5"/>
    <w:rsid w:val="00381000"/>
    <w:rsid w:val="0038330C"/>
    <w:rsid w:val="003848BA"/>
    <w:rsid w:val="003856DC"/>
    <w:rsid w:val="003901B8"/>
    <w:rsid w:val="003A1D0D"/>
    <w:rsid w:val="003A38FB"/>
    <w:rsid w:val="003A41A0"/>
    <w:rsid w:val="003A6BEF"/>
    <w:rsid w:val="003A78D2"/>
    <w:rsid w:val="003B04B9"/>
    <w:rsid w:val="003B0A8F"/>
    <w:rsid w:val="003B153D"/>
    <w:rsid w:val="003B4425"/>
    <w:rsid w:val="003B4D4F"/>
    <w:rsid w:val="003C0DBC"/>
    <w:rsid w:val="003C2B04"/>
    <w:rsid w:val="003C321D"/>
    <w:rsid w:val="003C5284"/>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367D"/>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027"/>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2F87"/>
    <w:rsid w:val="0043515D"/>
    <w:rsid w:val="00436FD0"/>
    <w:rsid w:val="00441783"/>
    <w:rsid w:val="004420DA"/>
    <w:rsid w:val="00444707"/>
    <w:rsid w:val="004455F6"/>
    <w:rsid w:val="00445751"/>
    <w:rsid w:val="004468C2"/>
    <w:rsid w:val="00446B8D"/>
    <w:rsid w:val="00450C44"/>
    <w:rsid w:val="00456E33"/>
    <w:rsid w:val="004600ED"/>
    <w:rsid w:val="004620CA"/>
    <w:rsid w:val="004626AB"/>
    <w:rsid w:val="00463285"/>
    <w:rsid w:val="00464649"/>
    <w:rsid w:val="004656BF"/>
    <w:rsid w:val="00465846"/>
    <w:rsid w:val="00466349"/>
    <w:rsid w:val="00466B43"/>
    <w:rsid w:val="00470E22"/>
    <w:rsid w:val="00472D33"/>
    <w:rsid w:val="00474278"/>
    <w:rsid w:val="00475BA6"/>
    <w:rsid w:val="00477D70"/>
    <w:rsid w:val="00481095"/>
    <w:rsid w:val="004831CC"/>
    <w:rsid w:val="00485567"/>
    <w:rsid w:val="004855BE"/>
    <w:rsid w:val="00486860"/>
    <w:rsid w:val="00490A5F"/>
    <w:rsid w:val="00491CC3"/>
    <w:rsid w:val="00491ED9"/>
    <w:rsid w:val="00495623"/>
    <w:rsid w:val="00496F19"/>
    <w:rsid w:val="0049718B"/>
    <w:rsid w:val="004A0C7A"/>
    <w:rsid w:val="004A2646"/>
    <w:rsid w:val="004A284B"/>
    <w:rsid w:val="004A2961"/>
    <w:rsid w:val="004A2CDE"/>
    <w:rsid w:val="004A3ABF"/>
    <w:rsid w:val="004A48EE"/>
    <w:rsid w:val="004A4B8D"/>
    <w:rsid w:val="004A5B46"/>
    <w:rsid w:val="004A6B13"/>
    <w:rsid w:val="004B0167"/>
    <w:rsid w:val="004B710E"/>
    <w:rsid w:val="004C17A6"/>
    <w:rsid w:val="004C43EA"/>
    <w:rsid w:val="004C443E"/>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1C1"/>
    <w:rsid w:val="005119F4"/>
    <w:rsid w:val="00511DDD"/>
    <w:rsid w:val="00512F2D"/>
    <w:rsid w:val="00513479"/>
    <w:rsid w:val="00515993"/>
    <w:rsid w:val="00517E92"/>
    <w:rsid w:val="00517F46"/>
    <w:rsid w:val="00520209"/>
    <w:rsid w:val="0052059C"/>
    <w:rsid w:val="0052076B"/>
    <w:rsid w:val="00522347"/>
    <w:rsid w:val="00522D23"/>
    <w:rsid w:val="00524059"/>
    <w:rsid w:val="00524E2E"/>
    <w:rsid w:val="005263EC"/>
    <w:rsid w:val="00526DFC"/>
    <w:rsid w:val="00527EB0"/>
    <w:rsid w:val="005303CA"/>
    <w:rsid w:val="00530DF8"/>
    <w:rsid w:val="00531CA7"/>
    <w:rsid w:val="005324A6"/>
    <w:rsid w:val="005346D7"/>
    <w:rsid w:val="00534F66"/>
    <w:rsid w:val="00535D3D"/>
    <w:rsid w:val="00536768"/>
    <w:rsid w:val="005372F7"/>
    <w:rsid w:val="00537322"/>
    <w:rsid w:val="00537401"/>
    <w:rsid w:val="00542227"/>
    <w:rsid w:val="005424B5"/>
    <w:rsid w:val="00542CEE"/>
    <w:rsid w:val="0054317B"/>
    <w:rsid w:val="00543E13"/>
    <w:rsid w:val="00546097"/>
    <w:rsid w:val="00546B65"/>
    <w:rsid w:val="00546FB4"/>
    <w:rsid w:val="005519F6"/>
    <w:rsid w:val="00552A7B"/>
    <w:rsid w:val="00552BE0"/>
    <w:rsid w:val="005544CE"/>
    <w:rsid w:val="00554865"/>
    <w:rsid w:val="0055616B"/>
    <w:rsid w:val="00556D62"/>
    <w:rsid w:val="00557E8F"/>
    <w:rsid w:val="005609B4"/>
    <w:rsid w:val="00560A26"/>
    <w:rsid w:val="00563661"/>
    <w:rsid w:val="005636FA"/>
    <w:rsid w:val="0056373A"/>
    <w:rsid w:val="00564A1B"/>
    <w:rsid w:val="00564BF4"/>
    <w:rsid w:val="00565A5E"/>
    <w:rsid w:val="00566F71"/>
    <w:rsid w:val="00571946"/>
    <w:rsid w:val="00571C92"/>
    <w:rsid w:val="00571D24"/>
    <w:rsid w:val="005723B9"/>
    <w:rsid w:val="005726BA"/>
    <w:rsid w:val="0057299B"/>
    <w:rsid w:val="00574C83"/>
    <w:rsid w:val="005810DF"/>
    <w:rsid w:val="00581958"/>
    <w:rsid w:val="00583101"/>
    <w:rsid w:val="005836B3"/>
    <w:rsid w:val="005845CE"/>
    <w:rsid w:val="00584D72"/>
    <w:rsid w:val="00585FF1"/>
    <w:rsid w:val="0058662D"/>
    <w:rsid w:val="005900C3"/>
    <w:rsid w:val="00590A21"/>
    <w:rsid w:val="005932EC"/>
    <w:rsid w:val="005966D8"/>
    <w:rsid w:val="0059769C"/>
    <w:rsid w:val="005A0F75"/>
    <w:rsid w:val="005A129A"/>
    <w:rsid w:val="005A35B4"/>
    <w:rsid w:val="005A422E"/>
    <w:rsid w:val="005A7235"/>
    <w:rsid w:val="005A7BA6"/>
    <w:rsid w:val="005B057E"/>
    <w:rsid w:val="005B499E"/>
    <w:rsid w:val="005B6A8D"/>
    <w:rsid w:val="005C0E76"/>
    <w:rsid w:val="005C195D"/>
    <w:rsid w:val="005C1E62"/>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01A5"/>
    <w:rsid w:val="00611426"/>
    <w:rsid w:val="00613362"/>
    <w:rsid w:val="006150A3"/>
    <w:rsid w:val="006161DD"/>
    <w:rsid w:val="006164C1"/>
    <w:rsid w:val="0061689C"/>
    <w:rsid w:val="006210DF"/>
    <w:rsid w:val="0062163B"/>
    <w:rsid w:val="00622434"/>
    <w:rsid w:val="00622500"/>
    <w:rsid w:val="00622738"/>
    <w:rsid w:val="00622DBA"/>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096"/>
    <w:rsid w:val="00652B35"/>
    <w:rsid w:val="00652EE5"/>
    <w:rsid w:val="0065454C"/>
    <w:rsid w:val="00660027"/>
    <w:rsid w:val="00660B98"/>
    <w:rsid w:val="00663074"/>
    <w:rsid w:val="00665EAF"/>
    <w:rsid w:val="00666566"/>
    <w:rsid w:val="00666D5A"/>
    <w:rsid w:val="00670897"/>
    <w:rsid w:val="00672A20"/>
    <w:rsid w:val="006737EC"/>
    <w:rsid w:val="006739CE"/>
    <w:rsid w:val="0068304A"/>
    <w:rsid w:val="00683207"/>
    <w:rsid w:val="00686D59"/>
    <w:rsid w:val="00687254"/>
    <w:rsid w:val="0068756E"/>
    <w:rsid w:val="00687583"/>
    <w:rsid w:val="00690B5B"/>
    <w:rsid w:val="00691828"/>
    <w:rsid w:val="00691A07"/>
    <w:rsid w:val="00692B88"/>
    <w:rsid w:val="00693D40"/>
    <w:rsid w:val="006971C6"/>
    <w:rsid w:val="00697598"/>
    <w:rsid w:val="006A01ED"/>
    <w:rsid w:val="006A173F"/>
    <w:rsid w:val="006A1AC5"/>
    <w:rsid w:val="006A231D"/>
    <w:rsid w:val="006A29EB"/>
    <w:rsid w:val="006A6EDB"/>
    <w:rsid w:val="006A7810"/>
    <w:rsid w:val="006B102F"/>
    <w:rsid w:val="006B13F0"/>
    <w:rsid w:val="006B15F9"/>
    <w:rsid w:val="006B18D6"/>
    <w:rsid w:val="006B20E9"/>
    <w:rsid w:val="006B2749"/>
    <w:rsid w:val="006B42B0"/>
    <w:rsid w:val="006B490F"/>
    <w:rsid w:val="006B57A3"/>
    <w:rsid w:val="006B58DB"/>
    <w:rsid w:val="006B6448"/>
    <w:rsid w:val="006B6B7D"/>
    <w:rsid w:val="006B738C"/>
    <w:rsid w:val="006B770D"/>
    <w:rsid w:val="006C1677"/>
    <w:rsid w:val="006C17BB"/>
    <w:rsid w:val="006C35BE"/>
    <w:rsid w:val="006C4CAA"/>
    <w:rsid w:val="006C68A7"/>
    <w:rsid w:val="006C780F"/>
    <w:rsid w:val="006C79DB"/>
    <w:rsid w:val="006D09D6"/>
    <w:rsid w:val="006D1400"/>
    <w:rsid w:val="006D28E0"/>
    <w:rsid w:val="006D419B"/>
    <w:rsid w:val="006D7A1A"/>
    <w:rsid w:val="006E009D"/>
    <w:rsid w:val="006E0122"/>
    <w:rsid w:val="006E0960"/>
    <w:rsid w:val="006E116F"/>
    <w:rsid w:val="006E13FF"/>
    <w:rsid w:val="006E197A"/>
    <w:rsid w:val="006E1DC0"/>
    <w:rsid w:val="006E4817"/>
    <w:rsid w:val="006E4CBF"/>
    <w:rsid w:val="006E6819"/>
    <w:rsid w:val="006E6A2C"/>
    <w:rsid w:val="006E6C7E"/>
    <w:rsid w:val="006E7D37"/>
    <w:rsid w:val="006F1226"/>
    <w:rsid w:val="006F1F1D"/>
    <w:rsid w:val="006F4946"/>
    <w:rsid w:val="00700983"/>
    <w:rsid w:val="007020F8"/>
    <w:rsid w:val="007029CB"/>
    <w:rsid w:val="00702E91"/>
    <w:rsid w:val="00702F36"/>
    <w:rsid w:val="00703FEF"/>
    <w:rsid w:val="00704459"/>
    <w:rsid w:val="007045C4"/>
    <w:rsid w:val="007046A6"/>
    <w:rsid w:val="00704CBA"/>
    <w:rsid w:val="0070548B"/>
    <w:rsid w:val="00706B15"/>
    <w:rsid w:val="00706F41"/>
    <w:rsid w:val="00707CC4"/>
    <w:rsid w:val="00710A21"/>
    <w:rsid w:val="00712749"/>
    <w:rsid w:val="007128E1"/>
    <w:rsid w:val="007139DB"/>
    <w:rsid w:val="00714D14"/>
    <w:rsid w:val="00714E66"/>
    <w:rsid w:val="007167A3"/>
    <w:rsid w:val="00716971"/>
    <w:rsid w:val="00716CE1"/>
    <w:rsid w:val="00716D1D"/>
    <w:rsid w:val="007212AC"/>
    <w:rsid w:val="00724442"/>
    <w:rsid w:val="00724815"/>
    <w:rsid w:val="00726EFA"/>
    <w:rsid w:val="007279D9"/>
    <w:rsid w:val="00732759"/>
    <w:rsid w:val="00732A40"/>
    <w:rsid w:val="007333CD"/>
    <w:rsid w:val="00735197"/>
    <w:rsid w:val="00735C37"/>
    <w:rsid w:val="0073767D"/>
    <w:rsid w:val="0074077E"/>
    <w:rsid w:val="00741CD7"/>
    <w:rsid w:val="00742631"/>
    <w:rsid w:val="00742DE0"/>
    <w:rsid w:val="00743A10"/>
    <w:rsid w:val="00743BAD"/>
    <w:rsid w:val="00745A5F"/>
    <w:rsid w:val="0074674F"/>
    <w:rsid w:val="00746F8F"/>
    <w:rsid w:val="0074733D"/>
    <w:rsid w:val="00747678"/>
    <w:rsid w:val="00747DF4"/>
    <w:rsid w:val="00750796"/>
    <w:rsid w:val="007534F8"/>
    <w:rsid w:val="0075404F"/>
    <w:rsid w:val="007558ED"/>
    <w:rsid w:val="007560F1"/>
    <w:rsid w:val="00762228"/>
    <w:rsid w:val="00763E34"/>
    <w:rsid w:val="00764EF9"/>
    <w:rsid w:val="00765F3B"/>
    <w:rsid w:val="00770A34"/>
    <w:rsid w:val="00770FC4"/>
    <w:rsid w:val="007711BC"/>
    <w:rsid w:val="007713C7"/>
    <w:rsid w:val="00772C87"/>
    <w:rsid w:val="00772D61"/>
    <w:rsid w:val="00775025"/>
    <w:rsid w:val="00776C0D"/>
    <w:rsid w:val="0077747C"/>
    <w:rsid w:val="00780787"/>
    <w:rsid w:val="007837C6"/>
    <w:rsid w:val="007838DA"/>
    <w:rsid w:val="0078463B"/>
    <w:rsid w:val="00784B38"/>
    <w:rsid w:val="007853D4"/>
    <w:rsid w:val="007860F8"/>
    <w:rsid w:val="00786880"/>
    <w:rsid w:val="00791DFE"/>
    <w:rsid w:val="007927B8"/>
    <w:rsid w:val="007937AD"/>
    <w:rsid w:val="00794978"/>
    <w:rsid w:val="00794EC5"/>
    <w:rsid w:val="00796ED4"/>
    <w:rsid w:val="007975D8"/>
    <w:rsid w:val="007A0115"/>
    <w:rsid w:val="007A2883"/>
    <w:rsid w:val="007A2AF5"/>
    <w:rsid w:val="007A3403"/>
    <w:rsid w:val="007A3539"/>
    <w:rsid w:val="007A3C78"/>
    <w:rsid w:val="007A4ADE"/>
    <w:rsid w:val="007A50ED"/>
    <w:rsid w:val="007A5180"/>
    <w:rsid w:val="007A5A6C"/>
    <w:rsid w:val="007A5EE5"/>
    <w:rsid w:val="007A6D8B"/>
    <w:rsid w:val="007B00E3"/>
    <w:rsid w:val="007B14AA"/>
    <w:rsid w:val="007B1952"/>
    <w:rsid w:val="007B22C1"/>
    <w:rsid w:val="007B2A30"/>
    <w:rsid w:val="007B41DD"/>
    <w:rsid w:val="007B5199"/>
    <w:rsid w:val="007B67BB"/>
    <w:rsid w:val="007B74AA"/>
    <w:rsid w:val="007C0C07"/>
    <w:rsid w:val="007C285F"/>
    <w:rsid w:val="007C3A41"/>
    <w:rsid w:val="007C7191"/>
    <w:rsid w:val="007C7392"/>
    <w:rsid w:val="007C7F26"/>
    <w:rsid w:val="007D1451"/>
    <w:rsid w:val="007D1B8B"/>
    <w:rsid w:val="007D2824"/>
    <w:rsid w:val="007D3C4B"/>
    <w:rsid w:val="007D4381"/>
    <w:rsid w:val="007D47D8"/>
    <w:rsid w:val="007D58A8"/>
    <w:rsid w:val="007E0597"/>
    <w:rsid w:val="007E0985"/>
    <w:rsid w:val="007E11F0"/>
    <w:rsid w:val="007E1BD7"/>
    <w:rsid w:val="007E1DEB"/>
    <w:rsid w:val="007E2E4D"/>
    <w:rsid w:val="007E403E"/>
    <w:rsid w:val="007E4B86"/>
    <w:rsid w:val="007E6E0D"/>
    <w:rsid w:val="007E7B1A"/>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2EAA"/>
    <w:rsid w:val="00813155"/>
    <w:rsid w:val="008144DD"/>
    <w:rsid w:val="0081485B"/>
    <w:rsid w:val="00815A4C"/>
    <w:rsid w:val="00816010"/>
    <w:rsid w:val="008201BE"/>
    <w:rsid w:val="008202C9"/>
    <w:rsid w:val="008208CD"/>
    <w:rsid w:val="008219AA"/>
    <w:rsid w:val="00822C18"/>
    <w:rsid w:val="008240E3"/>
    <w:rsid w:val="00824481"/>
    <w:rsid w:val="00824837"/>
    <w:rsid w:val="008257BD"/>
    <w:rsid w:val="00827596"/>
    <w:rsid w:val="0082798D"/>
    <w:rsid w:val="00830F44"/>
    <w:rsid w:val="008310D5"/>
    <w:rsid w:val="008316D7"/>
    <w:rsid w:val="00831944"/>
    <w:rsid w:val="00831B47"/>
    <w:rsid w:val="008343F1"/>
    <w:rsid w:val="008366EC"/>
    <w:rsid w:val="00840AE4"/>
    <w:rsid w:val="008416DF"/>
    <w:rsid w:val="00843263"/>
    <w:rsid w:val="00843BB6"/>
    <w:rsid w:val="008443B3"/>
    <w:rsid w:val="00846433"/>
    <w:rsid w:val="0084668A"/>
    <w:rsid w:val="00850DF4"/>
    <w:rsid w:val="008510C7"/>
    <w:rsid w:val="0085150A"/>
    <w:rsid w:val="0085160F"/>
    <w:rsid w:val="0085327B"/>
    <w:rsid w:val="00853B1E"/>
    <w:rsid w:val="00854AAE"/>
    <w:rsid w:val="00856CDB"/>
    <w:rsid w:val="00860243"/>
    <w:rsid w:val="00862ACA"/>
    <w:rsid w:val="00863109"/>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4951"/>
    <w:rsid w:val="008B5109"/>
    <w:rsid w:val="008B57B0"/>
    <w:rsid w:val="008B6275"/>
    <w:rsid w:val="008B654D"/>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32E"/>
    <w:rsid w:val="00902767"/>
    <w:rsid w:val="00902BB7"/>
    <w:rsid w:val="009048BF"/>
    <w:rsid w:val="00911677"/>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042"/>
    <w:rsid w:val="00927A0F"/>
    <w:rsid w:val="00927A30"/>
    <w:rsid w:val="00927DC6"/>
    <w:rsid w:val="00931E9D"/>
    <w:rsid w:val="009328B3"/>
    <w:rsid w:val="00936A54"/>
    <w:rsid w:val="00937543"/>
    <w:rsid w:val="00937AC9"/>
    <w:rsid w:val="00940B0E"/>
    <w:rsid w:val="00940F81"/>
    <w:rsid w:val="00941552"/>
    <w:rsid w:val="00942B82"/>
    <w:rsid w:val="00943C5A"/>
    <w:rsid w:val="0094400E"/>
    <w:rsid w:val="00944273"/>
    <w:rsid w:val="00944C1D"/>
    <w:rsid w:val="00945D12"/>
    <w:rsid w:val="0095227C"/>
    <w:rsid w:val="009523A7"/>
    <w:rsid w:val="009523F2"/>
    <w:rsid w:val="00952D85"/>
    <w:rsid w:val="00953FB7"/>
    <w:rsid w:val="009551C5"/>
    <w:rsid w:val="00955B7F"/>
    <w:rsid w:val="00956636"/>
    <w:rsid w:val="00961FE9"/>
    <w:rsid w:val="009620C0"/>
    <w:rsid w:val="009628DB"/>
    <w:rsid w:val="00963312"/>
    <w:rsid w:val="0096386A"/>
    <w:rsid w:val="0096508A"/>
    <w:rsid w:val="00965ABF"/>
    <w:rsid w:val="00966E00"/>
    <w:rsid w:val="00971A41"/>
    <w:rsid w:val="00975BE8"/>
    <w:rsid w:val="00976A58"/>
    <w:rsid w:val="00977AA1"/>
    <w:rsid w:val="00980058"/>
    <w:rsid w:val="0098132F"/>
    <w:rsid w:val="00982445"/>
    <w:rsid w:val="00982777"/>
    <w:rsid w:val="00982C40"/>
    <w:rsid w:val="0098375D"/>
    <w:rsid w:val="00986137"/>
    <w:rsid w:val="00986389"/>
    <w:rsid w:val="009872CD"/>
    <w:rsid w:val="009879E6"/>
    <w:rsid w:val="00987A8B"/>
    <w:rsid w:val="00990A46"/>
    <w:rsid w:val="00990AB9"/>
    <w:rsid w:val="00990BF5"/>
    <w:rsid w:val="009912BB"/>
    <w:rsid w:val="009920E2"/>
    <w:rsid w:val="00994217"/>
    <w:rsid w:val="00994618"/>
    <w:rsid w:val="00996CD5"/>
    <w:rsid w:val="00997E71"/>
    <w:rsid w:val="009A0379"/>
    <w:rsid w:val="009A09EC"/>
    <w:rsid w:val="009A0E02"/>
    <w:rsid w:val="009A151F"/>
    <w:rsid w:val="009A24BC"/>
    <w:rsid w:val="009A442C"/>
    <w:rsid w:val="009A55FD"/>
    <w:rsid w:val="009A5631"/>
    <w:rsid w:val="009A5C07"/>
    <w:rsid w:val="009A6AF8"/>
    <w:rsid w:val="009A77E6"/>
    <w:rsid w:val="009A7EF0"/>
    <w:rsid w:val="009B2A92"/>
    <w:rsid w:val="009B3C05"/>
    <w:rsid w:val="009B46F6"/>
    <w:rsid w:val="009B515C"/>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2747"/>
    <w:rsid w:val="009F3011"/>
    <w:rsid w:val="009F45ED"/>
    <w:rsid w:val="00A01F8F"/>
    <w:rsid w:val="00A02D1A"/>
    <w:rsid w:val="00A03078"/>
    <w:rsid w:val="00A0627A"/>
    <w:rsid w:val="00A0740B"/>
    <w:rsid w:val="00A07BF7"/>
    <w:rsid w:val="00A10781"/>
    <w:rsid w:val="00A10C30"/>
    <w:rsid w:val="00A12BD8"/>
    <w:rsid w:val="00A15F64"/>
    <w:rsid w:val="00A233E0"/>
    <w:rsid w:val="00A24F5B"/>
    <w:rsid w:val="00A26353"/>
    <w:rsid w:val="00A26E89"/>
    <w:rsid w:val="00A274B4"/>
    <w:rsid w:val="00A27E5C"/>
    <w:rsid w:val="00A306EB"/>
    <w:rsid w:val="00A31484"/>
    <w:rsid w:val="00A3524E"/>
    <w:rsid w:val="00A352DB"/>
    <w:rsid w:val="00A358CC"/>
    <w:rsid w:val="00A35BC3"/>
    <w:rsid w:val="00A35F5B"/>
    <w:rsid w:val="00A361CE"/>
    <w:rsid w:val="00A409D2"/>
    <w:rsid w:val="00A41B23"/>
    <w:rsid w:val="00A45770"/>
    <w:rsid w:val="00A45865"/>
    <w:rsid w:val="00A5226D"/>
    <w:rsid w:val="00A53BD4"/>
    <w:rsid w:val="00A53C9A"/>
    <w:rsid w:val="00A55764"/>
    <w:rsid w:val="00A55B12"/>
    <w:rsid w:val="00A56766"/>
    <w:rsid w:val="00A56C84"/>
    <w:rsid w:val="00A60384"/>
    <w:rsid w:val="00A6282F"/>
    <w:rsid w:val="00A62AFA"/>
    <w:rsid w:val="00A634E3"/>
    <w:rsid w:val="00A64B54"/>
    <w:rsid w:val="00A67FC6"/>
    <w:rsid w:val="00A68791"/>
    <w:rsid w:val="00A70F3A"/>
    <w:rsid w:val="00A71397"/>
    <w:rsid w:val="00A71F84"/>
    <w:rsid w:val="00A72623"/>
    <w:rsid w:val="00A75BFC"/>
    <w:rsid w:val="00A768D2"/>
    <w:rsid w:val="00A80A27"/>
    <w:rsid w:val="00A816BC"/>
    <w:rsid w:val="00A82647"/>
    <w:rsid w:val="00A83EB5"/>
    <w:rsid w:val="00A8542E"/>
    <w:rsid w:val="00A8593A"/>
    <w:rsid w:val="00A9188B"/>
    <w:rsid w:val="00A91EFC"/>
    <w:rsid w:val="00A94D77"/>
    <w:rsid w:val="00A955EC"/>
    <w:rsid w:val="00A96BD3"/>
    <w:rsid w:val="00A9734E"/>
    <w:rsid w:val="00A975AC"/>
    <w:rsid w:val="00A97EE9"/>
    <w:rsid w:val="00AA26C8"/>
    <w:rsid w:val="00AA2AE3"/>
    <w:rsid w:val="00AA3857"/>
    <w:rsid w:val="00AA4A5E"/>
    <w:rsid w:val="00AA4F24"/>
    <w:rsid w:val="00AA4F6D"/>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9C5"/>
    <w:rsid w:val="00AE7BE7"/>
    <w:rsid w:val="00AE7F4C"/>
    <w:rsid w:val="00AE7FC5"/>
    <w:rsid w:val="00AF0447"/>
    <w:rsid w:val="00AF2486"/>
    <w:rsid w:val="00AF28F1"/>
    <w:rsid w:val="00AF3D20"/>
    <w:rsid w:val="00AF4218"/>
    <w:rsid w:val="00AF59B6"/>
    <w:rsid w:val="00AF6593"/>
    <w:rsid w:val="00AF6F5C"/>
    <w:rsid w:val="00AF709A"/>
    <w:rsid w:val="00B021B7"/>
    <w:rsid w:val="00B027C5"/>
    <w:rsid w:val="00B02874"/>
    <w:rsid w:val="00B04655"/>
    <w:rsid w:val="00B06750"/>
    <w:rsid w:val="00B07337"/>
    <w:rsid w:val="00B11B2A"/>
    <w:rsid w:val="00B13545"/>
    <w:rsid w:val="00B13DEC"/>
    <w:rsid w:val="00B15AEE"/>
    <w:rsid w:val="00B15B9E"/>
    <w:rsid w:val="00B1614A"/>
    <w:rsid w:val="00B222EC"/>
    <w:rsid w:val="00B22810"/>
    <w:rsid w:val="00B22F84"/>
    <w:rsid w:val="00B2326A"/>
    <w:rsid w:val="00B23E0D"/>
    <w:rsid w:val="00B24852"/>
    <w:rsid w:val="00B26757"/>
    <w:rsid w:val="00B31063"/>
    <w:rsid w:val="00B31C31"/>
    <w:rsid w:val="00B37C28"/>
    <w:rsid w:val="00B400AE"/>
    <w:rsid w:val="00B434D7"/>
    <w:rsid w:val="00B45BEF"/>
    <w:rsid w:val="00B47058"/>
    <w:rsid w:val="00B5068E"/>
    <w:rsid w:val="00B51024"/>
    <w:rsid w:val="00B524A9"/>
    <w:rsid w:val="00B524B3"/>
    <w:rsid w:val="00B603E4"/>
    <w:rsid w:val="00B61BF6"/>
    <w:rsid w:val="00B62988"/>
    <w:rsid w:val="00B63B97"/>
    <w:rsid w:val="00B65237"/>
    <w:rsid w:val="00B665FB"/>
    <w:rsid w:val="00B666CD"/>
    <w:rsid w:val="00B67894"/>
    <w:rsid w:val="00B72371"/>
    <w:rsid w:val="00B737EF"/>
    <w:rsid w:val="00B74D25"/>
    <w:rsid w:val="00B7519D"/>
    <w:rsid w:val="00B77C81"/>
    <w:rsid w:val="00B80F76"/>
    <w:rsid w:val="00B818B8"/>
    <w:rsid w:val="00B81A2E"/>
    <w:rsid w:val="00B83587"/>
    <w:rsid w:val="00B8407F"/>
    <w:rsid w:val="00B8491D"/>
    <w:rsid w:val="00B858C8"/>
    <w:rsid w:val="00B85B34"/>
    <w:rsid w:val="00B8742C"/>
    <w:rsid w:val="00B87CF1"/>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33C"/>
    <w:rsid w:val="00BC1522"/>
    <w:rsid w:val="00BC1BF0"/>
    <w:rsid w:val="00BC3541"/>
    <w:rsid w:val="00BC3DD2"/>
    <w:rsid w:val="00BD12E4"/>
    <w:rsid w:val="00BD6B16"/>
    <w:rsid w:val="00BE12E1"/>
    <w:rsid w:val="00BE1B26"/>
    <w:rsid w:val="00BE1F44"/>
    <w:rsid w:val="00BE3D6F"/>
    <w:rsid w:val="00BE43EC"/>
    <w:rsid w:val="00BE4548"/>
    <w:rsid w:val="00BE53BF"/>
    <w:rsid w:val="00BE63D7"/>
    <w:rsid w:val="00BF0CAD"/>
    <w:rsid w:val="00BF144F"/>
    <w:rsid w:val="00BF2700"/>
    <w:rsid w:val="00BF2A34"/>
    <w:rsid w:val="00BF2DF6"/>
    <w:rsid w:val="00BF5699"/>
    <w:rsid w:val="00BF6721"/>
    <w:rsid w:val="00C01A76"/>
    <w:rsid w:val="00C028B9"/>
    <w:rsid w:val="00C02D9A"/>
    <w:rsid w:val="00C033E9"/>
    <w:rsid w:val="00C0389F"/>
    <w:rsid w:val="00C03FE4"/>
    <w:rsid w:val="00C0424F"/>
    <w:rsid w:val="00C04326"/>
    <w:rsid w:val="00C046AD"/>
    <w:rsid w:val="00C054E3"/>
    <w:rsid w:val="00C066B7"/>
    <w:rsid w:val="00C07AAE"/>
    <w:rsid w:val="00C07D74"/>
    <w:rsid w:val="00C110C3"/>
    <w:rsid w:val="00C11ED5"/>
    <w:rsid w:val="00C13401"/>
    <w:rsid w:val="00C13B84"/>
    <w:rsid w:val="00C14B7B"/>
    <w:rsid w:val="00C14D9D"/>
    <w:rsid w:val="00C1628D"/>
    <w:rsid w:val="00C20372"/>
    <w:rsid w:val="00C2356F"/>
    <w:rsid w:val="00C24C6C"/>
    <w:rsid w:val="00C25A7A"/>
    <w:rsid w:val="00C26535"/>
    <w:rsid w:val="00C27150"/>
    <w:rsid w:val="00C30469"/>
    <w:rsid w:val="00C3183C"/>
    <w:rsid w:val="00C32359"/>
    <w:rsid w:val="00C32D5B"/>
    <w:rsid w:val="00C33E98"/>
    <w:rsid w:val="00C347F1"/>
    <w:rsid w:val="00C34842"/>
    <w:rsid w:val="00C36AEE"/>
    <w:rsid w:val="00C36E61"/>
    <w:rsid w:val="00C375CA"/>
    <w:rsid w:val="00C418FD"/>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47EA"/>
    <w:rsid w:val="00C754FD"/>
    <w:rsid w:val="00C76F56"/>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55D6"/>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122"/>
    <w:rsid w:val="00CC43C3"/>
    <w:rsid w:val="00CC43C5"/>
    <w:rsid w:val="00CC43CD"/>
    <w:rsid w:val="00CC4618"/>
    <w:rsid w:val="00CD1614"/>
    <w:rsid w:val="00CD1836"/>
    <w:rsid w:val="00CD275E"/>
    <w:rsid w:val="00CD2EF7"/>
    <w:rsid w:val="00CD38AB"/>
    <w:rsid w:val="00CD4100"/>
    <w:rsid w:val="00CD41E8"/>
    <w:rsid w:val="00CD4338"/>
    <w:rsid w:val="00CD4809"/>
    <w:rsid w:val="00CD5A92"/>
    <w:rsid w:val="00CE0942"/>
    <w:rsid w:val="00CE1EF9"/>
    <w:rsid w:val="00CE2CB1"/>
    <w:rsid w:val="00CE3ACF"/>
    <w:rsid w:val="00CE4292"/>
    <w:rsid w:val="00CE4BFA"/>
    <w:rsid w:val="00CE4DEB"/>
    <w:rsid w:val="00CE4F47"/>
    <w:rsid w:val="00CE5752"/>
    <w:rsid w:val="00CE6F2D"/>
    <w:rsid w:val="00CF23B4"/>
    <w:rsid w:val="00CF242E"/>
    <w:rsid w:val="00CF40DF"/>
    <w:rsid w:val="00CF413A"/>
    <w:rsid w:val="00CF4631"/>
    <w:rsid w:val="00CF5A3C"/>
    <w:rsid w:val="00CF5EFF"/>
    <w:rsid w:val="00D00106"/>
    <w:rsid w:val="00D00D33"/>
    <w:rsid w:val="00D01A8F"/>
    <w:rsid w:val="00D04072"/>
    <w:rsid w:val="00D043F3"/>
    <w:rsid w:val="00D10AE3"/>
    <w:rsid w:val="00D10B82"/>
    <w:rsid w:val="00D12D20"/>
    <w:rsid w:val="00D14A68"/>
    <w:rsid w:val="00D163B0"/>
    <w:rsid w:val="00D17BB9"/>
    <w:rsid w:val="00D210DB"/>
    <w:rsid w:val="00D225E2"/>
    <w:rsid w:val="00D234AD"/>
    <w:rsid w:val="00D24AC0"/>
    <w:rsid w:val="00D26124"/>
    <w:rsid w:val="00D31DCE"/>
    <w:rsid w:val="00D33817"/>
    <w:rsid w:val="00D35C24"/>
    <w:rsid w:val="00D36464"/>
    <w:rsid w:val="00D3799F"/>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64889"/>
    <w:rsid w:val="00D73509"/>
    <w:rsid w:val="00D73DBE"/>
    <w:rsid w:val="00D73E09"/>
    <w:rsid w:val="00D74290"/>
    <w:rsid w:val="00D74E1B"/>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5934"/>
    <w:rsid w:val="00DC6593"/>
    <w:rsid w:val="00DC7EA8"/>
    <w:rsid w:val="00DD0095"/>
    <w:rsid w:val="00DD0261"/>
    <w:rsid w:val="00DD2682"/>
    <w:rsid w:val="00DD35B0"/>
    <w:rsid w:val="00DD4E7A"/>
    <w:rsid w:val="00DD6533"/>
    <w:rsid w:val="00DD7129"/>
    <w:rsid w:val="00DD718B"/>
    <w:rsid w:val="00DE15D8"/>
    <w:rsid w:val="00DE26D9"/>
    <w:rsid w:val="00DE3B54"/>
    <w:rsid w:val="00DE3DF8"/>
    <w:rsid w:val="00DE4E0C"/>
    <w:rsid w:val="00DE50FF"/>
    <w:rsid w:val="00DE60DC"/>
    <w:rsid w:val="00DE68CB"/>
    <w:rsid w:val="00DE7C00"/>
    <w:rsid w:val="00DE7D97"/>
    <w:rsid w:val="00DF0955"/>
    <w:rsid w:val="00DF3AA1"/>
    <w:rsid w:val="00DF4973"/>
    <w:rsid w:val="00DF6030"/>
    <w:rsid w:val="00DF7E5D"/>
    <w:rsid w:val="00E00589"/>
    <w:rsid w:val="00E0220E"/>
    <w:rsid w:val="00E034D9"/>
    <w:rsid w:val="00E03D61"/>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1698"/>
    <w:rsid w:val="00E33FC1"/>
    <w:rsid w:val="00E3518D"/>
    <w:rsid w:val="00E35BF8"/>
    <w:rsid w:val="00E37A2B"/>
    <w:rsid w:val="00E40D81"/>
    <w:rsid w:val="00E42EA6"/>
    <w:rsid w:val="00E439D8"/>
    <w:rsid w:val="00E45FFE"/>
    <w:rsid w:val="00E463E4"/>
    <w:rsid w:val="00E467C2"/>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068"/>
    <w:rsid w:val="00E70167"/>
    <w:rsid w:val="00E705EC"/>
    <w:rsid w:val="00E71E8B"/>
    <w:rsid w:val="00E72DB0"/>
    <w:rsid w:val="00E73765"/>
    <w:rsid w:val="00E73E81"/>
    <w:rsid w:val="00E74511"/>
    <w:rsid w:val="00E75438"/>
    <w:rsid w:val="00E75DBD"/>
    <w:rsid w:val="00E777B0"/>
    <w:rsid w:val="00E77E40"/>
    <w:rsid w:val="00E815E1"/>
    <w:rsid w:val="00E82A70"/>
    <w:rsid w:val="00E833F8"/>
    <w:rsid w:val="00E83D5C"/>
    <w:rsid w:val="00E85622"/>
    <w:rsid w:val="00E87F99"/>
    <w:rsid w:val="00E87FCD"/>
    <w:rsid w:val="00E91C6A"/>
    <w:rsid w:val="00E93C2A"/>
    <w:rsid w:val="00E94E34"/>
    <w:rsid w:val="00E957A4"/>
    <w:rsid w:val="00E963CF"/>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6BE"/>
    <w:rsid w:val="00EB4C2F"/>
    <w:rsid w:val="00EB6D36"/>
    <w:rsid w:val="00EC04E3"/>
    <w:rsid w:val="00EC0D68"/>
    <w:rsid w:val="00EC1141"/>
    <w:rsid w:val="00EC11F9"/>
    <w:rsid w:val="00EC122D"/>
    <w:rsid w:val="00EC1979"/>
    <w:rsid w:val="00EC230D"/>
    <w:rsid w:val="00EC2DEA"/>
    <w:rsid w:val="00EC6B27"/>
    <w:rsid w:val="00EC700B"/>
    <w:rsid w:val="00EC7AEE"/>
    <w:rsid w:val="00ED0082"/>
    <w:rsid w:val="00ED1489"/>
    <w:rsid w:val="00ED1842"/>
    <w:rsid w:val="00ED1C59"/>
    <w:rsid w:val="00ED2C2E"/>
    <w:rsid w:val="00ED31BD"/>
    <w:rsid w:val="00ED3618"/>
    <w:rsid w:val="00ED3C90"/>
    <w:rsid w:val="00ED4385"/>
    <w:rsid w:val="00ED44A3"/>
    <w:rsid w:val="00ED57A4"/>
    <w:rsid w:val="00ED6496"/>
    <w:rsid w:val="00EE038B"/>
    <w:rsid w:val="00EE040E"/>
    <w:rsid w:val="00EE1236"/>
    <w:rsid w:val="00EE2072"/>
    <w:rsid w:val="00EE2403"/>
    <w:rsid w:val="00EE2B2F"/>
    <w:rsid w:val="00EE5AC9"/>
    <w:rsid w:val="00EE68B7"/>
    <w:rsid w:val="00EE7609"/>
    <w:rsid w:val="00EE782C"/>
    <w:rsid w:val="00EF2E9D"/>
    <w:rsid w:val="00EF3B34"/>
    <w:rsid w:val="00EF519E"/>
    <w:rsid w:val="00EF5518"/>
    <w:rsid w:val="00EF71E8"/>
    <w:rsid w:val="00EF765D"/>
    <w:rsid w:val="00EF7A31"/>
    <w:rsid w:val="00EF7B2E"/>
    <w:rsid w:val="00F0015C"/>
    <w:rsid w:val="00F02003"/>
    <w:rsid w:val="00F0705E"/>
    <w:rsid w:val="00F071BE"/>
    <w:rsid w:val="00F07761"/>
    <w:rsid w:val="00F10CEB"/>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16"/>
    <w:rsid w:val="00F34BCA"/>
    <w:rsid w:val="00F36723"/>
    <w:rsid w:val="00F37D13"/>
    <w:rsid w:val="00F405E9"/>
    <w:rsid w:val="00F41108"/>
    <w:rsid w:val="00F43533"/>
    <w:rsid w:val="00F440BC"/>
    <w:rsid w:val="00F462DB"/>
    <w:rsid w:val="00F47EAC"/>
    <w:rsid w:val="00F5019F"/>
    <w:rsid w:val="00F50C29"/>
    <w:rsid w:val="00F51F05"/>
    <w:rsid w:val="00F56114"/>
    <w:rsid w:val="00F573CC"/>
    <w:rsid w:val="00F57A22"/>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87DEA"/>
    <w:rsid w:val="00F904F9"/>
    <w:rsid w:val="00F9080A"/>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1410"/>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44B3"/>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97FAF97"/>
  <w15:docId w15:val="{F2AF1477-78C7-45E4-8F2F-172536BA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aliases w:val=" Char, Char4,ALTS FOOTNOTE,Char,Char2,Char3,Char4,Footnote Text - Preamble,Footnote Text - Preamble1,Footnote Text Char Char,Footnote Text Char Char Char Char,Footnote Text Char Char1,Footnote Text Char1,Footnote Text Char1 Char Char,f,fn"/>
    <w:basedOn w:val="Normal"/>
    <w:link w:val="FootnoteTextChar"/>
    <w:uiPriority w:val="99"/>
    <w:unhideWhenUsed/>
    <w:rsid w:val="005723B9"/>
    <w:pPr>
      <w:spacing w:after="0" w:line="240" w:lineRule="auto"/>
    </w:pPr>
    <w:rPr>
      <w:sz w:val="20"/>
      <w:szCs w:val="20"/>
    </w:rPr>
  </w:style>
  <w:style w:type="character" w:customStyle="1" w:styleId="FootnoteTextChar">
    <w:name w:val="Footnote Text Char"/>
    <w:aliases w:val=" Char Char, Char4 Char,ALTS FOOTNOTE Char,Char Char,Char2 Char,Char3 Char,Char4 Char,Footnote Text - Preamble Char,Footnote Text - Preamble1 Char,Footnote Text Char Char Char,Footnote Text Char Char Char Char Char,f Char,fn Char"/>
    <w:basedOn w:val="DefaultParagraphFont"/>
    <w:link w:val="FootnoteText"/>
    <w:uiPriority w:val="99"/>
    <w:rsid w:val="005723B9"/>
    <w:rPr>
      <w:sz w:val="20"/>
      <w:szCs w:val="20"/>
    </w:rPr>
  </w:style>
  <w:style w:type="character" w:styleId="FootnoteReference">
    <w:name w:val="footnote reference"/>
    <w:basedOn w:val="DefaultParagraphFont"/>
    <w:uiPriority w:val="99"/>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pf0">
    <w:name w:val="pf0"/>
    <w:basedOn w:val="Normal"/>
    <w:rsid w:val="00DD71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D7129"/>
    <w:rPr>
      <w:rFonts w:ascii="Segoe UI" w:hAnsi="Segoe UI" w:cs="Segoe UI" w:hint="default"/>
      <w:b/>
      <w:bCs/>
      <w:sz w:val="18"/>
      <w:szCs w:val="18"/>
    </w:rPr>
  </w:style>
  <w:style w:type="paragraph" w:customStyle="1" w:styleId="Level1">
    <w:name w:val="Level 1"/>
    <w:basedOn w:val="Normal"/>
    <w:rsid w:val="00C13401"/>
    <w:pPr>
      <w:widowControl w:val="0"/>
      <w:spacing w:after="0" w:line="240" w:lineRule="auto"/>
    </w:pPr>
    <w:rPr>
      <w:rFonts w:ascii="Times New Roman" w:eastAsia="Times New Roman" w:hAnsi="Times New Roman" w:cs="Times New Roman"/>
      <w:sz w:val="20"/>
      <w:szCs w:val="20"/>
    </w:rPr>
  </w:style>
  <w:style w:type="character" w:customStyle="1" w:styleId="footnoteref0">
    <w:name w:val="footnote ref"/>
    <w:rsid w:val="00C13401"/>
    <w:rPr>
      <w:sz w:val="24"/>
      <w:vertAlign w:val="superscript"/>
    </w:rPr>
  </w:style>
  <w:style w:type="paragraph" w:customStyle="1" w:styleId="Level2">
    <w:name w:val="Level 2"/>
    <w:basedOn w:val="Normal"/>
    <w:rsid w:val="008B654D"/>
    <w:pPr>
      <w:widowControl w:val="0"/>
      <w:numPr>
        <w:ilvl w:val="1"/>
        <w:numId w:val="4"/>
      </w:numPr>
      <w:autoSpaceDE w:val="0"/>
      <w:autoSpaceDN w:val="0"/>
      <w:adjustRightInd w:val="0"/>
      <w:spacing w:after="0" w:line="240" w:lineRule="auto"/>
      <w:ind w:left="1440" w:hanging="720"/>
      <w:outlineLvl w:val="1"/>
    </w:pPr>
    <w:rPr>
      <w:rFonts w:ascii="Times New Roman" w:eastAsia="Times New Roman" w:hAnsi="Times New Roman" w:cs="Times New Roman"/>
      <w:sz w:val="24"/>
      <w:szCs w:val="24"/>
    </w:rPr>
  </w:style>
  <w:style w:type="paragraph" w:customStyle="1" w:styleId="Default">
    <w:name w:val="Default"/>
    <w:rsid w:val="00F41108"/>
    <w:pPr>
      <w:widowControl w:val="0"/>
      <w:autoSpaceDE w:val="0"/>
      <w:autoSpaceDN w:val="0"/>
      <w:adjustRightInd w:val="0"/>
      <w:spacing w:after="0" w:line="240" w:lineRule="auto"/>
    </w:pPr>
    <w:rPr>
      <w:rFonts w:ascii="Times" w:eastAsia="Times New Roman" w:hAnsi="Times" w:cs="Times"/>
      <w:color w:val="000000"/>
      <w:sz w:val="24"/>
      <w:szCs w:val="24"/>
    </w:rPr>
  </w:style>
  <w:style w:type="paragraph" w:customStyle="1" w:styleId="SmallCircle">
    <w:name w:val="Small Circle"/>
    <w:basedOn w:val="Normal"/>
    <w:rsid w:val="00522347"/>
    <w:pPr>
      <w:widowControl w:val="0"/>
      <w:adjustRightInd w:val="0"/>
      <w:spacing w:after="0" w:line="240" w:lineRule="auto"/>
      <w:ind w:left="1440" w:hanging="720"/>
    </w:pPr>
    <w:rPr>
      <w:rFonts w:ascii="Times New Roman" w:eastAsia="Times New Roman" w:hAnsi="Times New Roman" w:cs="Times New Roman"/>
      <w:sz w:val="24"/>
      <w:szCs w:val="24"/>
    </w:rPr>
  </w:style>
  <w:style w:type="paragraph" w:customStyle="1" w:styleId="BodyTextDSW">
    <w:name w:val="Body Text DSW"/>
    <w:basedOn w:val="Normal"/>
    <w:rsid w:val="00843BB6"/>
    <w:pPr>
      <w:suppressAutoHyphens/>
      <w:autoSpaceDE w:val="0"/>
      <w:spacing w:after="120" w:line="240" w:lineRule="auto"/>
      <w:ind w:firstLine="720"/>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369941d8-ad61-4612-8199-fa251bcdca09">
      <UserInfo>
        <DisplayName/>
        <AccountId xsi:nil="true"/>
        <AccountType/>
      </UserInfo>
    </SharedWithUsers>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29D1FA8590A3468255F3FA7D39B1DA" ma:contentTypeVersion="8" ma:contentTypeDescription="Create a new document." ma:contentTypeScope="" ma:versionID="4ecce23c3f96ea7cff5bdaa933d696ac">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c07eb5e-720c-4c0e-afb7-3f9edc60fc7f" xmlns:ns6="369941d8-ad61-4612-8199-fa251bcdca09" targetNamespace="http://schemas.microsoft.com/office/2006/metadata/properties" ma:root="true" ma:fieldsID="292c560cb096124b334ce2d6d656d32a" ns1:_="" ns2:_="" ns3:_="" ns4:_="" ns5:_="" ns6:_="">
    <xsd:import namespace="http://schemas.microsoft.com/sharepoint/v3"/>
    <xsd:import namespace="4ffa91fb-a0ff-4ac5-b2db-65c790d184a4"/>
    <xsd:import namespace="http://schemas.microsoft.com/sharepoint.v3"/>
    <xsd:import namespace="http://schemas.microsoft.com/sharepoint/v3/fields"/>
    <xsd:import namespace="ac07eb5e-720c-4c0e-afb7-3f9edc60fc7f"/>
    <xsd:import namespace="369941d8-ad61-4612-8199-fa251bcdca0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d0c00c4a-2eec-4eb5-8f29-5755ddae8d62}" ma:internalName="TaxCatchAllLabel" ma:readOnly="true" ma:showField="CatchAllDataLabel" ma:web="369941d8-ad61-4612-8199-fa251bcdca0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d0c00c4a-2eec-4eb5-8f29-5755ddae8d62}" ma:internalName="TaxCatchAll" ma:showField="CatchAllData" ma:web="369941d8-ad61-4612-8199-fa251bcdca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07eb5e-720c-4c0e-afb7-3f9edc60fc7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941d8-ad61-4612-8199-fa251bcdca09"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96fc5250-dc30-4f01-945b-7e46a880eeb3"/>
  </ds:schemaRefs>
</ds:datastoreItem>
</file>

<file path=customXml/itemProps2.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22504ED1-FAD1-4247-AE0C-EFF1B5F39FE6}">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1774</TotalTime>
  <Pages>27</Pages>
  <Words>9005</Words>
  <Characters>51464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60349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Vyas, Peggy</dc:creator>
  <cp:lastModifiedBy>Vyas, Peggy</cp:lastModifiedBy>
  <cp:revision>21</cp:revision>
  <dcterms:created xsi:type="dcterms:W3CDTF">2026-02-12T19:31:00Z</dcterms:created>
  <dcterms:modified xsi:type="dcterms:W3CDTF">2026-04-01T18:59:00Z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0x010100D229D1FA8590A3468255F3FA7D39B1DA</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