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E0648" w14:paraId="6AA29ECD" w14:textId="77777777">
      <w:pPr>
        <w:pStyle w:val="NormalWeb"/>
        <w:jc w:val="center"/>
        <w:rPr>
          <w:rFonts w:ascii="Arial" w:hAnsi="Arial" w:cs="Arial"/>
          <w:b/>
          <w:bCs/>
        </w:rPr>
      </w:pPr>
      <w:r>
        <w:rPr>
          <w:rFonts w:ascii="Arial" w:hAnsi="Arial" w:cs="Arial"/>
          <w:b/>
          <w:bCs/>
        </w:rPr>
        <w:t>Department of Transportation</w:t>
      </w:r>
      <w:r w:rsidR="00DA64FB">
        <w:rPr>
          <w:rFonts w:ascii="Arial" w:hAnsi="Arial" w:cs="Arial"/>
          <w:b/>
          <w:bCs/>
        </w:rPr>
        <w:t xml:space="preserve"> (DOT)</w:t>
      </w:r>
    </w:p>
    <w:p w:rsidR="00CE0648" w14:paraId="7BB3215E" w14:textId="77777777">
      <w:pPr>
        <w:pStyle w:val="NormalWeb"/>
        <w:jc w:val="center"/>
        <w:rPr>
          <w:rFonts w:ascii="Arial" w:hAnsi="Arial" w:cs="Arial"/>
          <w:b/>
          <w:bCs/>
        </w:rPr>
      </w:pPr>
      <w:r>
        <w:rPr>
          <w:rFonts w:ascii="Arial" w:hAnsi="Arial" w:cs="Arial"/>
          <w:b/>
          <w:bCs/>
        </w:rPr>
        <w:t>Federal Highway Admin</w:t>
      </w:r>
      <w:r w:rsidR="00DA64FB">
        <w:rPr>
          <w:rFonts w:ascii="Arial" w:hAnsi="Arial" w:cs="Arial"/>
          <w:b/>
          <w:bCs/>
        </w:rPr>
        <w:t>i</w:t>
      </w:r>
      <w:r>
        <w:rPr>
          <w:rFonts w:ascii="Arial" w:hAnsi="Arial" w:cs="Arial"/>
          <w:b/>
          <w:bCs/>
        </w:rPr>
        <w:t>stration</w:t>
      </w:r>
    </w:p>
    <w:p w:rsidR="00BD1BF2" w14:paraId="22141FDE" w14:textId="69B6385C">
      <w:pPr>
        <w:pStyle w:val="NormalWeb"/>
        <w:jc w:val="center"/>
        <w:rPr>
          <w:rFonts w:ascii="Arial" w:hAnsi="Arial" w:cs="Arial"/>
          <w:b/>
          <w:bCs/>
          <w:sz w:val="20"/>
          <w:szCs w:val="20"/>
        </w:rPr>
      </w:pPr>
      <w:r>
        <w:rPr>
          <w:rFonts w:ascii="Arial" w:hAnsi="Arial" w:cs="Arial"/>
          <w:b/>
          <w:bCs/>
        </w:rPr>
        <w:t>Supporting</w:t>
      </w:r>
      <w:r>
        <w:rPr>
          <w:rFonts w:ascii="Arial" w:hAnsi="Arial" w:cs="Arial"/>
          <w:b/>
          <w:bCs/>
        </w:rPr>
        <w:t xml:space="preserve"> Statemen</w:t>
      </w:r>
      <w:r w:rsidR="00CE0648">
        <w:rPr>
          <w:rFonts w:ascii="Arial" w:hAnsi="Arial" w:cs="Arial"/>
          <w:b/>
          <w:bCs/>
        </w:rPr>
        <w:t>t A</w:t>
      </w:r>
      <w:r>
        <w:rPr>
          <w:rFonts w:ascii="Arial" w:hAnsi="Arial" w:cs="Arial"/>
          <w:b/>
          <w:bCs/>
          <w:sz w:val="20"/>
          <w:szCs w:val="20"/>
        </w:rPr>
        <w:t xml:space="preserve"> </w:t>
      </w:r>
    </w:p>
    <w:p w:rsidR="008442BB" w:rsidRPr="00B111C5" w:rsidP="00B111C5" w14:paraId="01EDFBD4" w14:textId="77777777">
      <w:pPr>
        <w:pStyle w:val="NormalWeb"/>
        <w:jc w:val="center"/>
        <w:rPr>
          <w:rFonts w:ascii="Arial" w:hAnsi="Arial" w:cs="Arial"/>
          <w:b/>
          <w:bCs/>
        </w:rPr>
      </w:pPr>
      <w:r w:rsidRPr="00B111C5">
        <w:rPr>
          <w:rFonts w:ascii="Arial" w:hAnsi="Arial" w:cs="Arial"/>
          <w:b/>
          <w:bCs/>
        </w:rPr>
        <w:t>Performance Measures for Highway Construction Training Program (HCTP) Grant.</w:t>
      </w:r>
    </w:p>
    <w:p w:rsidR="00DA64FB" w14:paraId="0BFC0406" w14:textId="77777777">
      <w:pPr>
        <w:pStyle w:val="NormalWeb"/>
        <w:jc w:val="center"/>
        <w:rPr>
          <w:rFonts w:ascii="Arial" w:hAnsi="Arial" w:cs="Arial"/>
          <w:b/>
          <w:bCs/>
          <w:sz w:val="20"/>
          <w:szCs w:val="20"/>
        </w:rPr>
      </w:pPr>
      <w:r>
        <w:rPr>
          <w:rFonts w:ascii="Arial" w:hAnsi="Arial" w:cs="Arial"/>
          <w:b/>
          <w:bCs/>
          <w:sz w:val="20"/>
          <w:szCs w:val="20"/>
        </w:rPr>
        <w:t xml:space="preserve">OMB Control </w:t>
      </w:r>
      <w:r w:rsidRPr="001E59C5">
        <w:rPr>
          <w:rFonts w:ascii="Arial" w:hAnsi="Arial" w:cs="Arial"/>
          <w:b/>
          <w:bCs/>
          <w:sz w:val="20"/>
          <w:szCs w:val="20"/>
          <w:highlight w:val="yellow"/>
        </w:rPr>
        <w:t>No. 2125-XXXX</w:t>
      </w:r>
    </w:p>
    <w:p w:rsidR="00BD1BF2" w14:paraId="5E331226" w14:textId="77777777"/>
    <w:p w:rsidR="008442BB" w:rsidRPr="008442BB" w:rsidP="008442BB" w14:paraId="5283CD41" w14:textId="079D06D0">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r w:rsidRPr="008442BB">
        <w:rPr>
          <w:rFonts w:ascii="Arial" w:hAnsi="Arial" w:cs="Arial"/>
          <w:sz w:val="20"/>
          <w:szCs w:val="20"/>
        </w:rPr>
        <w:t xml:space="preserve">This information collection request would require direct recipients and State DOTs to collect specific information as required in the NOFO. The purpose of the collection is to ensure that the funds awarded with the approved proposal detailing specific activities and budget constraints are used for the intended purpose of the HCTP grant. The HCTP grants will continue to build on the lessons learned through the Highway Construction Workforce Program (HCWP) and the Strategic Workforce Development (SWD) Initiative.  This opportunity represented $4,226,871 in funding available to applicants at no more than $300,000 for each award. This collection request, included in the NOFO for the HCTP Grant requirements, provides a resource to track the progress of the awarded programs through the period of performance of up to two years.  The following performance measures are quarterly and are as follows: the number of entrants, the number of completed programs, the number of job placements, the median wages at time of hire and their progression at 180 days into the job placement, the number of trainees retained, and, if an educational institution, the number of enrollees in a particular curriculum.  There are two remaining performance measures to be submitted annually.  They are both related to educational institutions and the number of credentials attained with the corresponding skill gains in post-secondary educational opportunities.      </w:t>
      </w:r>
    </w:p>
    <w:p w:rsidR="008442BB" w:rsidRPr="008442BB" w:rsidP="008442BB" w14:paraId="256628E2" w14:textId="77777777">
      <w:pPr>
        <w:pStyle w:val="NormalWeb"/>
        <w:rPr>
          <w:rFonts w:ascii="Arial" w:hAnsi="Arial" w:cs="Arial"/>
          <w:sz w:val="20"/>
          <w:szCs w:val="20"/>
        </w:rPr>
      </w:pPr>
      <w:r w:rsidRPr="008442BB">
        <w:rPr>
          <w:rFonts w:ascii="Arial" w:hAnsi="Arial" w:cs="Arial"/>
          <w:sz w:val="20"/>
          <w:szCs w:val="20"/>
        </w:rPr>
        <w:t xml:space="preserve">This information collection request would require the awardees to maintain records as their activities progress through the period of performance and afterwards for up to three years after the closing out of the project funded with the HCTP Grant money.  The reporting will be quarterly and annually, respectively.   </w:t>
      </w:r>
    </w:p>
    <w:p w:rsidR="00BD1BF2" w14:paraId="77328C0B" w14:textId="5B3B19A7">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BD1BF2" w14:paraId="693386FE" w14:textId="33FD12D7">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r w:rsidRPr="00DA64C8" w:rsidR="00DA64C8">
        <w:rPr>
          <w:rFonts w:ascii="Arial" w:hAnsi="Arial" w:cs="Arial"/>
          <w:sz w:val="20"/>
          <w:szCs w:val="20"/>
        </w:rPr>
        <w:t xml:space="preserve"> </w:t>
      </w:r>
    </w:p>
    <w:p w:rsidR="001204B4" w:rsidRPr="001204B4" w:rsidP="001204B4" w14:paraId="49011003" w14:textId="55A1F9F9">
      <w:pPr>
        <w:pStyle w:val="NormalWeb"/>
        <w:rPr>
          <w:rFonts w:ascii="Arial" w:hAnsi="Arial" w:cs="Arial"/>
          <w:sz w:val="20"/>
          <w:szCs w:val="20"/>
        </w:rPr>
      </w:pPr>
      <w:r w:rsidRPr="001204B4">
        <w:rPr>
          <w:rFonts w:ascii="Arial" w:hAnsi="Arial" w:cs="Arial"/>
          <w:sz w:val="20"/>
          <w:szCs w:val="20"/>
        </w:rPr>
        <w:t xml:space="preserve">The information FHWA proposes to collect in its </w:t>
      </w:r>
      <w:r w:rsidRPr="00DA64C8" w:rsidR="00FB59BF">
        <w:rPr>
          <w:rFonts w:ascii="Arial" w:hAnsi="Arial" w:cs="Arial"/>
          <w:sz w:val="20"/>
          <w:szCs w:val="20"/>
        </w:rPr>
        <w:t>Performance Measures for HCTP Grant</w:t>
      </w:r>
      <w:r w:rsidRPr="001204B4">
        <w:rPr>
          <w:rFonts w:ascii="Arial" w:hAnsi="Arial" w:cs="Arial"/>
          <w:sz w:val="20"/>
          <w:szCs w:val="20"/>
        </w:rPr>
        <w:t xml:space="preserve"> is based on existing requirements found in 23 </w:t>
      </w:r>
      <w:r w:rsidRPr="00DA64C8" w:rsidR="00FB59BF">
        <w:rPr>
          <w:rFonts w:ascii="Arial" w:hAnsi="Arial" w:cs="Arial"/>
          <w:sz w:val="20"/>
          <w:szCs w:val="20"/>
        </w:rPr>
        <w:t>USC 504 (f) (3)</w:t>
      </w:r>
      <w:r w:rsidRPr="001204B4">
        <w:rPr>
          <w:rFonts w:ascii="Arial" w:hAnsi="Arial" w:cs="Arial"/>
          <w:sz w:val="20"/>
          <w:szCs w:val="20"/>
        </w:rPr>
        <w:t xml:space="preserve">; therefore, </w:t>
      </w:r>
      <w:r w:rsidRPr="00DA64C8" w:rsidR="00FB59BF">
        <w:rPr>
          <w:rFonts w:ascii="Arial" w:hAnsi="Arial" w:cs="Arial"/>
          <w:sz w:val="20"/>
          <w:szCs w:val="20"/>
        </w:rPr>
        <w:t>awardees</w:t>
      </w:r>
      <w:r w:rsidRPr="001204B4">
        <w:rPr>
          <w:rFonts w:ascii="Arial" w:hAnsi="Arial" w:cs="Arial"/>
          <w:sz w:val="20"/>
          <w:szCs w:val="20"/>
        </w:rPr>
        <w:t xml:space="preserve"> should have this information readily available. The national picture created by this report will enable FHWA to develop a </w:t>
      </w:r>
      <w:r w:rsidRPr="00DA64C8" w:rsidR="00267CE9">
        <w:rPr>
          <w:rFonts w:ascii="Arial" w:hAnsi="Arial" w:cs="Arial"/>
          <w:sz w:val="20"/>
          <w:szCs w:val="20"/>
        </w:rPr>
        <w:t xml:space="preserve">performance </w:t>
      </w:r>
      <w:r w:rsidRPr="001204B4">
        <w:rPr>
          <w:rFonts w:ascii="Arial" w:hAnsi="Arial" w:cs="Arial"/>
          <w:sz w:val="20"/>
          <w:szCs w:val="20"/>
        </w:rPr>
        <w:t>response strategy to improve its allocation of technical assistance resources</w:t>
      </w:r>
      <w:r w:rsidRPr="00DA64C8" w:rsidR="00267CE9">
        <w:rPr>
          <w:rFonts w:ascii="Arial" w:hAnsi="Arial" w:cs="Arial"/>
          <w:sz w:val="20"/>
          <w:szCs w:val="20"/>
        </w:rPr>
        <w:t xml:space="preserve"> and further assist the</w:t>
      </w:r>
      <w:r w:rsidRPr="00DA64C8" w:rsidR="00F4382A">
        <w:rPr>
          <w:rFonts w:ascii="Arial" w:hAnsi="Arial" w:cs="Arial"/>
          <w:sz w:val="20"/>
          <w:szCs w:val="20"/>
        </w:rPr>
        <w:t xml:space="preserve"> </w:t>
      </w:r>
      <w:r w:rsidRPr="00DA64C8" w:rsidR="00267CE9">
        <w:rPr>
          <w:rFonts w:ascii="Arial" w:hAnsi="Arial" w:cs="Arial"/>
          <w:sz w:val="20"/>
          <w:szCs w:val="20"/>
        </w:rPr>
        <w:t xml:space="preserve">industry in filling the </w:t>
      </w:r>
      <w:r w:rsidRPr="00DA64C8" w:rsidR="00F4382A">
        <w:rPr>
          <w:rFonts w:ascii="Arial" w:hAnsi="Arial" w:cs="Arial"/>
          <w:sz w:val="20"/>
          <w:szCs w:val="20"/>
        </w:rPr>
        <w:t xml:space="preserve">ever-growing </w:t>
      </w:r>
      <w:r w:rsidRPr="00DA64C8" w:rsidR="00267CE9">
        <w:rPr>
          <w:rFonts w:ascii="Arial" w:hAnsi="Arial" w:cs="Arial"/>
          <w:sz w:val="20"/>
          <w:szCs w:val="20"/>
        </w:rPr>
        <w:t>employment need</w:t>
      </w:r>
      <w:r w:rsidRPr="001204B4">
        <w:rPr>
          <w:rFonts w:ascii="Arial" w:hAnsi="Arial" w:cs="Arial"/>
          <w:sz w:val="20"/>
          <w:szCs w:val="20"/>
        </w:rPr>
        <w:t xml:space="preserve">. The information collected will also facilitate coordination </w:t>
      </w:r>
      <w:r w:rsidRPr="00DA64C8" w:rsidR="00C3655F">
        <w:rPr>
          <w:rFonts w:ascii="Arial" w:hAnsi="Arial" w:cs="Arial"/>
          <w:sz w:val="20"/>
          <w:szCs w:val="20"/>
        </w:rPr>
        <w:t xml:space="preserve">among many of the program office specialties, </w:t>
      </w:r>
      <w:r w:rsidRPr="00DA64C8" w:rsidR="00F06E53">
        <w:rPr>
          <w:rFonts w:ascii="Arial" w:hAnsi="Arial" w:cs="Arial"/>
          <w:sz w:val="20"/>
          <w:szCs w:val="20"/>
        </w:rPr>
        <w:t>including</w:t>
      </w:r>
      <w:r w:rsidRPr="00DA64C8" w:rsidR="00C3655F">
        <w:rPr>
          <w:rFonts w:ascii="Arial" w:hAnsi="Arial" w:cs="Arial"/>
          <w:sz w:val="20"/>
          <w:szCs w:val="20"/>
        </w:rPr>
        <w:t xml:space="preserve"> but not limited to,</w:t>
      </w:r>
      <w:r w:rsidRPr="001204B4">
        <w:rPr>
          <w:rFonts w:ascii="Arial" w:hAnsi="Arial" w:cs="Arial"/>
          <w:sz w:val="20"/>
          <w:szCs w:val="20"/>
        </w:rPr>
        <w:t xml:space="preserve"> </w:t>
      </w:r>
      <w:r w:rsidRPr="00DA64C8" w:rsidR="00F4382A">
        <w:rPr>
          <w:rFonts w:ascii="Arial" w:hAnsi="Arial" w:cs="Arial"/>
          <w:sz w:val="20"/>
          <w:szCs w:val="20"/>
        </w:rPr>
        <w:t>the</w:t>
      </w:r>
      <w:r w:rsidRPr="00DA64C8" w:rsidR="003B67D0">
        <w:rPr>
          <w:rFonts w:ascii="Arial" w:hAnsi="Arial" w:cs="Arial"/>
          <w:sz w:val="20"/>
          <w:szCs w:val="20"/>
        </w:rPr>
        <w:t xml:space="preserve"> Office of Infrastructure’s</w:t>
      </w:r>
      <w:r w:rsidRPr="00DA64C8" w:rsidR="00092D52">
        <w:rPr>
          <w:rFonts w:ascii="Arial" w:hAnsi="Arial" w:cs="Arial"/>
          <w:sz w:val="20"/>
          <w:szCs w:val="20"/>
        </w:rPr>
        <w:t xml:space="preserve"> (HIF)</w:t>
      </w:r>
      <w:r w:rsidRPr="00DA64C8" w:rsidR="00F4382A">
        <w:rPr>
          <w:rFonts w:ascii="Arial" w:hAnsi="Arial" w:cs="Arial"/>
          <w:sz w:val="20"/>
          <w:szCs w:val="20"/>
        </w:rPr>
        <w:t xml:space="preserve"> Construction </w:t>
      </w:r>
      <w:r w:rsidRPr="00DA64C8" w:rsidR="00C17627">
        <w:rPr>
          <w:rFonts w:ascii="Arial" w:hAnsi="Arial" w:cs="Arial"/>
          <w:sz w:val="20"/>
          <w:szCs w:val="20"/>
        </w:rPr>
        <w:t xml:space="preserve">Team, the </w:t>
      </w:r>
      <w:r w:rsidRPr="00DA64C8" w:rsidR="00FE29BF">
        <w:rPr>
          <w:rFonts w:ascii="Arial" w:hAnsi="Arial" w:cs="Arial"/>
          <w:sz w:val="20"/>
          <w:szCs w:val="20"/>
        </w:rPr>
        <w:t xml:space="preserve">Office of </w:t>
      </w:r>
      <w:r w:rsidRPr="00DA64C8" w:rsidR="00C17627">
        <w:rPr>
          <w:rFonts w:ascii="Arial" w:hAnsi="Arial" w:cs="Arial"/>
          <w:sz w:val="20"/>
          <w:szCs w:val="20"/>
        </w:rPr>
        <w:t>Safety Team</w:t>
      </w:r>
      <w:r w:rsidRPr="00DA64C8" w:rsidR="00FE29BF">
        <w:rPr>
          <w:rFonts w:ascii="Arial" w:hAnsi="Arial" w:cs="Arial"/>
          <w:sz w:val="20"/>
          <w:szCs w:val="20"/>
        </w:rPr>
        <w:t xml:space="preserve">, </w:t>
      </w:r>
      <w:r w:rsidRPr="00DA64C8" w:rsidR="00092D52">
        <w:rPr>
          <w:rFonts w:ascii="Arial" w:hAnsi="Arial" w:cs="Arial"/>
          <w:sz w:val="20"/>
          <w:szCs w:val="20"/>
        </w:rPr>
        <w:t xml:space="preserve">HIF’s </w:t>
      </w:r>
      <w:r w:rsidRPr="00DA64C8" w:rsidR="00FE29BF">
        <w:rPr>
          <w:rFonts w:ascii="Arial" w:hAnsi="Arial" w:cs="Arial"/>
          <w:sz w:val="20"/>
          <w:szCs w:val="20"/>
        </w:rPr>
        <w:t xml:space="preserve">Preconstruction </w:t>
      </w:r>
      <w:r w:rsidRPr="00DA64C8" w:rsidR="00DA64C8">
        <w:rPr>
          <w:rFonts w:ascii="Arial" w:hAnsi="Arial" w:cs="Arial"/>
          <w:sz w:val="20"/>
          <w:szCs w:val="20"/>
        </w:rPr>
        <w:t>Team, HIF’s</w:t>
      </w:r>
      <w:r w:rsidRPr="00DA64C8" w:rsidR="00C3655F">
        <w:rPr>
          <w:rFonts w:ascii="Arial" w:hAnsi="Arial" w:cs="Arial"/>
          <w:sz w:val="20"/>
          <w:szCs w:val="20"/>
        </w:rPr>
        <w:t xml:space="preserve"> Office of Bridges and </w:t>
      </w:r>
      <w:r w:rsidRPr="00DA64C8" w:rsidR="009B40D1">
        <w:rPr>
          <w:rFonts w:ascii="Arial" w:hAnsi="Arial" w:cs="Arial"/>
          <w:sz w:val="20"/>
          <w:szCs w:val="20"/>
        </w:rPr>
        <w:t xml:space="preserve">Structures, </w:t>
      </w:r>
      <w:r w:rsidRPr="00DA64C8" w:rsidR="00C17627">
        <w:rPr>
          <w:rFonts w:ascii="Arial" w:hAnsi="Arial" w:cs="Arial"/>
          <w:sz w:val="20"/>
          <w:szCs w:val="20"/>
        </w:rPr>
        <w:t>the Innovative Program Team</w:t>
      </w:r>
      <w:r w:rsidR="00C23303">
        <w:rPr>
          <w:rFonts w:ascii="Arial" w:hAnsi="Arial" w:cs="Arial"/>
          <w:sz w:val="20"/>
          <w:szCs w:val="20"/>
        </w:rPr>
        <w:t xml:space="preserve"> and the </w:t>
      </w:r>
      <w:r w:rsidR="002D428D">
        <w:rPr>
          <w:rFonts w:ascii="Arial" w:hAnsi="Arial" w:cs="Arial"/>
          <w:sz w:val="20"/>
          <w:szCs w:val="20"/>
        </w:rPr>
        <w:t>National Highway Institute</w:t>
      </w:r>
      <w:r w:rsidRPr="001204B4">
        <w:rPr>
          <w:rFonts w:ascii="Arial" w:hAnsi="Arial" w:cs="Arial"/>
          <w:sz w:val="20"/>
          <w:szCs w:val="20"/>
        </w:rPr>
        <w:t xml:space="preserve"> concerning the implementation of </w:t>
      </w:r>
      <w:r w:rsidRPr="00DA64C8" w:rsidR="00674437">
        <w:rPr>
          <w:rFonts w:ascii="Arial" w:hAnsi="Arial" w:cs="Arial"/>
          <w:sz w:val="20"/>
          <w:szCs w:val="20"/>
        </w:rPr>
        <w:t>further training opportunities</w:t>
      </w:r>
      <w:r w:rsidRPr="001204B4">
        <w:rPr>
          <w:rFonts w:ascii="Arial" w:hAnsi="Arial" w:cs="Arial"/>
          <w:sz w:val="20"/>
          <w:szCs w:val="20"/>
        </w:rPr>
        <w:t>.</w:t>
      </w:r>
    </w:p>
    <w:p w:rsidR="001204B4" w:rsidP="001204B4" w14:paraId="48D01057" w14:textId="1EB1380F">
      <w:pPr>
        <w:pStyle w:val="NormalWeb"/>
        <w:rPr>
          <w:rFonts w:ascii="Arial" w:hAnsi="Arial" w:cs="Arial"/>
          <w:sz w:val="20"/>
          <w:szCs w:val="20"/>
        </w:rPr>
      </w:pPr>
      <w:r w:rsidRPr="001204B4">
        <w:rPr>
          <w:rFonts w:ascii="Arial" w:hAnsi="Arial" w:cs="Arial"/>
          <w:sz w:val="20"/>
          <w:szCs w:val="20"/>
        </w:rPr>
        <w:t xml:space="preserve">FHWA’s implementation of the </w:t>
      </w:r>
      <w:r w:rsidRPr="00DA64C8" w:rsidR="004F52ED">
        <w:rPr>
          <w:rFonts w:ascii="Arial" w:hAnsi="Arial" w:cs="Arial"/>
          <w:sz w:val="20"/>
          <w:szCs w:val="20"/>
        </w:rPr>
        <w:t>collection of the performance measures data</w:t>
      </w:r>
      <w:r w:rsidRPr="001204B4">
        <w:rPr>
          <w:rFonts w:ascii="Arial" w:hAnsi="Arial" w:cs="Arial"/>
          <w:sz w:val="20"/>
          <w:szCs w:val="20"/>
        </w:rPr>
        <w:t xml:space="preserve"> supports the USDOT/FHWA strategic goal of Accountability. By providing this reporting format along with other </w:t>
      </w:r>
      <w:r w:rsidRPr="001204B4">
        <w:rPr>
          <w:rFonts w:ascii="Arial" w:hAnsi="Arial" w:cs="Arial"/>
          <w:sz w:val="20"/>
          <w:szCs w:val="20"/>
        </w:rPr>
        <w:t xml:space="preserve">resources, FHWA aims to improve its stewardship and oversight of </w:t>
      </w:r>
      <w:r w:rsidRPr="00DA64C8" w:rsidR="007069A7">
        <w:rPr>
          <w:rFonts w:ascii="Arial" w:hAnsi="Arial" w:cs="Arial"/>
          <w:sz w:val="20"/>
          <w:szCs w:val="20"/>
        </w:rPr>
        <w:t xml:space="preserve">workforce development supported by the Administration through the execution of Executive Order </w:t>
      </w:r>
      <w:r w:rsidRPr="00DA64C8" w:rsidR="002B7BFD">
        <w:rPr>
          <w:rFonts w:ascii="Arial" w:hAnsi="Arial" w:cs="Arial"/>
          <w:sz w:val="20"/>
          <w:szCs w:val="20"/>
        </w:rPr>
        <w:t>14210</w:t>
      </w:r>
      <w:r w:rsidRPr="001204B4">
        <w:rPr>
          <w:rFonts w:ascii="Arial" w:hAnsi="Arial" w:cs="Arial"/>
          <w:sz w:val="20"/>
          <w:szCs w:val="20"/>
        </w:rPr>
        <w:t>, while ensuring State DOTs are making effective investments in workforce development.</w:t>
      </w:r>
    </w:p>
    <w:p w:rsidR="00BD1BF2" w14:paraId="2B0FC6CB" w14:textId="35072F0C">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r w:rsidR="00532EDA">
        <w:rPr>
          <w:rFonts w:ascii="Arial" w:hAnsi="Arial" w:cs="Arial"/>
          <w:sz w:val="20"/>
          <w:szCs w:val="20"/>
        </w:rPr>
        <w:t xml:space="preserve">  </w:t>
      </w:r>
      <w:bookmarkStart w:id="0" w:name="_Hlk226742171"/>
    </w:p>
    <w:bookmarkEnd w:id="0"/>
    <w:p w:rsidR="00BD1BF2" w:rsidRPr="00532EDA" w14:paraId="174A159E" w14:textId="457DE5A5">
      <w:pPr>
        <w:rPr>
          <w:rFonts w:ascii="Arial" w:hAnsi="Arial" w:cs="Arial"/>
          <w:sz w:val="20"/>
          <w:szCs w:val="20"/>
        </w:rPr>
      </w:pPr>
      <w:r w:rsidRPr="00532EDA">
        <w:rPr>
          <w:rFonts w:ascii="Arial" w:hAnsi="Arial" w:cs="Arial"/>
          <w:sz w:val="20"/>
          <w:szCs w:val="20"/>
        </w:rPr>
        <w:t>How</w:t>
      </w:r>
      <w:r w:rsidRPr="00532EDA" w:rsidR="00F55356">
        <w:rPr>
          <w:rFonts w:ascii="Arial" w:hAnsi="Arial" w:cs="Arial"/>
          <w:sz w:val="20"/>
          <w:szCs w:val="20"/>
        </w:rPr>
        <w:t>: The</w:t>
      </w:r>
      <w:r w:rsidRPr="00532EDA">
        <w:rPr>
          <w:rFonts w:ascii="Arial" w:hAnsi="Arial" w:cs="Arial"/>
          <w:sz w:val="20"/>
          <w:szCs w:val="20"/>
        </w:rPr>
        <w:t xml:space="preserve"> HCTP Grant Performance Measures are to be collected through an automated system </w:t>
      </w:r>
      <w:r w:rsidRPr="00532EDA" w:rsidR="002A112E">
        <w:rPr>
          <w:rFonts w:ascii="Arial" w:hAnsi="Arial" w:cs="Arial"/>
          <w:sz w:val="20"/>
          <w:szCs w:val="20"/>
        </w:rPr>
        <w:t>using the Microsoft Forms App platform.</w:t>
      </w:r>
      <w:r w:rsidRPr="00532EDA" w:rsidR="00871228">
        <w:rPr>
          <w:rFonts w:ascii="Arial" w:hAnsi="Arial" w:cs="Arial"/>
          <w:sz w:val="20"/>
          <w:szCs w:val="20"/>
        </w:rPr>
        <w:t xml:space="preserve">  The quarterly and annual mandated collection specified in the NOFO and the approved grant agreements signed by each </w:t>
      </w:r>
      <w:r w:rsidRPr="00532EDA" w:rsidR="001106E3">
        <w:rPr>
          <w:rFonts w:ascii="Arial" w:hAnsi="Arial" w:cs="Arial"/>
          <w:sz w:val="20"/>
          <w:szCs w:val="20"/>
        </w:rPr>
        <w:t xml:space="preserve">awarded recipient </w:t>
      </w:r>
      <w:r w:rsidRPr="00532EDA" w:rsidR="00F55356">
        <w:rPr>
          <w:rFonts w:ascii="Arial" w:hAnsi="Arial" w:cs="Arial"/>
          <w:sz w:val="20"/>
          <w:szCs w:val="20"/>
        </w:rPr>
        <w:t>specify</w:t>
      </w:r>
      <w:r w:rsidRPr="00532EDA" w:rsidR="001106E3">
        <w:rPr>
          <w:rFonts w:ascii="Arial" w:hAnsi="Arial" w:cs="Arial"/>
          <w:sz w:val="20"/>
          <w:szCs w:val="20"/>
        </w:rPr>
        <w:t xml:space="preserve"> the submission of these detailed performance measures.</w:t>
      </w:r>
    </w:p>
    <w:p w:rsidR="00410092" w:rsidRPr="00532EDA" w14:paraId="162E1771" w14:textId="77777777">
      <w:pPr>
        <w:rPr>
          <w:rFonts w:ascii="Arial" w:hAnsi="Arial" w:cs="Arial"/>
          <w:sz w:val="20"/>
          <w:szCs w:val="20"/>
        </w:rPr>
      </w:pPr>
    </w:p>
    <w:p w:rsidR="00410092" w:rsidRPr="00532EDA" w14:paraId="77A131AD" w14:textId="556A4C5A">
      <w:pPr>
        <w:rPr>
          <w:rFonts w:ascii="Arial" w:hAnsi="Arial" w:cs="Arial"/>
          <w:sz w:val="20"/>
          <w:szCs w:val="20"/>
        </w:rPr>
      </w:pPr>
      <w:r w:rsidRPr="00532EDA">
        <w:rPr>
          <w:rFonts w:ascii="Arial" w:hAnsi="Arial" w:cs="Arial"/>
          <w:sz w:val="20"/>
          <w:szCs w:val="20"/>
        </w:rPr>
        <w:t xml:space="preserve">By </w:t>
      </w:r>
      <w:r w:rsidRPr="00532EDA" w:rsidR="00382442">
        <w:rPr>
          <w:rFonts w:ascii="Arial" w:hAnsi="Arial" w:cs="Arial"/>
          <w:sz w:val="20"/>
          <w:szCs w:val="20"/>
        </w:rPr>
        <w:t>Whom</w:t>
      </w:r>
      <w:r w:rsidRPr="00532EDA">
        <w:rPr>
          <w:rFonts w:ascii="Arial" w:hAnsi="Arial" w:cs="Arial"/>
          <w:sz w:val="20"/>
          <w:szCs w:val="20"/>
        </w:rPr>
        <w:t xml:space="preserve">: The Office of </w:t>
      </w:r>
      <w:r w:rsidRPr="00532EDA" w:rsidR="00686B1A">
        <w:rPr>
          <w:rFonts w:ascii="Arial" w:hAnsi="Arial" w:cs="Arial"/>
          <w:sz w:val="20"/>
          <w:szCs w:val="20"/>
        </w:rPr>
        <w:t>Infrastructure</w:t>
      </w:r>
      <w:r w:rsidRPr="00532EDA">
        <w:rPr>
          <w:rFonts w:ascii="Arial" w:hAnsi="Arial" w:cs="Arial"/>
          <w:sz w:val="20"/>
          <w:szCs w:val="20"/>
        </w:rPr>
        <w:t xml:space="preserve"> Construction Team will be collecting </w:t>
      </w:r>
      <w:r w:rsidRPr="00532EDA" w:rsidR="00532EDA">
        <w:rPr>
          <w:rFonts w:ascii="Arial" w:hAnsi="Arial" w:cs="Arial"/>
          <w:sz w:val="20"/>
          <w:szCs w:val="20"/>
        </w:rPr>
        <w:t>data</w:t>
      </w:r>
      <w:r w:rsidRPr="00532EDA">
        <w:rPr>
          <w:rFonts w:ascii="Arial" w:hAnsi="Arial" w:cs="Arial"/>
          <w:sz w:val="20"/>
          <w:szCs w:val="20"/>
        </w:rPr>
        <w:t xml:space="preserve"> for analysis to ensure that the </w:t>
      </w:r>
      <w:r w:rsidRPr="00532EDA" w:rsidR="002A608A">
        <w:rPr>
          <w:rFonts w:ascii="Arial" w:hAnsi="Arial" w:cs="Arial"/>
          <w:sz w:val="20"/>
          <w:szCs w:val="20"/>
        </w:rPr>
        <w:t xml:space="preserve">curriculum development </w:t>
      </w:r>
      <w:r w:rsidRPr="00532EDA">
        <w:rPr>
          <w:rFonts w:ascii="Arial" w:hAnsi="Arial" w:cs="Arial"/>
          <w:sz w:val="20"/>
          <w:szCs w:val="20"/>
        </w:rPr>
        <w:t xml:space="preserve">programs approved </w:t>
      </w:r>
      <w:r w:rsidRPr="00532EDA" w:rsidR="000F1B88">
        <w:rPr>
          <w:rFonts w:ascii="Arial" w:hAnsi="Arial" w:cs="Arial"/>
          <w:sz w:val="20"/>
          <w:szCs w:val="20"/>
        </w:rPr>
        <w:t xml:space="preserve">for funding are, in fact, building on the progress made </w:t>
      </w:r>
      <w:r w:rsidRPr="00532EDA" w:rsidR="00FA0872">
        <w:rPr>
          <w:rFonts w:ascii="Arial" w:hAnsi="Arial" w:cs="Arial"/>
          <w:sz w:val="20"/>
          <w:szCs w:val="20"/>
        </w:rPr>
        <w:t>in</w:t>
      </w:r>
      <w:r w:rsidRPr="00532EDA" w:rsidR="00D80C56">
        <w:rPr>
          <w:rFonts w:ascii="Arial" w:hAnsi="Arial" w:cs="Arial"/>
          <w:sz w:val="20"/>
          <w:szCs w:val="20"/>
        </w:rPr>
        <w:t xml:space="preserve"> </w:t>
      </w:r>
      <w:r w:rsidRPr="00532EDA" w:rsidR="000F1B88">
        <w:rPr>
          <w:rFonts w:ascii="Arial" w:hAnsi="Arial" w:cs="Arial"/>
          <w:sz w:val="20"/>
          <w:szCs w:val="20"/>
        </w:rPr>
        <w:t>workforce development</w:t>
      </w:r>
      <w:r w:rsidRPr="00532EDA" w:rsidR="00D80C56">
        <w:rPr>
          <w:rFonts w:ascii="Arial" w:hAnsi="Arial" w:cs="Arial"/>
          <w:sz w:val="20"/>
          <w:szCs w:val="20"/>
        </w:rPr>
        <w:t xml:space="preserve"> through the previous grant opportunities</w:t>
      </w:r>
      <w:r w:rsidRPr="00532EDA" w:rsidR="00F16F17">
        <w:rPr>
          <w:rFonts w:ascii="Arial" w:hAnsi="Arial" w:cs="Arial"/>
          <w:sz w:val="20"/>
          <w:szCs w:val="20"/>
        </w:rPr>
        <w:t xml:space="preserve"> through </w:t>
      </w:r>
      <w:r w:rsidR="00CB713A">
        <w:rPr>
          <w:rFonts w:ascii="Arial" w:hAnsi="Arial" w:cs="Arial"/>
          <w:sz w:val="20"/>
          <w:szCs w:val="20"/>
        </w:rPr>
        <w:t>the</w:t>
      </w:r>
      <w:r w:rsidRPr="00532EDA" w:rsidR="00F16F17">
        <w:rPr>
          <w:rFonts w:ascii="Arial" w:hAnsi="Arial" w:cs="Arial"/>
          <w:sz w:val="20"/>
          <w:szCs w:val="20"/>
        </w:rPr>
        <w:t xml:space="preserve"> HCWP.</w:t>
      </w:r>
    </w:p>
    <w:p w:rsidR="00CD5E84" w:rsidRPr="00532EDA" w14:paraId="6439E505" w14:textId="77777777">
      <w:pPr>
        <w:rPr>
          <w:rFonts w:ascii="Arial" w:hAnsi="Arial" w:cs="Arial"/>
          <w:sz w:val="20"/>
          <w:szCs w:val="20"/>
        </w:rPr>
      </w:pPr>
    </w:p>
    <w:p w:rsidR="00D011E2" w:rsidRPr="00532EDA" w:rsidP="00D011E2" w14:paraId="088416D3" w14:textId="15354CF5">
      <w:pPr>
        <w:rPr>
          <w:rFonts w:ascii="Arial" w:hAnsi="Arial" w:cs="Arial"/>
          <w:sz w:val="20"/>
          <w:szCs w:val="20"/>
          <w:lang w:val="en"/>
        </w:rPr>
      </w:pPr>
      <w:r w:rsidRPr="00532EDA">
        <w:rPr>
          <w:rFonts w:ascii="Arial" w:hAnsi="Arial" w:cs="Arial"/>
          <w:sz w:val="20"/>
          <w:szCs w:val="20"/>
        </w:rPr>
        <w:t xml:space="preserve">For What Purpose: </w:t>
      </w:r>
      <w:r w:rsidRPr="00532EDA" w:rsidR="00D167EB">
        <w:rPr>
          <w:rFonts w:ascii="Arial" w:hAnsi="Arial" w:cs="Arial"/>
          <w:sz w:val="20"/>
          <w:szCs w:val="20"/>
        </w:rPr>
        <w:t xml:space="preserve">Due to the overwhelming </w:t>
      </w:r>
      <w:r w:rsidRPr="00532EDA" w:rsidR="00CF6632">
        <w:rPr>
          <w:rFonts w:ascii="Arial" w:hAnsi="Arial" w:cs="Arial"/>
          <w:sz w:val="20"/>
          <w:szCs w:val="20"/>
        </w:rPr>
        <w:t xml:space="preserve">difficulty in filling the need for </w:t>
      </w:r>
      <w:r w:rsidRPr="00532EDA">
        <w:rPr>
          <w:rFonts w:ascii="Arial" w:hAnsi="Arial" w:cs="Arial"/>
          <w:sz w:val="20"/>
          <w:szCs w:val="20"/>
        </w:rPr>
        <w:t>workers, the</w:t>
      </w:r>
      <w:r w:rsidRPr="00532EDA">
        <w:rPr>
          <w:rFonts w:ascii="Arial" w:hAnsi="Arial" w:cs="Arial"/>
          <w:sz w:val="20"/>
          <w:szCs w:val="20"/>
          <w:lang w:val="en"/>
        </w:rPr>
        <w:t xml:space="preserve"> demand for highway construction, maintenance, and operations workers is continuing to grow, while at the same time, emerging technologies require these same workers to have new skills.  According to a 2022 national survey by the Associated General Contractors of America (AGC), more than 70 percent of construction firms reported difficulty finding qualified trade and craft workers and 90 percent reported difficulty filling salaried positions.   Government agencies, trade organizations, private agencies, and local and Tribal communities nationwide need new, collaborative approaches to meeting this challenge. </w:t>
      </w:r>
      <w:r w:rsidRPr="00532EDA" w:rsidR="00BF6F54">
        <w:rPr>
          <w:rFonts w:ascii="Arial" w:hAnsi="Arial" w:cs="Arial"/>
          <w:sz w:val="20"/>
          <w:szCs w:val="20"/>
          <w:lang w:val="en"/>
        </w:rPr>
        <w:t xml:space="preserve"> The purpose of the collection of this data will further </w:t>
      </w:r>
      <w:r w:rsidRPr="00532EDA" w:rsidR="0041195B">
        <w:rPr>
          <w:rFonts w:ascii="Arial" w:hAnsi="Arial" w:cs="Arial"/>
          <w:sz w:val="20"/>
          <w:szCs w:val="20"/>
          <w:lang w:val="en"/>
        </w:rPr>
        <w:t>allow</w:t>
      </w:r>
      <w:r w:rsidRPr="00532EDA" w:rsidR="00BF6F54">
        <w:rPr>
          <w:rFonts w:ascii="Arial" w:hAnsi="Arial" w:cs="Arial"/>
          <w:sz w:val="20"/>
          <w:szCs w:val="20"/>
          <w:lang w:val="en"/>
        </w:rPr>
        <w:t xml:space="preserve"> </w:t>
      </w:r>
      <w:r w:rsidRPr="00532EDA" w:rsidR="000709E5">
        <w:rPr>
          <w:rFonts w:ascii="Arial" w:hAnsi="Arial" w:cs="Arial"/>
          <w:sz w:val="20"/>
          <w:szCs w:val="20"/>
          <w:lang w:val="en"/>
        </w:rPr>
        <w:t>HIF to aggregate the information quarterly an</w:t>
      </w:r>
      <w:r w:rsidRPr="00532EDA" w:rsidR="00674730">
        <w:rPr>
          <w:rFonts w:ascii="Arial" w:hAnsi="Arial" w:cs="Arial"/>
          <w:sz w:val="20"/>
          <w:szCs w:val="20"/>
          <w:lang w:val="en"/>
        </w:rPr>
        <w:t>d</w:t>
      </w:r>
      <w:r w:rsidRPr="00532EDA" w:rsidR="000709E5">
        <w:rPr>
          <w:rFonts w:ascii="Arial" w:hAnsi="Arial" w:cs="Arial"/>
          <w:sz w:val="20"/>
          <w:szCs w:val="20"/>
          <w:lang w:val="en"/>
        </w:rPr>
        <w:t xml:space="preserve"> annually</w:t>
      </w:r>
      <w:r w:rsidRPr="00532EDA" w:rsidR="00DB1E81">
        <w:rPr>
          <w:rFonts w:ascii="Arial" w:hAnsi="Arial" w:cs="Arial"/>
          <w:sz w:val="20"/>
          <w:szCs w:val="20"/>
          <w:lang w:val="en"/>
        </w:rPr>
        <w:t xml:space="preserve"> </w:t>
      </w:r>
      <w:r w:rsidRPr="00532EDA" w:rsidR="00674730">
        <w:rPr>
          <w:rFonts w:ascii="Arial" w:hAnsi="Arial" w:cs="Arial"/>
          <w:sz w:val="20"/>
          <w:szCs w:val="20"/>
          <w:lang w:val="en"/>
        </w:rPr>
        <w:t xml:space="preserve">to identify performance trends, </w:t>
      </w:r>
      <w:r w:rsidRPr="00532EDA" w:rsidR="00D71991">
        <w:rPr>
          <w:rFonts w:ascii="Arial" w:hAnsi="Arial" w:cs="Arial"/>
          <w:sz w:val="20"/>
          <w:szCs w:val="20"/>
          <w:lang w:val="en"/>
        </w:rPr>
        <w:t xml:space="preserve">to include any identifiable program risks for </w:t>
      </w:r>
      <w:r w:rsidRPr="00532EDA" w:rsidR="00532EDA">
        <w:rPr>
          <w:rFonts w:ascii="Arial" w:hAnsi="Arial" w:cs="Arial"/>
          <w:sz w:val="20"/>
          <w:szCs w:val="20"/>
          <w:lang w:val="en"/>
        </w:rPr>
        <w:t>curriculum</w:t>
      </w:r>
      <w:r w:rsidRPr="00532EDA" w:rsidR="00D71991">
        <w:rPr>
          <w:rFonts w:ascii="Arial" w:hAnsi="Arial" w:cs="Arial"/>
          <w:sz w:val="20"/>
          <w:szCs w:val="20"/>
          <w:lang w:val="en"/>
        </w:rPr>
        <w:t xml:space="preserve"> development</w:t>
      </w:r>
      <w:r w:rsidRPr="00532EDA" w:rsidR="00532EDA">
        <w:rPr>
          <w:rFonts w:ascii="Arial" w:hAnsi="Arial" w:cs="Arial"/>
          <w:sz w:val="20"/>
          <w:szCs w:val="20"/>
          <w:lang w:val="en"/>
        </w:rPr>
        <w:t>.</w:t>
      </w:r>
    </w:p>
    <w:p w:rsidR="00CD5E84" w14:paraId="43A4E367" w14:textId="4E6C51A0">
      <w:pPr>
        <w:rPr>
          <w:rFonts w:ascii="Arial" w:hAnsi="Arial" w:cs="Arial"/>
          <w:color w:val="FF0000"/>
          <w:sz w:val="20"/>
          <w:szCs w:val="20"/>
        </w:rPr>
      </w:pPr>
    </w:p>
    <w:p w:rsidR="00BD1BF2" w14:paraId="102C06E6"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BD1BF2" w:rsidRPr="00EE0E1D" w14:paraId="04115763" w14:textId="721172EB">
      <w:pPr>
        <w:rPr>
          <w:rFonts w:ascii="Arial" w:hAnsi="Arial" w:cs="Arial"/>
          <w:sz w:val="20"/>
          <w:szCs w:val="20"/>
        </w:rPr>
      </w:pPr>
      <w:r w:rsidRPr="00EE0E1D">
        <w:rPr>
          <w:rFonts w:ascii="Arial" w:hAnsi="Arial" w:cs="Arial"/>
          <w:sz w:val="20"/>
          <w:szCs w:val="20"/>
        </w:rPr>
        <w:t xml:space="preserve">A </w:t>
      </w:r>
      <w:r w:rsidRPr="00EE0E1D" w:rsidR="00EF2381">
        <w:rPr>
          <w:rFonts w:ascii="Arial" w:hAnsi="Arial" w:cs="Arial"/>
          <w:sz w:val="20"/>
          <w:szCs w:val="20"/>
        </w:rPr>
        <w:t>Microsoft forms</w:t>
      </w:r>
      <w:r w:rsidRPr="00EE0E1D">
        <w:rPr>
          <w:rFonts w:ascii="Arial" w:hAnsi="Arial" w:cs="Arial"/>
          <w:sz w:val="20"/>
          <w:szCs w:val="20"/>
        </w:rPr>
        <w:t xml:space="preserve"> to</w:t>
      </w:r>
      <w:r w:rsidR="006C488C">
        <w:rPr>
          <w:rFonts w:ascii="Arial" w:hAnsi="Arial" w:cs="Arial"/>
          <w:sz w:val="20"/>
          <w:szCs w:val="20"/>
        </w:rPr>
        <w:t>o</w:t>
      </w:r>
      <w:r w:rsidRPr="00EE0E1D">
        <w:rPr>
          <w:rFonts w:ascii="Arial" w:hAnsi="Arial" w:cs="Arial"/>
          <w:sz w:val="20"/>
          <w:szCs w:val="20"/>
        </w:rPr>
        <w:t xml:space="preserve">l has been </w:t>
      </w:r>
      <w:r w:rsidRPr="00EE0E1D" w:rsidR="00FC73B9">
        <w:rPr>
          <w:rFonts w:ascii="Arial" w:hAnsi="Arial" w:cs="Arial"/>
          <w:sz w:val="20"/>
          <w:szCs w:val="20"/>
        </w:rPr>
        <w:t>developed for automated convenience</w:t>
      </w:r>
      <w:r w:rsidRPr="00EE0E1D" w:rsidR="00422FD1">
        <w:rPr>
          <w:rFonts w:ascii="Arial" w:hAnsi="Arial" w:cs="Arial"/>
          <w:sz w:val="20"/>
          <w:szCs w:val="20"/>
        </w:rPr>
        <w:t xml:space="preserve">.  The tool </w:t>
      </w:r>
      <w:r w:rsidRPr="00EE0E1D" w:rsidR="00665B26">
        <w:rPr>
          <w:rFonts w:ascii="Arial" w:hAnsi="Arial" w:cs="Arial"/>
          <w:sz w:val="20"/>
          <w:szCs w:val="20"/>
        </w:rPr>
        <w:t xml:space="preserve">has been reviewed by the Office of Chief Counsel </w:t>
      </w:r>
      <w:r w:rsidRPr="00EE0E1D" w:rsidR="007A6F2F">
        <w:rPr>
          <w:rFonts w:ascii="Arial" w:hAnsi="Arial" w:cs="Arial"/>
          <w:sz w:val="20"/>
          <w:szCs w:val="20"/>
        </w:rPr>
        <w:t xml:space="preserve">with FHWA.  </w:t>
      </w:r>
      <w:r w:rsidRPr="00EE0E1D" w:rsidR="001A5890">
        <w:rPr>
          <w:rFonts w:ascii="Arial" w:hAnsi="Arial" w:cs="Arial"/>
          <w:sz w:val="20"/>
          <w:szCs w:val="20"/>
        </w:rPr>
        <w:t xml:space="preserve">All State and direct recipients of the HCTP Grant funds have designated personnel who regularly </w:t>
      </w:r>
      <w:r w:rsidR="000C616A">
        <w:rPr>
          <w:rFonts w:ascii="Arial" w:hAnsi="Arial" w:cs="Arial"/>
          <w:sz w:val="20"/>
          <w:szCs w:val="20"/>
        </w:rPr>
        <w:t>manage</w:t>
      </w:r>
      <w:r w:rsidRPr="00EE0E1D" w:rsidR="000C616A">
        <w:rPr>
          <w:rFonts w:ascii="Arial" w:hAnsi="Arial" w:cs="Arial"/>
          <w:sz w:val="20"/>
          <w:szCs w:val="20"/>
        </w:rPr>
        <w:t xml:space="preserve"> </w:t>
      </w:r>
      <w:r w:rsidRPr="00EE0E1D" w:rsidR="00872152">
        <w:rPr>
          <w:rFonts w:ascii="Arial" w:hAnsi="Arial" w:cs="Arial"/>
          <w:sz w:val="20"/>
          <w:szCs w:val="20"/>
        </w:rPr>
        <w:t xml:space="preserve">this </w:t>
      </w:r>
      <w:r w:rsidRPr="00EE0E1D" w:rsidR="00532A1F">
        <w:rPr>
          <w:rFonts w:ascii="Arial" w:hAnsi="Arial" w:cs="Arial"/>
          <w:sz w:val="20"/>
          <w:szCs w:val="20"/>
        </w:rPr>
        <w:t>grant,</w:t>
      </w:r>
      <w:r w:rsidRPr="00EE0E1D" w:rsidR="00872152">
        <w:rPr>
          <w:rFonts w:ascii="Arial" w:hAnsi="Arial" w:cs="Arial"/>
          <w:sz w:val="20"/>
          <w:szCs w:val="20"/>
        </w:rPr>
        <w:t xml:space="preserve"> and </w:t>
      </w:r>
      <w:r w:rsidRPr="00EE0E1D" w:rsidR="00382442">
        <w:rPr>
          <w:rFonts w:ascii="Arial" w:hAnsi="Arial" w:cs="Arial"/>
          <w:sz w:val="20"/>
          <w:szCs w:val="20"/>
        </w:rPr>
        <w:t>it’s</w:t>
      </w:r>
      <w:r w:rsidRPr="00EE0E1D" w:rsidR="00872152">
        <w:rPr>
          <w:rFonts w:ascii="Arial" w:hAnsi="Arial" w:cs="Arial"/>
          <w:sz w:val="20"/>
          <w:szCs w:val="20"/>
        </w:rPr>
        <w:t xml:space="preserve"> agreed </w:t>
      </w:r>
      <w:r w:rsidR="000C616A">
        <w:rPr>
          <w:rFonts w:ascii="Arial" w:hAnsi="Arial" w:cs="Arial"/>
          <w:sz w:val="20"/>
          <w:szCs w:val="20"/>
        </w:rPr>
        <w:t xml:space="preserve">upon </w:t>
      </w:r>
      <w:r w:rsidRPr="00EE0E1D" w:rsidR="00872152">
        <w:rPr>
          <w:rFonts w:ascii="Arial" w:hAnsi="Arial" w:cs="Arial"/>
          <w:sz w:val="20"/>
          <w:szCs w:val="20"/>
        </w:rPr>
        <w:t>requirements.</w:t>
      </w:r>
    </w:p>
    <w:p w:rsidR="00BD1BF2" w14:paraId="28521C6D" w14:textId="77777777">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686B1A" w:rsidP="00610624" w14:paraId="151BA2A9" w14:textId="77777777">
      <w:pPr>
        <w:pStyle w:val="NormalWeb"/>
        <w:rPr>
          <w:rFonts w:ascii="Arial" w:eastAsia="Times New Roman" w:hAnsi="Arial" w:cs="Arial"/>
          <w:sz w:val="20"/>
          <w:szCs w:val="20"/>
        </w:rPr>
      </w:pPr>
      <w:r w:rsidRPr="00EC585A">
        <w:rPr>
          <w:rFonts w:ascii="Arial" w:hAnsi="Arial" w:cs="Arial"/>
          <w:sz w:val="20"/>
          <w:szCs w:val="20"/>
        </w:rPr>
        <w:t>To streamline reporting and ensure data accuracy, performance measures are now collected via this Microsoft Form instead of manual narrative submissions. This process is designed to complement, not duplicate, the GrantSolutions PPR. While the PPR focuses on high-level project narratives, this form captures the specific performance metrics required by the HCTP Grant Agreement and NOFO.</w:t>
      </w:r>
    </w:p>
    <w:p w:rsidR="00BD1BF2" w:rsidP="00610624" w14:paraId="407DB443" w14:textId="6B14B975">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610624" w:rsidRPr="00610624" w:rsidP="00610624" w14:paraId="4C71162F" w14:textId="369FD209">
      <w:pPr>
        <w:pStyle w:val="NormalWeb"/>
        <w:rPr>
          <w:rFonts w:ascii="Arial" w:hAnsi="Arial" w:cs="Arial"/>
          <w:sz w:val="20"/>
          <w:szCs w:val="20"/>
        </w:rPr>
      </w:pPr>
      <w:r>
        <w:rPr>
          <w:rFonts w:ascii="Arial" w:hAnsi="Arial" w:cs="Arial"/>
          <w:sz w:val="20"/>
          <w:szCs w:val="20"/>
        </w:rPr>
        <w:t xml:space="preserve">The Performance Measures for </w:t>
      </w:r>
      <w:r w:rsidR="00DF7A7B">
        <w:rPr>
          <w:rFonts w:ascii="Arial" w:hAnsi="Arial" w:cs="Arial"/>
          <w:sz w:val="20"/>
          <w:szCs w:val="20"/>
        </w:rPr>
        <w:t>the HCTP Grant will have no impact on small businesses.</w:t>
      </w:r>
    </w:p>
    <w:p w:rsidR="00BD1BF2" w14:paraId="31794149" w14:textId="7777777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D934BB" w:rsidRPr="008012EE" w14:paraId="2D3148A2" w14:textId="3609E222">
      <w:pPr>
        <w:pStyle w:val="NormalWeb"/>
        <w:rPr>
          <w:rFonts w:ascii="Arial" w:eastAsia="Times New Roman" w:hAnsi="Arial" w:cs="Arial"/>
          <w:sz w:val="20"/>
          <w:szCs w:val="20"/>
        </w:rPr>
      </w:pPr>
      <w:r w:rsidRPr="008012EE">
        <w:rPr>
          <w:rFonts w:ascii="Arial" w:eastAsia="Times New Roman" w:hAnsi="Arial" w:cs="Arial"/>
          <w:sz w:val="20"/>
          <w:szCs w:val="20"/>
        </w:rPr>
        <w:t xml:space="preserve">With the </w:t>
      </w:r>
      <w:r w:rsidRPr="008012EE" w:rsidR="005D6AF5">
        <w:rPr>
          <w:rFonts w:ascii="Arial" w:eastAsia="Times New Roman" w:hAnsi="Arial" w:cs="Arial"/>
          <w:sz w:val="20"/>
          <w:szCs w:val="20"/>
        </w:rPr>
        <w:t>required frequency of reporting for the HCTP Grants</w:t>
      </w:r>
      <w:r w:rsidRPr="008012EE" w:rsidR="003D698E">
        <w:rPr>
          <w:rFonts w:ascii="Arial" w:eastAsia="Times New Roman" w:hAnsi="Arial" w:cs="Arial"/>
          <w:sz w:val="20"/>
          <w:szCs w:val="20"/>
        </w:rPr>
        <w:t>, the reporting frequency allows for a</w:t>
      </w:r>
      <w:r w:rsidRPr="008012EE" w:rsidR="00700A73">
        <w:rPr>
          <w:rFonts w:ascii="Arial" w:eastAsia="Times New Roman" w:hAnsi="Arial" w:cs="Arial"/>
          <w:sz w:val="20"/>
          <w:szCs w:val="20"/>
        </w:rPr>
        <w:t xml:space="preserve">n accurate evaluation to be performed for each of the programs funded.  </w:t>
      </w:r>
      <w:r w:rsidRPr="008012EE" w:rsidR="00B047AA">
        <w:rPr>
          <w:rFonts w:ascii="Arial" w:eastAsia="Times New Roman" w:hAnsi="Arial" w:cs="Arial"/>
          <w:sz w:val="20"/>
          <w:szCs w:val="20"/>
        </w:rPr>
        <w:t xml:space="preserve">Less frequent collection for the three-year approval period would result in informational gaps that would affect </w:t>
      </w:r>
      <w:r w:rsidRPr="008012EE" w:rsidR="003720C9">
        <w:rPr>
          <w:rFonts w:ascii="Arial" w:eastAsia="Times New Roman" w:hAnsi="Arial" w:cs="Arial"/>
          <w:sz w:val="20"/>
          <w:szCs w:val="20"/>
        </w:rPr>
        <w:t>HIF</w:t>
      </w:r>
      <w:r w:rsidRPr="008012EE" w:rsidR="00B047AA">
        <w:rPr>
          <w:rFonts w:ascii="Arial" w:eastAsia="Times New Roman" w:hAnsi="Arial" w:cs="Arial"/>
          <w:sz w:val="20"/>
          <w:szCs w:val="20"/>
        </w:rPr>
        <w:t xml:space="preserve">’s ability to evaluate </w:t>
      </w:r>
      <w:r w:rsidRPr="008012EE" w:rsidR="003720C9">
        <w:rPr>
          <w:rFonts w:ascii="Arial" w:eastAsia="Times New Roman" w:hAnsi="Arial" w:cs="Arial"/>
          <w:sz w:val="20"/>
          <w:szCs w:val="20"/>
        </w:rPr>
        <w:t>individual</w:t>
      </w:r>
      <w:r w:rsidRPr="008012EE" w:rsidR="00B047AA">
        <w:rPr>
          <w:rFonts w:ascii="Arial" w:eastAsia="Times New Roman" w:hAnsi="Arial" w:cs="Arial"/>
          <w:sz w:val="20"/>
          <w:szCs w:val="20"/>
        </w:rPr>
        <w:t xml:space="preserve"> program performance and implement </w:t>
      </w:r>
      <w:r w:rsidRPr="008012EE" w:rsidR="008012EE">
        <w:rPr>
          <w:rFonts w:ascii="Arial" w:eastAsia="Times New Roman" w:hAnsi="Arial" w:cs="Arial"/>
          <w:sz w:val="20"/>
          <w:szCs w:val="20"/>
        </w:rPr>
        <w:t>technical assistance</w:t>
      </w:r>
      <w:r w:rsidRPr="008012EE" w:rsidR="00B047AA">
        <w:rPr>
          <w:rFonts w:ascii="Arial" w:eastAsia="Times New Roman" w:hAnsi="Arial" w:cs="Arial"/>
          <w:sz w:val="20"/>
          <w:szCs w:val="20"/>
        </w:rPr>
        <w:t xml:space="preserve"> strategies.</w:t>
      </w:r>
    </w:p>
    <w:p w:rsidR="00BD1BF2" w14:paraId="575C210D" w14:textId="1F6628A0">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6C0FAC" w:rsidRPr="006C0FAC" w14:paraId="54643989" w14:textId="77777777">
      <w:pPr>
        <w:pStyle w:val="NormalWeb"/>
        <w:rPr>
          <w:rFonts w:ascii="Arial" w:eastAsia="Times New Roman" w:hAnsi="Arial" w:cs="Arial"/>
          <w:sz w:val="20"/>
          <w:szCs w:val="20"/>
        </w:rPr>
      </w:pPr>
      <w:r w:rsidRPr="006C0FAC">
        <w:rPr>
          <w:rFonts w:ascii="Arial" w:eastAsia="Times New Roman" w:hAnsi="Arial" w:cs="Arial"/>
          <w:sz w:val="20"/>
          <w:szCs w:val="20"/>
        </w:rPr>
        <w:t>There are no special circumstances associated with this collection.</w:t>
      </w:r>
    </w:p>
    <w:p w:rsidR="00BD1BF2" w14:paraId="5B55584E" w14:textId="19B51E9D">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CA121E" w:rsidRPr="001E59C5" w14:paraId="51872654" w14:textId="7F608816">
      <w:pPr>
        <w:pStyle w:val="BodyText"/>
        <w:rPr>
          <w:color w:val="auto"/>
        </w:rPr>
      </w:pPr>
      <w:r w:rsidRPr="001E59C5">
        <w:rPr>
          <w:color w:val="auto"/>
        </w:rPr>
        <w:t xml:space="preserve">The 60-day Federal Register notice intended to solicit comments from the public on this information collection was published on </w:t>
      </w:r>
      <w:r w:rsidRPr="001E59C5" w:rsidR="00955338">
        <w:rPr>
          <w:color w:val="auto"/>
        </w:rPr>
        <w:t>March 13, 2026</w:t>
      </w:r>
      <w:r w:rsidRPr="001E59C5">
        <w:rPr>
          <w:color w:val="auto"/>
        </w:rPr>
        <w:t>, at [</w:t>
      </w:r>
      <w:r w:rsidRPr="001E59C5" w:rsidR="00955338">
        <w:rPr>
          <w:color w:val="auto"/>
        </w:rPr>
        <w:t>91</w:t>
      </w:r>
      <w:r w:rsidRPr="001E59C5">
        <w:rPr>
          <w:color w:val="auto"/>
        </w:rPr>
        <w:t xml:space="preserve"> FR </w:t>
      </w:r>
      <w:r w:rsidRPr="001E59C5" w:rsidR="00E01149">
        <w:rPr>
          <w:color w:val="auto"/>
        </w:rPr>
        <w:t>12483</w:t>
      </w:r>
      <w:r w:rsidRPr="001E59C5">
        <w:rPr>
          <w:color w:val="auto"/>
        </w:rPr>
        <w:t xml:space="preserve">]. </w:t>
      </w:r>
      <w:r w:rsidR="00382442">
        <w:rPr>
          <w:color w:val="auto"/>
        </w:rPr>
        <w:t xml:space="preserve">One comment was received. </w:t>
      </w:r>
    </w:p>
    <w:p w:rsidR="00CA121E" w:rsidRPr="001E59C5" w14:paraId="48D643E6" w14:textId="77777777">
      <w:pPr>
        <w:pStyle w:val="BodyText"/>
        <w:rPr>
          <w:color w:val="auto"/>
        </w:rPr>
      </w:pPr>
    </w:p>
    <w:p w:rsidR="003624F2" w:rsidRPr="001E59C5" w:rsidP="003624F2" w14:paraId="3FC3B0E5" w14:textId="4A20E2BB">
      <w:pPr>
        <w:pStyle w:val="BodyText"/>
        <w:rPr>
          <w:color w:val="auto"/>
        </w:rPr>
      </w:pPr>
      <w:r w:rsidRPr="001E59C5">
        <w:rPr>
          <w:color w:val="auto"/>
        </w:rPr>
        <w:t>Summary</w:t>
      </w:r>
      <w:r w:rsidRPr="001E59C5" w:rsidR="006E0A54">
        <w:rPr>
          <w:color w:val="auto"/>
        </w:rPr>
        <w:t xml:space="preserve"> of Comments</w:t>
      </w:r>
      <w:r w:rsidRPr="001E59C5">
        <w:rPr>
          <w:color w:val="auto"/>
        </w:rPr>
        <w:t>:</w:t>
      </w:r>
    </w:p>
    <w:p w:rsidR="003624F2" w:rsidRPr="001E59C5" w:rsidP="003624F2" w14:paraId="51660F31" w14:textId="77777777">
      <w:pPr>
        <w:pStyle w:val="BodyText"/>
        <w:rPr>
          <w:color w:val="auto"/>
        </w:rPr>
      </w:pPr>
    </w:p>
    <w:p w:rsidR="003624F2" w:rsidRPr="001E59C5" w:rsidP="003624F2" w14:paraId="5361A803" w14:textId="77777777">
      <w:pPr>
        <w:pStyle w:val="BodyText"/>
        <w:rPr>
          <w:color w:val="auto"/>
        </w:rPr>
      </w:pPr>
      <w:r w:rsidRPr="001E59C5">
        <w:rPr>
          <w:color w:val="auto"/>
        </w:rPr>
        <w:t>The South Dakota Department of Transportation (SDDOT) submitted a formal response that focuses on clarifying who is required to report, reducing reporting frequency, and addressing technical challenges in data collection. </w:t>
      </w:r>
    </w:p>
    <w:p w:rsidR="000B0BE2" w:rsidRPr="001E59C5" w14:paraId="2182A2AC" w14:textId="77777777">
      <w:pPr>
        <w:pStyle w:val="BodyText"/>
        <w:rPr>
          <w:color w:val="auto"/>
        </w:rPr>
      </w:pPr>
    </w:p>
    <w:p w:rsidR="006E0A54" w:rsidRPr="001E59C5" w14:paraId="2E99FB52" w14:textId="3D2F4F42">
      <w:pPr>
        <w:pStyle w:val="BodyText"/>
        <w:rPr>
          <w:color w:val="auto"/>
        </w:rPr>
      </w:pPr>
      <w:r w:rsidRPr="001E59C5">
        <w:rPr>
          <w:color w:val="auto"/>
        </w:rPr>
        <w:t>FHWA</w:t>
      </w:r>
      <w:r w:rsidRPr="001E59C5">
        <w:rPr>
          <w:color w:val="auto"/>
        </w:rPr>
        <w:t xml:space="preserve"> Response:</w:t>
      </w:r>
    </w:p>
    <w:p w:rsidR="00906CFD" w:rsidRPr="001E59C5" w14:paraId="559F953F" w14:textId="77777777">
      <w:pPr>
        <w:pStyle w:val="BodyText"/>
        <w:rPr>
          <w:color w:val="auto"/>
        </w:rPr>
      </w:pPr>
    </w:p>
    <w:p w:rsidR="00A54ECE" w:rsidRPr="001E59C5" w:rsidP="00A54ECE" w14:paraId="60D4136D" w14:textId="77777777">
      <w:pPr>
        <w:pStyle w:val="BodyText"/>
        <w:rPr>
          <w:color w:val="auto"/>
        </w:rPr>
      </w:pPr>
      <w:r w:rsidRPr="001E59C5">
        <w:rPr>
          <w:color w:val="auto"/>
        </w:rPr>
        <w:t>On Applicability and Respondents: The notice defines "Respondents" as 50 State DOTs, local/state governments, territories, and educational institutions that may apply. The collection is specifically titled "Performance Measures for Highway Construction Training Program (HCTP) Grant," supporting the interpretation that these measures apply only to recipients of the HCTP grant. </w:t>
      </w:r>
    </w:p>
    <w:p w:rsidR="00A54ECE" w:rsidRPr="001E59C5" w:rsidP="00A54ECE" w14:paraId="42FA1F6E" w14:textId="77777777">
      <w:pPr>
        <w:pStyle w:val="BodyText"/>
        <w:rPr>
          <w:color w:val="auto"/>
        </w:rPr>
      </w:pPr>
    </w:p>
    <w:p w:rsidR="00A54ECE" w:rsidRPr="001E59C5" w:rsidP="00A54ECE" w14:paraId="109488D8" w14:textId="248AE216">
      <w:pPr>
        <w:pStyle w:val="BodyText"/>
        <w:rPr>
          <w:color w:val="auto"/>
        </w:rPr>
      </w:pPr>
      <w:r w:rsidRPr="001E59C5">
        <w:rPr>
          <w:color w:val="auto"/>
        </w:rPr>
        <w:t xml:space="preserve">On Reporting Frequency: The NOFO required quarterly and annual </w:t>
      </w:r>
      <w:r w:rsidRPr="001E59C5" w:rsidR="00532A1F">
        <w:rPr>
          <w:color w:val="auto"/>
        </w:rPr>
        <w:t>performance</w:t>
      </w:r>
      <w:r w:rsidRPr="001E59C5">
        <w:rPr>
          <w:color w:val="auto"/>
        </w:rPr>
        <w:t xml:space="preserve"> reporting and the sixteen current recipients have not expressed concerns </w:t>
      </w:r>
      <w:r w:rsidRPr="001E59C5" w:rsidR="00C25833">
        <w:rPr>
          <w:color w:val="auto"/>
        </w:rPr>
        <w:t>about</w:t>
      </w:r>
      <w:r w:rsidRPr="001E59C5">
        <w:rPr>
          <w:color w:val="auto"/>
        </w:rPr>
        <w:t xml:space="preserve"> this frequency </w:t>
      </w:r>
      <w:r w:rsidRPr="001E59C5" w:rsidR="003B18C4">
        <w:rPr>
          <w:color w:val="auto"/>
        </w:rPr>
        <w:t>as</w:t>
      </w:r>
      <w:r w:rsidRPr="001E59C5">
        <w:rPr>
          <w:color w:val="auto"/>
        </w:rPr>
        <w:t xml:space="preserve"> </w:t>
      </w:r>
      <w:r w:rsidR="003B18C4">
        <w:rPr>
          <w:color w:val="auto"/>
        </w:rPr>
        <w:t>it</w:t>
      </w:r>
      <w:r w:rsidR="003B18C4">
        <w:rPr>
          <w:color w:val="auto"/>
        </w:rPr>
        <w:t xml:space="preserve"> </w:t>
      </w:r>
      <w:r w:rsidRPr="001E59C5">
        <w:rPr>
          <w:color w:val="auto"/>
        </w:rPr>
        <w:t>is common in the workforce development industry. </w:t>
      </w:r>
    </w:p>
    <w:p w:rsidR="00A54ECE" w:rsidRPr="001E59C5" w:rsidP="00A54ECE" w14:paraId="2D527DB1" w14:textId="77777777">
      <w:pPr>
        <w:pStyle w:val="BodyText"/>
        <w:rPr>
          <w:color w:val="auto"/>
        </w:rPr>
      </w:pPr>
    </w:p>
    <w:p w:rsidR="00A54ECE" w:rsidP="00A54ECE" w14:paraId="50ACC41E" w14:textId="77777777">
      <w:pPr>
        <w:pStyle w:val="BodyText"/>
        <w:rPr>
          <w:color w:val="auto"/>
        </w:rPr>
      </w:pPr>
      <w:r w:rsidRPr="001E59C5">
        <w:rPr>
          <w:color w:val="auto"/>
        </w:rPr>
        <w:t>On Administrative Burden: The FHWA estimates the "Average Burden per Response" to be 20 minutes per form. SDDOT’s comment suggests that the actual time required to gather and verify contractor data (such as median wages and six-month retention) may significantly exceed this 20-minute estimate. FHWA understands that specific data may be difficult to obtain but requests that recipients provide readily available data. </w:t>
      </w:r>
    </w:p>
    <w:p w:rsidR="00382442" w:rsidP="00A54ECE" w14:paraId="49F581B5" w14:textId="77777777">
      <w:pPr>
        <w:pStyle w:val="BodyText"/>
        <w:rPr>
          <w:color w:val="auto"/>
        </w:rPr>
      </w:pPr>
    </w:p>
    <w:p w:rsidR="00382442" w:rsidRPr="001E59C5" w:rsidP="00A54ECE" w14:paraId="398FFC07" w14:textId="07FBD546">
      <w:pPr>
        <w:pStyle w:val="BodyText"/>
        <w:rPr>
          <w:color w:val="auto"/>
        </w:rPr>
      </w:pPr>
      <w:r w:rsidRPr="001E59C5">
        <w:rPr>
          <w:color w:val="auto"/>
        </w:rPr>
        <w:t xml:space="preserve">The 30-day Federal Register notice intended to notify the public this information collection was submitted to OMB for review and approval was published on </w:t>
      </w:r>
      <w:r w:rsidR="0041177E">
        <w:rPr>
          <w:color w:val="auto"/>
        </w:rPr>
        <w:t>June 17, 2026</w:t>
      </w:r>
      <w:r w:rsidRPr="001E59C5">
        <w:rPr>
          <w:color w:val="auto"/>
        </w:rPr>
        <w:t xml:space="preserve">, </w:t>
      </w:r>
      <w:r w:rsidRPr="0041177E">
        <w:rPr>
          <w:color w:val="auto"/>
        </w:rPr>
        <w:t>at [</w:t>
      </w:r>
      <w:r w:rsidRPr="0041177E" w:rsidR="0041177E">
        <w:rPr>
          <w:color w:val="auto"/>
        </w:rPr>
        <w:t>91</w:t>
      </w:r>
      <w:r w:rsidRPr="0041177E">
        <w:rPr>
          <w:color w:val="auto"/>
        </w:rPr>
        <w:t xml:space="preserve"> FR </w:t>
      </w:r>
      <w:r w:rsidRPr="0041177E" w:rsidR="0041177E">
        <w:rPr>
          <w:color w:val="auto"/>
        </w:rPr>
        <w:t>36646</w:t>
      </w:r>
      <w:r w:rsidRPr="0041177E">
        <w:rPr>
          <w:color w:val="auto"/>
        </w:rPr>
        <w:t>].”</w:t>
      </w:r>
    </w:p>
    <w:p w:rsidR="006E0A54" w14:paraId="3E4FFD2A" w14:textId="77777777">
      <w:pPr>
        <w:pStyle w:val="BodyText"/>
      </w:pPr>
    </w:p>
    <w:p w:rsidR="00BD1BF2" w14:paraId="5F544D3B" w14:textId="7777777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BD1BF2" w:rsidRPr="001A0CEE" w14:paraId="4023BA62" w14:textId="730726EE">
      <w:pPr>
        <w:pStyle w:val="BodyText"/>
        <w:rPr>
          <w:color w:val="auto"/>
        </w:rPr>
      </w:pPr>
      <w:r w:rsidRPr="001A0CEE">
        <w:rPr>
          <w:color w:val="auto"/>
        </w:rPr>
        <w:t>None.</w:t>
      </w:r>
    </w:p>
    <w:p w:rsidR="00BD1BF2" w14:paraId="35B2154C" w14:textId="77777777">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D26891" w:rsidRPr="00D26891" w14:paraId="24D16436" w14:textId="77777777">
      <w:pPr>
        <w:pStyle w:val="NormalWeb"/>
        <w:rPr>
          <w:rFonts w:ascii="Arial" w:eastAsia="Times New Roman" w:hAnsi="Arial" w:cs="Arial"/>
          <w:sz w:val="20"/>
          <w:szCs w:val="20"/>
        </w:rPr>
      </w:pPr>
      <w:r w:rsidRPr="00D26891">
        <w:rPr>
          <w:rFonts w:ascii="Arial" w:eastAsia="Times New Roman" w:hAnsi="Arial" w:cs="Arial"/>
          <w:sz w:val="20"/>
          <w:szCs w:val="20"/>
        </w:rPr>
        <w:t>There is no information associated with this collection that requires confidentiality.</w:t>
      </w:r>
    </w:p>
    <w:p w:rsidR="00BD1BF2" w14:paraId="58AF9A90" w14:textId="08725271">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97564F" w:rsidRPr="0097564F" w14:paraId="36E39373" w14:textId="77777777">
      <w:pPr>
        <w:pStyle w:val="NormalWeb"/>
        <w:rPr>
          <w:rFonts w:ascii="Arial" w:eastAsia="Times New Roman" w:hAnsi="Arial" w:cs="Arial"/>
          <w:sz w:val="20"/>
          <w:szCs w:val="20"/>
        </w:rPr>
      </w:pPr>
      <w:r w:rsidRPr="0097564F">
        <w:rPr>
          <w:rFonts w:ascii="Arial" w:eastAsia="Times New Roman" w:hAnsi="Arial" w:cs="Arial"/>
          <w:sz w:val="20"/>
          <w:szCs w:val="20"/>
        </w:rPr>
        <w:t>There is no sensitive information associated with this collection.</w:t>
      </w:r>
    </w:p>
    <w:p w:rsidR="00BD1BF2" w14:paraId="3EE230B2" w14:textId="2AA5D4DB">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3D0E7B" w:rsidP="003D0E7B" w14:paraId="53477035" w14:textId="7D85D4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711AF">
        <w:rPr>
          <w:rFonts w:ascii="Arial" w:eastAsia="Calibri" w:hAnsi="Arial" w:cs="Arial"/>
          <w:color w:val="000000" w:themeColor="text1"/>
          <w:sz w:val="20"/>
          <w:szCs w:val="20"/>
        </w:rPr>
        <w:t xml:space="preserve">All burden hour estimates are based on an estimated review of all the requirements associated with </w:t>
      </w:r>
      <w:r w:rsidRPr="00C711AF" w:rsidR="00532A1F">
        <w:rPr>
          <w:rFonts w:ascii="Arial" w:eastAsia="Calibri" w:hAnsi="Arial" w:cs="Arial"/>
          <w:color w:val="000000" w:themeColor="text1"/>
          <w:sz w:val="20"/>
          <w:szCs w:val="20"/>
        </w:rPr>
        <w:t>HCTP</w:t>
      </w:r>
      <w:r w:rsidRPr="00C711AF">
        <w:rPr>
          <w:rFonts w:ascii="Arial" w:eastAsia="Calibri" w:hAnsi="Arial" w:cs="Arial"/>
          <w:color w:val="000000" w:themeColor="text1"/>
          <w:sz w:val="20"/>
          <w:szCs w:val="20"/>
        </w:rPr>
        <w:t>, discussions with appropriate</w:t>
      </w:r>
      <w:r w:rsidR="00424F49">
        <w:rPr>
          <w:rFonts w:ascii="Arial" w:eastAsia="Calibri" w:hAnsi="Arial" w:cs="Arial"/>
          <w:color w:val="000000" w:themeColor="text1"/>
          <w:sz w:val="20"/>
          <w:szCs w:val="20"/>
        </w:rPr>
        <w:t xml:space="preserve"> modal </w:t>
      </w:r>
      <w:r w:rsidRPr="00C711AF">
        <w:rPr>
          <w:rFonts w:ascii="Arial" w:eastAsia="Calibri" w:hAnsi="Arial" w:cs="Arial"/>
          <w:color w:val="000000" w:themeColor="text1"/>
          <w:sz w:val="20"/>
          <w:szCs w:val="20"/>
        </w:rPr>
        <w:t>staff, and analysis of other DOT and FHWA programs.</w:t>
      </w:r>
      <w:r w:rsidRPr="00E52E7A">
        <w:t xml:space="preserve">  </w:t>
      </w:r>
    </w:p>
    <w:p w:rsidR="003D0E7B" w:rsidP="003D0E7B" w14:paraId="76A87E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C59DA" w:rsidP="003B18C4" w14:paraId="6788C930" w14:textId="708DE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r>
        <w:rPr>
          <w:rFonts w:ascii="Arial" w:eastAsia="Calibri" w:hAnsi="Arial" w:cs="Arial"/>
          <w:color w:val="000000" w:themeColor="text1"/>
          <w:sz w:val="20"/>
          <w:szCs w:val="20"/>
        </w:rPr>
        <w:t>For the project management phase, FHWA</w:t>
      </w:r>
      <w:r w:rsidRPr="008246BD">
        <w:rPr>
          <w:rFonts w:ascii="Arial" w:eastAsia="Calibri" w:hAnsi="Arial" w:cs="Arial"/>
          <w:color w:val="000000" w:themeColor="text1"/>
          <w:sz w:val="20"/>
          <w:szCs w:val="20"/>
        </w:rPr>
        <w:t xml:space="preserve"> estimate</w:t>
      </w:r>
      <w:r>
        <w:rPr>
          <w:rFonts w:ascii="Arial" w:eastAsia="Calibri" w:hAnsi="Arial" w:cs="Arial"/>
          <w:color w:val="000000" w:themeColor="text1"/>
          <w:sz w:val="20"/>
          <w:szCs w:val="20"/>
        </w:rPr>
        <w:t>s</w:t>
      </w:r>
      <w:r w:rsidRPr="008246BD">
        <w:rPr>
          <w:rFonts w:ascii="Arial" w:eastAsia="Calibri" w:hAnsi="Arial" w:cs="Arial"/>
          <w:color w:val="000000" w:themeColor="text1"/>
          <w:sz w:val="20"/>
          <w:szCs w:val="20"/>
        </w:rPr>
        <w:t xml:space="preserve"> that it takes approximately </w:t>
      </w:r>
      <w:r>
        <w:rPr>
          <w:rFonts w:ascii="Arial" w:eastAsia="Calibri" w:hAnsi="Arial" w:cs="Arial"/>
          <w:color w:val="000000" w:themeColor="text1"/>
          <w:sz w:val="20"/>
          <w:szCs w:val="20"/>
        </w:rPr>
        <w:t xml:space="preserve">2 </w:t>
      </w:r>
      <w:r w:rsidRPr="008246BD">
        <w:rPr>
          <w:rFonts w:ascii="Arial" w:eastAsia="Calibri" w:hAnsi="Arial" w:cs="Arial"/>
          <w:color w:val="000000" w:themeColor="text1"/>
          <w:sz w:val="20"/>
          <w:szCs w:val="20"/>
        </w:rPr>
        <w:t xml:space="preserve">person-hours to develop and submit a quarterly project progress report to FHWA for review. </w:t>
      </w:r>
      <w:r>
        <w:rPr>
          <w:rFonts w:ascii="Arial" w:eastAsia="Calibri" w:hAnsi="Arial" w:cs="Arial"/>
          <w:color w:val="000000" w:themeColor="text1"/>
          <w:sz w:val="20"/>
          <w:szCs w:val="20"/>
        </w:rPr>
        <w:t xml:space="preserve"> </w:t>
      </w:r>
      <w:r w:rsidRPr="008246BD">
        <w:rPr>
          <w:rFonts w:ascii="Arial" w:eastAsia="Calibri" w:hAnsi="Arial" w:cs="Arial"/>
          <w:color w:val="000000" w:themeColor="text1"/>
          <w:sz w:val="20"/>
          <w:szCs w:val="20"/>
        </w:rPr>
        <w:t xml:space="preserve">FHWA expects to receive </w:t>
      </w:r>
      <w:r w:rsidR="005A1547">
        <w:rPr>
          <w:rFonts w:ascii="Arial" w:eastAsia="Calibri" w:hAnsi="Arial" w:cs="Arial"/>
          <w:color w:val="000000" w:themeColor="text1"/>
          <w:sz w:val="20"/>
          <w:szCs w:val="20"/>
        </w:rPr>
        <w:t>64</w:t>
      </w:r>
      <w:r w:rsidRPr="008246BD">
        <w:rPr>
          <w:rFonts w:ascii="Arial" w:eastAsia="Calibri" w:hAnsi="Arial" w:cs="Arial"/>
          <w:color w:val="000000" w:themeColor="text1"/>
          <w:sz w:val="20"/>
          <w:szCs w:val="20"/>
        </w:rPr>
        <w:t xml:space="preserve"> quarterly project progress reports per year, i.e., 4 per year for a total of</w:t>
      </w:r>
      <w:r>
        <w:rPr>
          <w:rFonts w:ascii="Arial" w:eastAsia="Calibri" w:hAnsi="Arial" w:cs="Arial"/>
          <w:color w:val="000000" w:themeColor="text1"/>
          <w:sz w:val="20"/>
          <w:szCs w:val="20"/>
        </w:rPr>
        <w:t xml:space="preserve"> </w:t>
      </w:r>
      <w:r w:rsidR="00DA12ED">
        <w:rPr>
          <w:rFonts w:ascii="Arial" w:eastAsia="Calibri" w:hAnsi="Arial" w:cs="Arial"/>
          <w:color w:val="000000" w:themeColor="text1"/>
          <w:sz w:val="20"/>
          <w:szCs w:val="20"/>
        </w:rPr>
        <w:t>16</w:t>
      </w:r>
      <w:r w:rsidRPr="008246BD">
        <w:rPr>
          <w:rFonts w:ascii="Arial" w:eastAsia="Calibri" w:hAnsi="Arial" w:cs="Arial"/>
          <w:color w:val="000000" w:themeColor="text1"/>
          <w:sz w:val="20"/>
          <w:szCs w:val="20"/>
        </w:rPr>
        <w:t xml:space="preserve"> awards. </w:t>
      </w:r>
      <w:r>
        <w:rPr>
          <w:rFonts w:ascii="Arial" w:eastAsia="Calibri" w:hAnsi="Arial" w:cs="Arial"/>
          <w:color w:val="000000" w:themeColor="text1"/>
          <w:sz w:val="20"/>
          <w:szCs w:val="20"/>
        </w:rPr>
        <w:t xml:space="preserve"> </w:t>
      </w:r>
      <w:r w:rsidR="00E63F75">
        <w:rPr>
          <w:rFonts w:ascii="Arial" w:eastAsia="Calibri" w:hAnsi="Arial" w:cs="Arial"/>
          <w:color w:val="000000" w:themeColor="text1"/>
          <w:sz w:val="20"/>
          <w:szCs w:val="20"/>
        </w:rPr>
        <w:t>FHWA</w:t>
      </w:r>
      <w:r w:rsidRPr="008246BD" w:rsidR="00E63F75">
        <w:rPr>
          <w:rFonts w:ascii="Arial" w:eastAsia="Calibri" w:hAnsi="Arial" w:cs="Arial"/>
          <w:color w:val="000000" w:themeColor="text1"/>
          <w:sz w:val="20"/>
          <w:szCs w:val="20"/>
        </w:rPr>
        <w:t xml:space="preserve"> estimate</w:t>
      </w:r>
      <w:r w:rsidR="00E63F75">
        <w:rPr>
          <w:rFonts w:ascii="Arial" w:eastAsia="Calibri" w:hAnsi="Arial" w:cs="Arial"/>
          <w:color w:val="000000" w:themeColor="text1"/>
          <w:sz w:val="20"/>
          <w:szCs w:val="20"/>
        </w:rPr>
        <w:t>s</w:t>
      </w:r>
      <w:r w:rsidRPr="008246BD" w:rsidR="00E63F75">
        <w:rPr>
          <w:rFonts w:ascii="Arial" w:eastAsia="Calibri" w:hAnsi="Arial" w:cs="Arial"/>
          <w:color w:val="000000" w:themeColor="text1"/>
          <w:sz w:val="20"/>
          <w:szCs w:val="20"/>
        </w:rPr>
        <w:t xml:space="preserve"> that it takes approximately </w:t>
      </w:r>
      <w:r w:rsidR="00E63F75">
        <w:rPr>
          <w:rFonts w:ascii="Arial" w:eastAsia="Calibri" w:hAnsi="Arial" w:cs="Arial"/>
          <w:color w:val="000000" w:themeColor="text1"/>
          <w:sz w:val="20"/>
          <w:szCs w:val="20"/>
        </w:rPr>
        <w:t xml:space="preserve">2 </w:t>
      </w:r>
      <w:r w:rsidRPr="008246BD" w:rsidR="00E63F75">
        <w:rPr>
          <w:rFonts w:ascii="Arial" w:eastAsia="Calibri" w:hAnsi="Arial" w:cs="Arial"/>
          <w:color w:val="000000" w:themeColor="text1"/>
          <w:sz w:val="20"/>
          <w:szCs w:val="20"/>
        </w:rPr>
        <w:t>person-hours to develop and submit a</w:t>
      </w:r>
      <w:r w:rsidR="00E63F75">
        <w:rPr>
          <w:rFonts w:ascii="Arial" w:eastAsia="Calibri" w:hAnsi="Arial" w:cs="Arial"/>
          <w:color w:val="000000" w:themeColor="text1"/>
          <w:sz w:val="20"/>
          <w:szCs w:val="20"/>
        </w:rPr>
        <w:t>n annual</w:t>
      </w:r>
      <w:r w:rsidRPr="008246BD" w:rsidR="00E63F75">
        <w:rPr>
          <w:rFonts w:ascii="Arial" w:eastAsia="Calibri" w:hAnsi="Arial" w:cs="Arial"/>
          <w:color w:val="000000" w:themeColor="text1"/>
          <w:sz w:val="20"/>
          <w:szCs w:val="20"/>
        </w:rPr>
        <w:t xml:space="preserve"> project progress report to FHWA for review. </w:t>
      </w:r>
      <w:r w:rsidR="00E63F75">
        <w:rPr>
          <w:rFonts w:ascii="Arial" w:eastAsia="Calibri" w:hAnsi="Arial" w:cs="Arial"/>
          <w:color w:val="000000" w:themeColor="text1"/>
          <w:sz w:val="20"/>
          <w:szCs w:val="20"/>
        </w:rPr>
        <w:t xml:space="preserve"> </w:t>
      </w:r>
      <w:r w:rsidRPr="008246BD" w:rsidR="00E63F75">
        <w:rPr>
          <w:rFonts w:ascii="Arial" w:eastAsia="Calibri" w:hAnsi="Arial" w:cs="Arial"/>
          <w:color w:val="000000" w:themeColor="text1"/>
          <w:sz w:val="20"/>
          <w:szCs w:val="20"/>
        </w:rPr>
        <w:t xml:space="preserve">FHWA expects to receive </w:t>
      </w:r>
      <w:r w:rsidR="00E63F75">
        <w:rPr>
          <w:rFonts w:ascii="Arial" w:eastAsia="Calibri" w:hAnsi="Arial" w:cs="Arial"/>
          <w:color w:val="000000" w:themeColor="text1"/>
          <w:sz w:val="20"/>
          <w:szCs w:val="20"/>
        </w:rPr>
        <w:t>16</w:t>
      </w:r>
      <w:r w:rsidRPr="008246BD" w:rsidR="00E63F75">
        <w:rPr>
          <w:rFonts w:ascii="Arial" w:eastAsia="Calibri" w:hAnsi="Arial" w:cs="Arial"/>
          <w:color w:val="000000" w:themeColor="text1"/>
          <w:sz w:val="20"/>
          <w:szCs w:val="20"/>
        </w:rPr>
        <w:t xml:space="preserve"> </w:t>
      </w:r>
      <w:r w:rsidR="00E63F75">
        <w:rPr>
          <w:rFonts w:ascii="Arial" w:eastAsia="Calibri" w:hAnsi="Arial" w:cs="Arial"/>
          <w:color w:val="000000" w:themeColor="text1"/>
          <w:sz w:val="20"/>
          <w:szCs w:val="20"/>
        </w:rPr>
        <w:t>annual</w:t>
      </w:r>
      <w:r w:rsidRPr="008246BD" w:rsidR="00E63F75">
        <w:rPr>
          <w:rFonts w:ascii="Arial" w:eastAsia="Calibri" w:hAnsi="Arial" w:cs="Arial"/>
          <w:color w:val="000000" w:themeColor="text1"/>
          <w:sz w:val="20"/>
          <w:szCs w:val="20"/>
        </w:rPr>
        <w:t xml:space="preserve"> project progress reports per year, i.e., </w:t>
      </w:r>
      <w:r w:rsidR="004A457D">
        <w:rPr>
          <w:rFonts w:ascii="Arial" w:eastAsia="Calibri" w:hAnsi="Arial" w:cs="Arial"/>
          <w:color w:val="000000" w:themeColor="text1"/>
          <w:sz w:val="20"/>
          <w:szCs w:val="20"/>
        </w:rPr>
        <w:t>1</w:t>
      </w:r>
      <w:r w:rsidRPr="008246BD" w:rsidR="00E63F75">
        <w:rPr>
          <w:rFonts w:ascii="Arial" w:eastAsia="Calibri" w:hAnsi="Arial" w:cs="Arial"/>
          <w:color w:val="000000" w:themeColor="text1"/>
          <w:sz w:val="20"/>
          <w:szCs w:val="20"/>
        </w:rPr>
        <w:t xml:space="preserve"> per year for a total of</w:t>
      </w:r>
      <w:r w:rsidR="00E63F75">
        <w:rPr>
          <w:rFonts w:ascii="Arial" w:eastAsia="Calibri" w:hAnsi="Arial" w:cs="Arial"/>
          <w:color w:val="000000" w:themeColor="text1"/>
          <w:sz w:val="20"/>
          <w:szCs w:val="20"/>
        </w:rPr>
        <w:t xml:space="preserve"> 16</w:t>
      </w:r>
      <w:r w:rsidRPr="008246BD" w:rsidR="00E63F75">
        <w:rPr>
          <w:rFonts w:ascii="Arial" w:eastAsia="Calibri" w:hAnsi="Arial" w:cs="Arial"/>
          <w:color w:val="000000" w:themeColor="text1"/>
          <w:sz w:val="20"/>
          <w:szCs w:val="20"/>
        </w:rPr>
        <w:t xml:space="preserve"> awards. </w:t>
      </w:r>
      <w:r w:rsidR="00E63F75">
        <w:rPr>
          <w:rFonts w:ascii="Arial" w:eastAsia="Calibri" w:hAnsi="Arial" w:cs="Arial"/>
          <w:color w:val="000000" w:themeColor="text1"/>
          <w:sz w:val="20"/>
          <w:szCs w:val="20"/>
        </w:rPr>
        <w:t xml:space="preserve"> </w:t>
      </w:r>
      <w:r w:rsidRPr="008246BD">
        <w:rPr>
          <w:rFonts w:ascii="Arial" w:eastAsia="Calibri" w:hAnsi="Arial" w:cs="Arial"/>
          <w:color w:val="000000" w:themeColor="text1"/>
          <w:sz w:val="20"/>
          <w:szCs w:val="20"/>
        </w:rPr>
        <w:t xml:space="preserve">The total hours required are estimated to be </w:t>
      </w:r>
      <w:r>
        <w:rPr>
          <w:rFonts w:ascii="Arial" w:eastAsia="Calibri" w:hAnsi="Arial" w:cs="Arial"/>
          <w:color w:val="000000" w:themeColor="text1"/>
          <w:sz w:val="20"/>
          <w:szCs w:val="20"/>
        </w:rPr>
        <w:t>1</w:t>
      </w:r>
      <w:r w:rsidR="00431C89">
        <w:rPr>
          <w:rFonts w:ascii="Arial" w:eastAsia="Calibri" w:hAnsi="Arial" w:cs="Arial"/>
          <w:color w:val="000000" w:themeColor="text1"/>
          <w:sz w:val="20"/>
          <w:szCs w:val="20"/>
        </w:rPr>
        <w:t>60</w:t>
      </w:r>
      <w:r w:rsidRPr="008246BD">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2</w:t>
      </w:r>
      <w:r w:rsidRPr="008246BD">
        <w:rPr>
          <w:rFonts w:ascii="Arial" w:eastAsia="Calibri" w:hAnsi="Arial" w:cs="Arial"/>
          <w:color w:val="000000" w:themeColor="text1"/>
          <w:sz w:val="20"/>
          <w:szCs w:val="20"/>
        </w:rPr>
        <w:t xml:space="preserve"> hours x </w:t>
      </w:r>
      <w:r w:rsidR="00431C89">
        <w:rPr>
          <w:rFonts w:ascii="Arial" w:eastAsia="Calibri" w:hAnsi="Arial" w:cs="Arial"/>
          <w:color w:val="000000" w:themeColor="text1"/>
          <w:sz w:val="20"/>
          <w:szCs w:val="20"/>
        </w:rPr>
        <w:t>80</w:t>
      </w:r>
      <w:r w:rsidRPr="008246BD">
        <w:rPr>
          <w:rFonts w:ascii="Arial" w:eastAsia="Calibri" w:hAnsi="Arial" w:cs="Arial"/>
          <w:color w:val="000000" w:themeColor="text1"/>
          <w:sz w:val="20"/>
          <w:szCs w:val="20"/>
        </w:rPr>
        <w:t xml:space="preserve"> reports = </w:t>
      </w:r>
      <w:r>
        <w:rPr>
          <w:rFonts w:ascii="Arial" w:eastAsia="Calibri" w:hAnsi="Arial" w:cs="Arial"/>
          <w:color w:val="000000" w:themeColor="text1"/>
          <w:sz w:val="20"/>
          <w:szCs w:val="20"/>
        </w:rPr>
        <w:t>1</w:t>
      </w:r>
      <w:r w:rsidR="00431C89">
        <w:rPr>
          <w:rFonts w:ascii="Arial" w:eastAsia="Calibri" w:hAnsi="Arial" w:cs="Arial"/>
          <w:color w:val="000000" w:themeColor="text1"/>
          <w:sz w:val="20"/>
          <w:szCs w:val="20"/>
        </w:rPr>
        <w:t>60</w:t>
      </w:r>
      <w:r w:rsidRPr="008246BD">
        <w:rPr>
          <w:rFonts w:ascii="Arial" w:eastAsia="Calibri" w:hAnsi="Arial" w:cs="Arial"/>
          <w:color w:val="000000" w:themeColor="text1"/>
          <w:sz w:val="20"/>
          <w:szCs w:val="20"/>
        </w:rPr>
        <w:t xml:space="preserve"> hours).</w:t>
      </w:r>
    </w:p>
    <w:p w:rsidR="003B18C4" w:rsidRPr="003B18C4" w:rsidP="003B18C4" w14:paraId="4DBB7E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color w:val="000000" w:themeColor="text1"/>
          <w:sz w:val="20"/>
          <w:szCs w:val="20"/>
        </w:rPr>
      </w:pPr>
    </w:p>
    <w:tbl>
      <w:tblPr>
        <w:tblStyle w:val="TableGrid"/>
        <w:tblW w:w="0" w:type="auto"/>
        <w:tblLook w:val="04A0"/>
      </w:tblPr>
      <w:tblGrid>
        <w:gridCol w:w="1885"/>
        <w:gridCol w:w="1567"/>
        <w:gridCol w:w="1726"/>
        <w:gridCol w:w="1726"/>
        <w:gridCol w:w="1726"/>
      </w:tblGrid>
      <w:tr w14:paraId="5F981FFD" w14:textId="77777777" w:rsidTr="003B18C4">
        <w:tblPrEx>
          <w:tblW w:w="0" w:type="auto"/>
          <w:tblLook w:val="04A0"/>
        </w:tblPrEx>
        <w:tc>
          <w:tcPr>
            <w:tcW w:w="1885" w:type="dxa"/>
          </w:tcPr>
          <w:p w:rsidR="00DC59DA" w:rsidRPr="00DC59DA" w14:paraId="76FB6CF0" w14:textId="56C2FC87">
            <w:pPr>
              <w:pStyle w:val="NormalWeb"/>
              <w:rPr>
                <w:rFonts w:ascii="Arial" w:hAnsi="Arial" w:cs="Arial"/>
                <w:b/>
                <w:bCs/>
                <w:sz w:val="20"/>
                <w:szCs w:val="20"/>
              </w:rPr>
            </w:pPr>
            <w:r w:rsidRPr="00DC59DA">
              <w:rPr>
                <w:rFonts w:ascii="Arial" w:hAnsi="Arial" w:cs="Arial"/>
                <w:b/>
                <w:bCs/>
                <w:sz w:val="20"/>
                <w:szCs w:val="20"/>
              </w:rPr>
              <w:t>Project Stage</w:t>
            </w:r>
          </w:p>
        </w:tc>
        <w:tc>
          <w:tcPr>
            <w:tcW w:w="1567" w:type="dxa"/>
          </w:tcPr>
          <w:p w:rsidR="00DC59DA" w:rsidRPr="00DC59DA" w14:paraId="268F381D" w14:textId="2756AB2C">
            <w:pPr>
              <w:pStyle w:val="NormalWeb"/>
              <w:rPr>
                <w:rFonts w:ascii="Arial" w:hAnsi="Arial" w:cs="Arial"/>
                <w:b/>
                <w:bCs/>
                <w:sz w:val="20"/>
                <w:szCs w:val="20"/>
              </w:rPr>
            </w:pPr>
            <w:r w:rsidRPr="00DC59DA">
              <w:rPr>
                <w:rFonts w:ascii="Arial" w:hAnsi="Arial" w:cs="Arial"/>
                <w:b/>
                <w:bCs/>
                <w:sz w:val="20"/>
                <w:szCs w:val="20"/>
              </w:rPr>
              <w:t>Burden Hours Per Respondent</w:t>
            </w:r>
          </w:p>
        </w:tc>
        <w:tc>
          <w:tcPr>
            <w:tcW w:w="1726" w:type="dxa"/>
          </w:tcPr>
          <w:p w:rsidR="00DC59DA" w:rsidRPr="00DC59DA" w14:paraId="5F686D00" w14:textId="1FE8EF59">
            <w:pPr>
              <w:pStyle w:val="NormalWeb"/>
              <w:rPr>
                <w:rFonts w:ascii="Arial" w:hAnsi="Arial" w:cs="Arial"/>
                <w:b/>
                <w:bCs/>
                <w:sz w:val="20"/>
                <w:szCs w:val="20"/>
              </w:rPr>
            </w:pPr>
            <w:r w:rsidRPr="00DC59DA">
              <w:rPr>
                <w:rFonts w:ascii="Arial" w:hAnsi="Arial" w:cs="Arial"/>
                <w:b/>
                <w:bCs/>
                <w:sz w:val="20"/>
                <w:szCs w:val="20"/>
              </w:rPr>
              <w:t>Number of Respondents</w:t>
            </w:r>
          </w:p>
        </w:tc>
        <w:tc>
          <w:tcPr>
            <w:tcW w:w="1726" w:type="dxa"/>
          </w:tcPr>
          <w:p w:rsidR="00DC59DA" w:rsidRPr="00DC59DA" w14:paraId="442A893E" w14:textId="7872770E">
            <w:pPr>
              <w:pStyle w:val="NormalWeb"/>
              <w:rPr>
                <w:rFonts w:ascii="Arial" w:hAnsi="Arial" w:cs="Arial"/>
                <w:b/>
                <w:bCs/>
                <w:sz w:val="20"/>
                <w:szCs w:val="20"/>
              </w:rPr>
            </w:pPr>
            <w:r w:rsidRPr="00DC59DA">
              <w:rPr>
                <w:rFonts w:ascii="Arial" w:hAnsi="Arial" w:cs="Arial"/>
                <w:b/>
                <w:bCs/>
                <w:sz w:val="20"/>
                <w:szCs w:val="20"/>
              </w:rPr>
              <w:t>Frequency</w:t>
            </w:r>
          </w:p>
        </w:tc>
        <w:tc>
          <w:tcPr>
            <w:tcW w:w="1726" w:type="dxa"/>
          </w:tcPr>
          <w:p w:rsidR="00DC59DA" w:rsidRPr="00DC59DA" w14:paraId="2EDFED1C" w14:textId="736F5719">
            <w:pPr>
              <w:pStyle w:val="NormalWeb"/>
              <w:rPr>
                <w:rFonts w:ascii="Arial" w:hAnsi="Arial" w:cs="Arial"/>
                <w:b/>
                <w:bCs/>
                <w:sz w:val="20"/>
                <w:szCs w:val="20"/>
              </w:rPr>
            </w:pPr>
            <w:r w:rsidRPr="00DC59DA">
              <w:rPr>
                <w:rFonts w:ascii="Arial" w:hAnsi="Arial" w:cs="Arial"/>
                <w:b/>
                <w:bCs/>
                <w:sz w:val="20"/>
                <w:szCs w:val="20"/>
              </w:rPr>
              <w:t>Total Burden Hours</w:t>
            </w:r>
          </w:p>
        </w:tc>
      </w:tr>
      <w:tr w14:paraId="07E1CB32" w14:textId="77777777" w:rsidTr="003B18C4">
        <w:tblPrEx>
          <w:tblW w:w="0" w:type="auto"/>
          <w:tblLook w:val="04A0"/>
        </w:tblPrEx>
        <w:tc>
          <w:tcPr>
            <w:tcW w:w="1885" w:type="dxa"/>
          </w:tcPr>
          <w:p w:rsidR="00DC59DA" w14:paraId="6A101E6D" w14:textId="0A90B3E2">
            <w:pPr>
              <w:pStyle w:val="NormalWeb"/>
              <w:rPr>
                <w:rFonts w:ascii="Arial" w:hAnsi="Arial" w:cs="Arial"/>
                <w:sz w:val="20"/>
                <w:szCs w:val="20"/>
              </w:rPr>
            </w:pPr>
            <w:r>
              <w:rPr>
                <w:rFonts w:ascii="Arial" w:hAnsi="Arial" w:cs="Arial"/>
                <w:sz w:val="20"/>
                <w:szCs w:val="20"/>
              </w:rPr>
              <w:t>Project Management (Quarterly Reports)</w:t>
            </w:r>
          </w:p>
        </w:tc>
        <w:tc>
          <w:tcPr>
            <w:tcW w:w="1567" w:type="dxa"/>
          </w:tcPr>
          <w:p w:rsidR="00DC59DA" w14:paraId="076C1C8F" w14:textId="547F2B37">
            <w:pPr>
              <w:pStyle w:val="NormalWeb"/>
              <w:rPr>
                <w:rFonts w:ascii="Arial" w:hAnsi="Arial" w:cs="Arial"/>
                <w:sz w:val="20"/>
                <w:szCs w:val="20"/>
              </w:rPr>
            </w:pPr>
            <w:r>
              <w:rPr>
                <w:rFonts w:ascii="Arial" w:hAnsi="Arial" w:cs="Arial"/>
                <w:sz w:val="20"/>
                <w:szCs w:val="20"/>
              </w:rPr>
              <w:t>2</w:t>
            </w:r>
          </w:p>
        </w:tc>
        <w:tc>
          <w:tcPr>
            <w:tcW w:w="1726" w:type="dxa"/>
          </w:tcPr>
          <w:p w:rsidR="00DC59DA" w14:paraId="59904F12" w14:textId="377E732C">
            <w:pPr>
              <w:pStyle w:val="NormalWeb"/>
              <w:rPr>
                <w:rFonts w:ascii="Arial" w:hAnsi="Arial" w:cs="Arial"/>
                <w:sz w:val="20"/>
                <w:szCs w:val="20"/>
              </w:rPr>
            </w:pPr>
            <w:r>
              <w:rPr>
                <w:rFonts w:ascii="Arial" w:hAnsi="Arial" w:cs="Arial"/>
                <w:sz w:val="20"/>
                <w:szCs w:val="20"/>
              </w:rPr>
              <w:t>16</w:t>
            </w:r>
          </w:p>
        </w:tc>
        <w:tc>
          <w:tcPr>
            <w:tcW w:w="1726" w:type="dxa"/>
          </w:tcPr>
          <w:p w:rsidR="00DC59DA" w14:paraId="10365D6D" w14:textId="0AC09CA4">
            <w:pPr>
              <w:pStyle w:val="NormalWeb"/>
              <w:rPr>
                <w:rFonts w:ascii="Arial" w:hAnsi="Arial" w:cs="Arial"/>
                <w:sz w:val="20"/>
                <w:szCs w:val="20"/>
              </w:rPr>
            </w:pPr>
            <w:r>
              <w:rPr>
                <w:rFonts w:ascii="Arial" w:hAnsi="Arial" w:cs="Arial"/>
                <w:sz w:val="20"/>
                <w:szCs w:val="20"/>
              </w:rPr>
              <w:t>4</w:t>
            </w:r>
          </w:p>
        </w:tc>
        <w:tc>
          <w:tcPr>
            <w:tcW w:w="1726" w:type="dxa"/>
          </w:tcPr>
          <w:p w:rsidR="00DC59DA" w14:paraId="10AAEA0E" w14:textId="0B704B53">
            <w:pPr>
              <w:pStyle w:val="NormalWeb"/>
              <w:rPr>
                <w:rFonts w:ascii="Arial" w:hAnsi="Arial" w:cs="Arial"/>
                <w:sz w:val="20"/>
                <w:szCs w:val="20"/>
              </w:rPr>
            </w:pPr>
            <w:r>
              <w:rPr>
                <w:rFonts w:ascii="Arial" w:hAnsi="Arial" w:cs="Arial"/>
                <w:sz w:val="20"/>
                <w:szCs w:val="20"/>
              </w:rPr>
              <w:t>128</w:t>
            </w:r>
          </w:p>
        </w:tc>
      </w:tr>
      <w:tr w14:paraId="01C5223D" w14:textId="77777777" w:rsidTr="003B18C4">
        <w:tblPrEx>
          <w:tblW w:w="0" w:type="auto"/>
          <w:tblLook w:val="04A0"/>
        </w:tblPrEx>
        <w:tc>
          <w:tcPr>
            <w:tcW w:w="1885" w:type="dxa"/>
          </w:tcPr>
          <w:p w:rsidR="003B18C4" w14:paraId="547329AE" w14:textId="2010916D">
            <w:pPr>
              <w:pStyle w:val="NormalWeb"/>
              <w:rPr>
                <w:rFonts w:ascii="Arial" w:hAnsi="Arial" w:cs="Arial"/>
                <w:sz w:val="20"/>
                <w:szCs w:val="20"/>
              </w:rPr>
            </w:pPr>
            <w:r>
              <w:rPr>
                <w:rFonts w:ascii="Arial" w:hAnsi="Arial" w:cs="Arial"/>
                <w:sz w:val="20"/>
                <w:szCs w:val="20"/>
              </w:rPr>
              <w:t>Project Management</w:t>
            </w:r>
            <w:r>
              <w:rPr>
                <w:rFonts w:ascii="Arial" w:hAnsi="Arial" w:cs="Arial"/>
                <w:sz w:val="20"/>
                <w:szCs w:val="20"/>
              </w:rPr>
              <w:t xml:space="preserve"> (Annual Reports)</w:t>
            </w:r>
          </w:p>
        </w:tc>
        <w:tc>
          <w:tcPr>
            <w:tcW w:w="1567" w:type="dxa"/>
          </w:tcPr>
          <w:p w:rsidR="00DC59DA" w14:paraId="6112C815" w14:textId="49BC34B5">
            <w:pPr>
              <w:pStyle w:val="NormalWeb"/>
              <w:rPr>
                <w:rFonts w:ascii="Arial" w:hAnsi="Arial" w:cs="Arial"/>
                <w:sz w:val="20"/>
                <w:szCs w:val="20"/>
              </w:rPr>
            </w:pPr>
            <w:r>
              <w:rPr>
                <w:rFonts w:ascii="Arial" w:hAnsi="Arial" w:cs="Arial"/>
                <w:sz w:val="20"/>
                <w:szCs w:val="20"/>
              </w:rPr>
              <w:t>2</w:t>
            </w:r>
          </w:p>
        </w:tc>
        <w:tc>
          <w:tcPr>
            <w:tcW w:w="1726" w:type="dxa"/>
          </w:tcPr>
          <w:p w:rsidR="00DC59DA" w14:paraId="2892BF99" w14:textId="0B1F2261">
            <w:pPr>
              <w:pStyle w:val="NormalWeb"/>
              <w:rPr>
                <w:rFonts w:ascii="Arial" w:hAnsi="Arial" w:cs="Arial"/>
                <w:sz w:val="20"/>
                <w:szCs w:val="20"/>
              </w:rPr>
            </w:pPr>
            <w:r>
              <w:rPr>
                <w:rFonts w:ascii="Arial" w:hAnsi="Arial" w:cs="Arial"/>
                <w:sz w:val="20"/>
                <w:szCs w:val="20"/>
              </w:rPr>
              <w:t>16</w:t>
            </w:r>
          </w:p>
        </w:tc>
        <w:tc>
          <w:tcPr>
            <w:tcW w:w="1726" w:type="dxa"/>
          </w:tcPr>
          <w:p w:rsidR="00DC59DA" w14:paraId="20CD0EA0" w14:textId="0A3C3E3C">
            <w:pPr>
              <w:pStyle w:val="NormalWeb"/>
              <w:rPr>
                <w:rFonts w:ascii="Arial" w:hAnsi="Arial" w:cs="Arial"/>
                <w:sz w:val="20"/>
                <w:szCs w:val="20"/>
              </w:rPr>
            </w:pPr>
            <w:r>
              <w:rPr>
                <w:rFonts w:ascii="Arial" w:hAnsi="Arial" w:cs="Arial"/>
                <w:sz w:val="20"/>
                <w:szCs w:val="20"/>
              </w:rPr>
              <w:t>1</w:t>
            </w:r>
          </w:p>
        </w:tc>
        <w:tc>
          <w:tcPr>
            <w:tcW w:w="1726" w:type="dxa"/>
          </w:tcPr>
          <w:p w:rsidR="00DC59DA" w14:paraId="75B6D2E2" w14:textId="19AC3BAE">
            <w:pPr>
              <w:pStyle w:val="NormalWeb"/>
              <w:rPr>
                <w:rFonts w:ascii="Arial" w:hAnsi="Arial" w:cs="Arial"/>
                <w:sz w:val="20"/>
                <w:szCs w:val="20"/>
              </w:rPr>
            </w:pPr>
            <w:r>
              <w:rPr>
                <w:rFonts w:ascii="Arial" w:hAnsi="Arial" w:cs="Arial"/>
                <w:sz w:val="20"/>
                <w:szCs w:val="20"/>
              </w:rPr>
              <w:t>32</w:t>
            </w:r>
          </w:p>
        </w:tc>
      </w:tr>
      <w:tr w14:paraId="14C41A55" w14:textId="77777777" w:rsidTr="003B18C4">
        <w:tblPrEx>
          <w:tblW w:w="0" w:type="auto"/>
          <w:tblLook w:val="04A0"/>
        </w:tblPrEx>
        <w:tc>
          <w:tcPr>
            <w:tcW w:w="1885" w:type="dxa"/>
          </w:tcPr>
          <w:p w:rsidR="00DC59DA" w14:paraId="02BF34A3" w14:textId="24361479">
            <w:pPr>
              <w:pStyle w:val="NormalWeb"/>
              <w:rPr>
                <w:rFonts w:ascii="Arial" w:hAnsi="Arial" w:cs="Arial"/>
                <w:sz w:val="20"/>
                <w:szCs w:val="20"/>
              </w:rPr>
            </w:pPr>
            <w:r>
              <w:rPr>
                <w:rFonts w:ascii="Arial" w:hAnsi="Arial" w:cs="Arial"/>
                <w:sz w:val="20"/>
                <w:szCs w:val="20"/>
              </w:rPr>
              <w:t>Total</w:t>
            </w:r>
          </w:p>
        </w:tc>
        <w:tc>
          <w:tcPr>
            <w:tcW w:w="1567" w:type="dxa"/>
          </w:tcPr>
          <w:p w:rsidR="00DC59DA" w14:paraId="7C5306B6" w14:textId="77777777">
            <w:pPr>
              <w:pStyle w:val="NormalWeb"/>
              <w:rPr>
                <w:rFonts w:ascii="Arial" w:hAnsi="Arial" w:cs="Arial"/>
                <w:sz w:val="20"/>
                <w:szCs w:val="20"/>
              </w:rPr>
            </w:pPr>
          </w:p>
        </w:tc>
        <w:tc>
          <w:tcPr>
            <w:tcW w:w="1726" w:type="dxa"/>
          </w:tcPr>
          <w:p w:rsidR="00DC59DA" w14:paraId="18357F7B" w14:textId="77777777">
            <w:pPr>
              <w:pStyle w:val="NormalWeb"/>
              <w:rPr>
                <w:rFonts w:ascii="Arial" w:hAnsi="Arial" w:cs="Arial"/>
                <w:sz w:val="20"/>
                <w:szCs w:val="20"/>
              </w:rPr>
            </w:pPr>
          </w:p>
        </w:tc>
        <w:tc>
          <w:tcPr>
            <w:tcW w:w="1726" w:type="dxa"/>
          </w:tcPr>
          <w:p w:rsidR="00DC59DA" w14:paraId="57685E56" w14:textId="77777777">
            <w:pPr>
              <w:pStyle w:val="NormalWeb"/>
              <w:rPr>
                <w:rFonts w:ascii="Arial" w:hAnsi="Arial" w:cs="Arial"/>
                <w:sz w:val="20"/>
                <w:szCs w:val="20"/>
              </w:rPr>
            </w:pPr>
          </w:p>
        </w:tc>
        <w:tc>
          <w:tcPr>
            <w:tcW w:w="1726" w:type="dxa"/>
          </w:tcPr>
          <w:p w:rsidR="00DC59DA" w14:paraId="59F7DC1D" w14:textId="122F6D77">
            <w:pPr>
              <w:pStyle w:val="NormalWeb"/>
              <w:rPr>
                <w:rFonts w:ascii="Arial" w:hAnsi="Arial" w:cs="Arial"/>
                <w:sz w:val="20"/>
                <w:szCs w:val="20"/>
              </w:rPr>
            </w:pPr>
            <w:r>
              <w:rPr>
                <w:rFonts w:ascii="Arial" w:hAnsi="Arial" w:cs="Arial"/>
                <w:sz w:val="20"/>
                <w:szCs w:val="20"/>
              </w:rPr>
              <w:t>160</w:t>
            </w:r>
          </w:p>
        </w:tc>
      </w:tr>
    </w:tbl>
    <w:p w:rsidR="00DC59DA" w14:paraId="63A4909B" w14:textId="47BAE24F">
      <w:pPr>
        <w:pStyle w:val="NormalWeb"/>
        <w:rPr>
          <w:rFonts w:ascii="Arial" w:hAnsi="Arial" w:cs="Arial"/>
          <w:sz w:val="20"/>
          <w:szCs w:val="20"/>
        </w:rPr>
      </w:pPr>
    </w:p>
    <w:p w:rsidR="00BD1BF2" w14:paraId="0192F99F" w14:textId="7FB1D0CF">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D5528B" w:rsidRPr="00D5528B" w14:paraId="2B0E0A95" w14:textId="77777777">
      <w:pPr>
        <w:pStyle w:val="NormalWeb"/>
        <w:rPr>
          <w:rFonts w:ascii="Arial" w:eastAsia="Times New Roman" w:hAnsi="Arial" w:cs="Arial"/>
          <w:sz w:val="20"/>
          <w:szCs w:val="20"/>
        </w:rPr>
      </w:pPr>
      <w:r w:rsidRPr="00D5528B">
        <w:rPr>
          <w:rFonts w:ascii="Arial" w:eastAsia="Times New Roman" w:hAnsi="Arial" w:cs="Arial"/>
          <w:sz w:val="20"/>
          <w:szCs w:val="20"/>
        </w:rPr>
        <w:t>There are no additional costs other than the hourly costs identified in 12. above.</w:t>
      </w:r>
    </w:p>
    <w:p w:rsidR="00BD1BF2" w14:paraId="65BCC311" w14:textId="66C4E83B">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E72780" w:rsidP="00E72780" w14:paraId="1EF2769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The cost is calculated as follows:</w:t>
      </w:r>
    </w:p>
    <w:p w:rsidR="00E72780" w:rsidP="00E72780" w14:paraId="56BD03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p w:rsidR="00E72780" w:rsidP="00E72780" w14:paraId="62E263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u w:val="single"/>
        </w:rPr>
        <w:t>Project Management Stage</w:t>
      </w:r>
      <w:r w:rsidRPr="22AD3C6C">
        <w:rPr>
          <w:rFonts w:ascii="Arial" w:eastAsia="Arial" w:hAnsi="Arial" w:cs="Arial"/>
          <w:color w:val="000000" w:themeColor="text1"/>
          <w:sz w:val="20"/>
          <w:szCs w:val="20"/>
        </w:rPr>
        <w:t>:</w:t>
      </w:r>
    </w:p>
    <w:p w:rsidR="00E72780" w:rsidP="00E72780" w14:paraId="2210A6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p w:rsidR="00E72780" w:rsidP="00E72780" w14:paraId="73CABE02" w14:textId="55651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Individuals managing projects throughout FHWA vary from GS-11 to GS-14; however, in looking at the averages, it can take a GS-13/step 5 employee (with an average salary of $</w:t>
      </w:r>
      <w:r>
        <w:rPr>
          <w:rFonts w:ascii="Arial" w:eastAsia="Arial" w:hAnsi="Arial" w:cs="Arial"/>
          <w:color w:val="000000" w:themeColor="text1"/>
          <w:sz w:val="20"/>
          <w:szCs w:val="20"/>
        </w:rPr>
        <w:t>49</w:t>
      </w:r>
      <w:r w:rsidRPr="22AD3C6C">
        <w:rPr>
          <w:rFonts w:ascii="Arial" w:eastAsia="Arial" w:hAnsi="Arial" w:cs="Arial"/>
          <w:color w:val="000000" w:themeColor="text1"/>
          <w:sz w:val="20"/>
          <w:szCs w:val="20"/>
        </w:rPr>
        <w:t xml:space="preserve"> per hour</w:t>
      </w:r>
      <w:r>
        <w:rPr>
          <w:rStyle w:val="FootnoteReference"/>
          <w:rFonts w:ascii="Arial" w:eastAsia="Arial" w:hAnsi="Arial" w:cs="Arial"/>
          <w:color w:val="000000" w:themeColor="text1"/>
          <w:sz w:val="20"/>
          <w:szCs w:val="20"/>
        </w:rPr>
        <w:footnoteReference w:id="2"/>
      </w:r>
      <w:r w:rsidRPr="22AD3C6C">
        <w:rPr>
          <w:rFonts w:ascii="Arial" w:eastAsia="Arial" w:hAnsi="Arial" w:cs="Arial"/>
          <w:color w:val="000000" w:themeColor="text1"/>
          <w:sz w:val="20"/>
          <w:szCs w:val="20"/>
        </w:rPr>
        <w:t xml:space="preserve">) about one hour per report to review </w:t>
      </w:r>
      <w:r w:rsidR="00E96145">
        <w:rPr>
          <w:rFonts w:ascii="Arial" w:eastAsia="Arial" w:hAnsi="Arial" w:cs="Arial"/>
          <w:color w:val="000000" w:themeColor="text1"/>
          <w:sz w:val="20"/>
          <w:szCs w:val="20"/>
        </w:rPr>
        <w:t>quarterly progress project reports</w:t>
      </w:r>
      <w:r w:rsidRPr="22AD3C6C">
        <w:rPr>
          <w:rFonts w:ascii="Arial" w:eastAsia="Arial" w:hAnsi="Arial" w:cs="Arial"/>
          <w:color w:val="000000" w:themeColor="text1"/>
          <w:sz w:val="20"/>
          <w:szCs w:val="20"/>
        </w:rPr>
        <w:t xml:space="preserve">.  There are approximately </w:t>
      </w:r>
      <w:r w:rsidR="00C04C2E">
        <w:rPr>
          <w:rFonts w:ascii="Arial" w:eastAsia="Arial" w:hAnsi="Arial" w:cs="Arial"/>
          <w:color w:val="000000" w:themeColor="text1"/>
          <w:sz w:val="20"/>
          <w:szCs w:val="20"/>
        </w:rPr>
        <w:t>16</w:t>
      </w:r>
      <w:r w:rsidRPr="22AD3C6C">
        <w:rPr>
          <w:rFonts w:ascii="Arial" w:eastAsia="Arial" w:hAnsi="Arial" w:cs="Arial"/>
          <w:color w:val="000000" w:themeColor="text1"/>
          <w:sz w:val="20"/>
          <w:szCs w:val="20"/>
        </w:rPr>
        <w:t xml:space="preserve"> projects requiring reports annually, and</w:t>
      </w:r>
      <w:r w:rsidR="007F626A">
        <w:rPr>
          <w:rFonts w:ascii="Arial" w:eastAsia="Arial" w:hAnsi="Arial" w:cs="Arial"/>
          <w:color w:val="000000" w:themeColor="text1"/>
          <w:sz w:val="20"/>
          <w:szCs w:val="20"/>
        </w:rPr>
        <w:t xml:space="preserve"> 16 projects requiring quarterly </w:t>
      </w:r>
      <w:r w:rsidR="00E96145">
        <w:rPr>
          <w:rFonts w:ascii="Arial" w:eastAsia="Arial" w:hAnsi="Arial" w:cs="Arial"/>
          <w:color w:val="000000" w:themeColor="text1"/>
          <w:sz w:val="20"/>
          <w:szCs w:val="20"/>
        </w:rPr>
        <w:t xml:space="preserve">reports </w:t>
      </w:r>
      <w:r w:rsidRPr="22AD3C6C" w:rsidR="00E96145">
        <w:rPr>
          <w:rFonts w:ascii="Arial" w:eastAsia="Arial" w:hAnsi="Arial" w:cs="Arial"/>
          <w:color w:val="000000" w:themeColor="text1"/>
          <w:sz w:val="20"/>
          <w:szCs w:val="20"/>
        </w:rPr>
        <w:t>for</w:t>
      </w:r>
      <w:r w:rsidR="007F626A">
        <w:rPr>
          <w:rFonts w:ascii="Arial" w:eastAsia="Arial" w:hAnsi="Arial" w:cs="Arial"/>
          <w:color w:val="000000" w:themeColor="text1"/>
          <w:sz w:val="20"/>
          <w:szCs w:val="20"/>
        </w:rPr>
        <w:t xml:space="preserve"> a total of 80 reports</w:t>
      </w:r>
      <w:r w:rsidRPr="22AD3C6C">
        <w:rPr>
          <w:rFonts w:ascii="Arial" w:eastAsia="Arial" w:hAnsi="Arial" w:cs="Arial"/>
          <w:color w:val="000000" w:themeColor="text1"/>
          <w:sz w:val="20"/>
          <w:szCs w:val="20"/>
        </w:rPr>
        <w:t xml:space="preserve"> annually.  The cost to the federal Government is $</w:t>
      </w:r>
      <w:r>
        <w:rPr>
          <w:rFonts w:ascii="Arial" w:eastAsia="Arial" w:hAnsi="Arial" w:cs="Arial"/>
          <w:color w:val="000000" w:themeColor="text1"/>
          <w:sz w:val="20"/>
          <w:szCs w:val="20"/>
        </w:rPr>
        <w:t>3,920</w:t>
      </w:r>
      <w:r w:rsidRPr="22AD3C6C">
        <w:rPr>
          <w:rFonts w:ascii="Arial" w:eastAsia="Arial" w:hAnsi="Arial" w:cs="Arial"/>
          <w:color w:val="000000" w:themeColor="text1"/>
          <w:sz w:val="20"/>
          <w:szCs w:val="20"/>
        </w:rPr>
        <w:t xml:space="preserve"> (1 hour x </w:t>
      </w:r>
      <w:r>
        <w:rPr>
          <w:rFonts w:ascii="Arial" w:eastAsia="Arial" w:hAnsi="Arial" w:cs="Arial"/>
          <w:color w:val="000000" w:themeColor="text1"/>
          <w:sz w:val="20"/>
          <w:szCs w:val="20"/>
        </w:rPr>
        <w:t>8</w:t>
      </w:r>
      <w:r w:rsidRPr="22AD3C6C">
        <w:rPr>
          <w:rFonts w:ascii="Arial" w:eastAsia="Arial" w:hAnsi="Arial" w:cs="Arial"/>
          <w:color w:val="000000" w:themeColor="text1"/>
          <w:sz w:val="20"/>
          <w:szCs w:val="20"/>
        </w:rPr>
        <w:t xml:space="preserve">0 submissions = </w:t>
      </w:r>
      <w:r>
        <w:rPr>
          <w:rFonts w:ascii="Arial" w:eastAsia="Arial" w:hAnsi="Arial" w:cs="Arial"/>
          <w:color w:val="000000" w:themeColor="text1"/>
          <w:sz w:val="20"/>
          <w:szCs w:val="20"/>
        </w:rPr>
        <w:t>8</w:t>
      </w:r>
      <w:r w:rsidRPr="22AD3C6C">
        <w:rPr>
          <w:rFonts w:ascii="Arial" w:eastAsia="Arial" w:hAnsi="Arial" w:cs="Arial"/>
          <w:color w:val="000000" w:themeColor="text1"/>
          <w:sz w:val="20"/>
          <w:szCs w:val="20"/>
        </w:rPr>
        <w:t>0 hours x $</w:t>
      </w:r>
      <w:r>
        <w:rPr>
          <w:rFonts w:ascii="Arial" w:eastAsia="Arial" w:hAnsi="Arial" w:cs="Arial"/>
          <w:color w:val="000000" w:themeColor="text1"/>
          <w:sz w:val="20"/>
          <w:szCs w:val="20"/>
        </w:rPr>
        <w:t>49</w:t>
      </w:r>
      <w:r w:rsidRPr="22AD3C6C">
        <w:rPr>
          <w:rFonts w:ascii="Arial" w:eastAsia="Arial" w:hAnsi="Arial" w:cs="Arial"/>
          <w:color w:val="000000" w:themeColor="text1"/>
          <w:sz w:val="20"/>
          <w:szCs w:val="20"/>
        </w:rPr>
        <w:t xml:space="preserve"> = $</w:t>
      </w:r>
      <w:r>
        <w:rPr>
          <w:rFonts w:ascii="Arial" w:eastAsia="Arial" w:hAnsi="Arial" w:cs="Arial"/>
          <w:color w:val="000000" w:themeColor="text1"/>
          <w:sz w:val="20"/>
          <w:szCs w:val="20"/>
        </w:rPr>
        <w:t>3,920</w:t>
      </w:r>
      <w:r w:rsidRPr="22AD3C6C">
        <w:rPr>
          <w:rFonts w:ascii="Arial" w:eastAsia="Arial" w:hAnsi="Arial" w:cs="Arial"/>
          <w:color w:val="000000" w:themeColor="text1"/>
          <w:sz w:val="20"/>
          <w:szCs w:val="20"/>
        </w:rPr>
        <w:t>), annually.</w:t>
      </w:r>
    </w:p>
    <w:p w:rsidR="00E72780" w:rsidP="00E72780" w14:paraId="43E841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p w:rsidR="00E72780" w:rsidP="00E72780" w14:paraId="4024846A" w14:textId="564D8AB1">
      <w:pPr>
        <w:jc w:val="both"/>
        <w:rPr>
          <w:rFonts w:ascii="Arial" w:eastAsia="Arial" w:hAnsi="Arial" w:cs="Arial"/>
          <w:b/>
          <w:bCs/>
          <w:color w:val="000000" w:themeColor="text1"/>
          <w:sz w:val="20"/>
          <w:szCs w:val="20"/>
        </w:rPr>
      </w:pPr>
      <w:r w:rsidRPr="22AD3C6C">
        <w:rPr>
          <w:rFonts w:ascii="Arial" w:eastAsia="Arial" w:hAnsi="Arial" w:cs="Arial"/>
          <w:b/>
          <w:bCs/>
          <w:color w:val="000000" w:themeColor="text1"/>
          <w:sz w:val="20"/>
          <w:szCs w:val="20"/>
        </w:rPr>
        <w:t xml:space="preserve">The grand total annual cost to the Federal Government for the </w:t>
      </w:r>
      <w:r w:rsidR="00605545">
        <w:rPr>
          <w:rFonts w:ascii="Arial" w:eastAsia="Arial" w:hAnsi="Arial" w:cs="Arial"/>
          <w:b/>
          <w:bCs/>
          <w:color w:val="000000" w:themeColor="text1"/>
          <w:sz w:val="20"/>
          <w:szCs w:val="20"/>
        </w:rPr>
        <w:t>project management</w:t>
      </w:r>
      <w:r w:rsidRPr="22AD3C6C">
        <w:rPr>
          <w:rFonts w:ascii="Arial" w:eastAsia="Arial" w:hAnsi="Arial" w:cs="Arial"/>
          <w:b/>
          <w:bCs/>
          <w:color w:val="000000" w:themeColor="text1"/>
          <w:sz w:val="20"/>
          <w:szCs w:val="20"/>
        </w:rPr>
        <w:t xml:space="preserve"> stage is $</w:t>
      </w:r>
      <w:r w:rsidR="00B111C5">
        <w:rPr>
          <w:rFonts w:ascii="Arial" w:eastAsia="Arial" w:hAnsi="Arial" w:cs="Arial"/>
          <w:b/>
          <w:bCs/>
          <w:color w:val="000000" w:themeColor="text1"/>
          <w:sz w:val="20"/>
          <w:szCs w:val="20"/>
        </w:rPr>
        <w:t>3,920</w:t>
      </w:r>
      <w:r w:rsidRPr="22AD3C6C">
        <w:rPr>
          <w:rFonts w:ascii="Arial" w:eastAsia="Arial" w:hAnsi="Arial" w:cs="Arial"/>
          <w:b/>
          <w:bCs/>
          <w:color w:val="000000" w:themeColor="text1"/>
          <w:sz w:val="20"/>
          <w:szCs w:val="20"/>
        </w:rPr>
        <w:t xml:space="preserve"> as shown in the table below:</w:t>
      </w:r>
    </w:p>
    <w:p w:rsidR="00E72780" w:rsidP="00E72780" w14:paraId="53F8BEF5" w14:textId="77777777">
      <w:pPr>
        <w:ind w:left="360"/>
        <w:jc w:val="both"/>
        <w:rPr>
          <w:rFonts w:ascii="Arial" w:eastAsia="Arial" w:hAnsi="Arial" w:cs="Arial"/>
          <w:color w:val="000000" w:themeColor="text1"/>
          <w:sz w:val="20"/>
          <w:szCs w:val="20"/>
        </w:rPr>
      </w:pPr>
      <w:r w:rsidRPr="22AD3C6C">
        <w:rPr>
          <w:rFonts w:ascii="Arial" w:eastAsia="Arial" w:hAnsi="Arial" w:cs="Arial"/>
          <w:color w:val="000000" w:themeColor="text1"/>
          <w:sz w:val="20"/>
          <w:szCs w:val="20"/>
        </w:rPr>
        <w:t xml:space="preserve"> </w:t>
      </w:r>
    </w:p>
    <w:tbl>
      <w:tblPr>
        <w:tblW w:w="8976" w:type="dxa"/>
        <w:tblInd w:w="360" w:type="dxa"/>
        <w:tblLayout w:type="fixed"/>
        <w:tblLook w:val="04A0"/>
      </w:tblPr>
      <w:tblGrid>
        <w:gridCol w:w="4487"/>
        <w:gridCol w:w="4489"/>
      </w:tblGrid>
      <w:tr w14:paraId="4C4A4CE1" w14:textId="77777777" w:rsidTr="00D33AA5">
        <w:tblPrEx>
          <w:tblW w:w="8976" w:type="dxa"/>
          <w:tblInd w:w="360" w:type="dxa"/>
          <w:tblLayout w:type="fixed"/>
          <w:tblLook w:val="04A0"/>
        </w:tblPrEx>
        <w:trPr>
          <w:trHeight w:val="300"/>
        </w:trPr>
        <w:tc>
          <w:tcPr>
            <w:tcW w:w="4487" w:type="dxa"/>
            <w:tcBorders>
              <w:top w:val="single" w:sz="8" w:space="0" w:color="auto"/>
              <w:left w:val="single" w:sz="8" w:space="0" w:color="auto"/>
              <w:bottom w:val="single" w:sz="8" w:space="0" w:color="auto"/>
              <w:right w:val="single" w:sz="8" w:space="0" w:color="auto"/>
            </w:tcBorders>
            <w:tcMar>
              <w:left w:w="108" w:type="dxa"/>
              <w:right w:w="108" w:type="dxa"/>
            </w:tcMar>
          </w:tcPr>
          <w:p w:rsidR="00E72780" w:rsidP="002435C6" w14:paraId="08C29ECA" w14:textId="77777777">
            <w:pPr>
              <w:jc w:val="both"/>
              <w:rPr>
                <w:rFonts w:ascii="Arial" w:eastAsia="Arial" w:hAnsi="Arial" w:cs="Arial"/>
                <w:b/>
                <w:bCs/>
                <w:color w:val="000000" w:themeColor="text1"/>
                <w:sz w:val="20"/>
                <w:szCs w:val="20"/>
              </w:rPr>
            </w:pPr>
            <w:bookmarkStart w:id="1" w:name="_Hlk210726416"/>
            <w:r w:rsidRPr="22AD3C6C">
              <w:rPr>
                <w:rFonts w:ascii="Arial" w:eastAsia="Arial" w:hAnsi="Arial" w:cs="Arial"/>
                <w:b/>
                <w:bCs/>
                <w:color w:val="000000" w:themeColor="text1"/>
                <w:sz w:val="20"/>
                <w:szCs w:val="20"/>
              </w:rPr>
              <w:t>Project Stages</w:t>
            </w:r>
          </w:p>
        </w:tc>
        <w:tc>
          <w:tcPr>
            <w:tcW w:w="4489" w:type="dxa"/>
            <w:tcBorders>
              <w:top w:val="single" w:sz="8" w:space="0" w:color="auto"/>
              <w:left w:val="single" w:sz="8" w:space="0" w:color="auto"/>
              <w:bottom w:val="single" w:sz="8" w:space="0" w:color="auto"/>
              <w:right w:val="single" w:sz="8" w:space="0" w:color="auto"/>
            </w:tcBorders>
            <w:tcMar>
              <w:left w:w="108" w:type="dxa"/>
              <w:right w:w="108" w:type="dxa"/>
            </w:tcMar>
          </w:tcPr>
          <w:p w:rsidR="00E72780" w:rsidP="002435C6" w14:paraId="2D52606F" w14:textId="77777777">
            <w:pPr>
              <w:jc w:val="both"/>
              <w:rPr>
                <w:rFonts w:ascii="Arial" w:eastAsia="Arial" w:hAnsi="Arial" w:cs="Arial"/>
                <w:b/>
                <w:bCs/>
                <w:color w:val="000000" w:themeColor="text1"/>
                <w:sz w:val="20"/>
                <w:szCs w:val="20"/>
              </w:rPr>
            </w:pPr>
            <w:r w:rsidRPr="22AD3C6C">
              <w:rPr>
                <w:rFonts w:ascii="Arial" w:eastAsia="Arial" w:hAnsi="Arial" w:cs="Arial"/>
                <w:b/>
                <w:bCs/>
                <w:color w:val="000000" w:themeColor="text1"/>
                <w:sz w:val="20"/>
                <w:szCs w:val="20"/>
              </w:rPr>
              <w:t>Cost to the Federal Government</w:t>
            </w:r>
          </w:p>
        </w:tc>
      </w:tr>
      <w:tr w14:paraId="714D5432" w14:textId="77777777" w:rsidTr="00D33AA5">
        <w:tblPrEx>
          <w:tblW w:w="8976" w:type="dxa"/>
          <w:tblInd w:w="360" w:type="dxa"/>
          <w:tblLayout w:type="fixed"/>
          <w:tblLook w:val="04A0"/>
        </w:tblPrEx>
        <w:trPr>
          <w:trHeight w:val="300"/>
        </w:trPr>
        <w:tc>
          <w:tcPr>
            <w:tcW w:w="4487" w:type="dxa"/>
            <w:tcBorders>
              <w:top w:val="single" w:sz="8" w:space="0" w:color="auto"/>
              <w:left w:val="single" w:sz="8" w:space="0" w:color="auto"/>
              <w:bottom w:val="single" w:sz="8" w:space="0" w:color="auto"/>
              <w:right w:val="single" w:sz="8" w:space="0" w:color="auto"/>
            </w:tcBorders>
            <w:tcMar>
              <w:left w:w="108" w:type="dxa"/>
              <w:right w:w="108" w:type="dxa"/>
            </w:tcMar>
          </w:tcPr>
          <w:p w:rsidR="00E72780" w:rsidRPr="004E4451" w:rsidP="002435C6" w14:paraId="0CFCE68B" w14:textId="77777777">
            <w:pPr>
              <w:jc w:val="both"/>
              <w:rPr>
                <w:rFonts w:ascii="Arial" w:eastAsia="Arial" w:hAnsi="Arial" w:cs="Arial"/>
                <w:color w:val="000000" w:themeColor="text1"/>
                <w:sz w:val="20"/>
                <w:szCs w:val="20"/>
              </w:rPr>
            </w:pPr>
            <w:r w:rsidRPr="004E4451">
              <w:rPr>
                <w:rFonts w:ascii="Arial" w:eastAsia="Arial" w:hAnsi="Arial" w:cs="Arial"/>
                <w:color w:val="000000" w:themeColor="text1"/>
                <w:sz w:val="20"/>
                <w:szCs w:val="20"/>
              </w:rPr>
              <w:t xml:space="preserve">Project Management Stage </w:t>
            </w:r>
          </w:p>
        </w:tc>
        <w:tc>
          <w:tcPr>
            <w:tcW w:w="4489" w:type="dxa"/>
            <w:tcBorders>
              <w:top w:val="single" w:sz="8" w:space="0" w:color="auto"/>
              <w:left w:val="single" w:sz="8" w:space="0" w:color="auto"/>
              <w:bottom w:val="single" w:sz="8" w:space="0" w:color="auto"/>
              <w:right w:val="single" w:sz="8" w:space="0" w:color="auto"/>
            </w:tcBorders>
            <w:tcMar>
              <w:left w:w="108" w:type="dxa"/>
              <w:right w:w="108" w:type="dxa"/>
            </w:tcMar>
          </w:tcPr>
          <w:p w:rsidR="00E72780" w:rsidRPr="004E4451" w:rsidP="002435C6" w14:paraId="5D250C14" w14:textId="77777777">
            <w:pPr>
              <w:jc w:val="both"/>
              <w:rPr>
                <w:rFonts w:ascii="Arial" w:eastAsia="Arial" w:hAnsi="Arial" w:cs="Arial"/>
                <w:color w:val="000000" w:themeColor="text1"/>
                <w:sz w:val="20"/>
                <w:szCs w:val="20"/>
              </w:rPr>
            </w:pPr>
            <w:r w:rsidRPr="004E4451">
              <w:rPr>
                <w:rFonts w:ascii="Arial" w:eastAsia="Arial" w:hAnsi="Arial" w:cs="Arial"/>
                <w:color w:val="000000" w:themeColor="text1"/>
                <w:sz w:val="20"/>
                <w:szCs w:val="20"/>
              </w:rPr>
              <w:t>$</w:t>
            </w:r>
            <w:r>
              <w:rPr>
                <w:rFonts w:ascii="Arial" w:eastAsia="Arial" w:hAnsi="Arial" w:cs="Arial"/>
                <w:color w:val="000000" w:themeColor="text1"/>
                <w:sz w:val="20"/>
                <w:szCs w:val="20"/>
              </w:rPr>
              <w:t>3,920</w:t>
            </w:r>
          </w:p>
        </w:tc>
      </w:tr>
      <w:tr w14:paraId="40264126" w14:textId="77777777" w:rsidTr="00D33AA5">
        <w:tblPrEx>
          <w:tblW w:w="8976" w:type="dxa"/>
          <w:tblInd w:w="360" w:type="dxa"/>
          <w:tblLayout w:type="fixed"/>
          <w:tblLook w:val="04A0"/>
        </w:tblPrEx>
        <w:trPr>
          <w:trHeight w:val="300"/>
        </w:trPr>
        <w:tc>
          <w:tcPr>
            <w:tcW w:w="4487" w:type="dxa"/>
            <w:tcBorders>
              <w:top w:val="single" w:sz="8" w:space="0" w:color="auto"/>
              <w:left w:val="single" w:sz="8" w:space="0" w:color="auto"/>
              <w:bottom w:val="single" w:sz="8" w:space="0" w:color="auto"/>
              <w:right w:val="single" w:sz="8" w:space="0" w:color="auto"/>
            </w:tcBorders>
            <w:tcMar>
              <w:left w:w="108" w:type="dxa"/>
              <w:right w:w="108" w:type="dxa"/>
            </w:tcMar>
          </w:tcPr>
          <w:p w:rsidR="00E72780" w:rsidRPr="004E4451" w:rsidP="002435C6" w14:paraId="3EA408D0" w14:textId="77777777">
            <w:pPr>
              <w:jc w:val="both"/>
              <w:rPr>
                <w:rFonts w:ascii="Arial" w:eastAsia="Arial" w:hAnsi="Arial" w:cs="Arial"/>
                <w:sz w:val="20"/>
                <w:szCs w:val="20"/>
              </w:rPr>
            </w:pPr>
            <w:r w:rsidRPr="004E4451">
              <w:rPr>
                <w:rFonts w:ascii="Arial" w:eastAsia="Arial" w:hAnsi="Arial" w:cs="Arial"/>
                <w:sz w:val="20"/>
                <w:szCs w:val="20"/>
              </w:rPr>
              <w:t>The Grand Total</w:t>
            </w:r>
          </w:p>
        </w:tc>
        <w:tc>
          <w:tcPr>
            <w:tcW w:w="4489" w:type="dxa"/>
            <w:tcBorders>
              <w:top w:val="single" w:sz="8" w:space="0" w:color="auto"/>
              <w:left w:val="single" w:sz="8" w:space="0" w:color="auto"/>
              <w:bottom w:val="single" w:sz="8" w:space="0" w:color="auto"/>
              <w:right w:val="single" w:sz="8" w:space="0" w:color="auto"/>
            </w:tcBorders>
            <w:tcMar>
              <w:left w:w="108" w:type="dxa"/>
              <w:right w:w="108" w:type="dxa"/>
            </w:tcMar>
          </w:tcPr>
          <w:p w:rsidR="00E72780" w:rsidRPr="004E4451" w:rsidP="002435C6" w14:paraId="35F2D6C6" w14:textId="7A1DA155">
            <w:pPr>
              <w:jc w:val="both"/>
              <w:rPr>
                <w:rFonts w:ascii="Arial" w:eastAsia="Arial" w:hAnsi="Arial" w:cs="Arial"/>
                <w:sz w:val="20"/>
                <w:szCs w:val="20"/>
              </w:rPr>
            </w:pPr>
            <w:r w:rsidRPr="004E4451">
              <w:rPr>
                <w:rFonts w:ascii="Arial" w:eastAsia="Arial" w:hAnsi="Arial" w:cs="Arial"/>
                <w:sz w:val="20"/>
                <w:szCs w:val="20"/>
              </w:rPr>
              <w:t>$</w:t>
            </w:r>
            <w:r w:rsidR="00B111C5">
              <w:rPr>
                <w:rFonts w:ascii="Arial" w:eastAsia="Arial" w:hAnsi="Arial" w:cs="Arial"/>
                <w:sz w:val="20"/>
                <w:szCs w:val="20"/>
              </w:rPr>
              <w:t>3,920</w:t>
            </w:r>
          </w:p>
        </w:tc>
      </w:tr>
    </w:tbl>
    <w:bookmarkEnd w:id="1"/>
    <w:p w:rsidR="00BD1BF2" w14:paraId="781FD8A2"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8B0202" w:rsidRPr="008B0202" w14:paraId="360B791A" w14:textId="77777777">
      <w:pPr>
        <w:pStyle w:val="NormalWeb"/>
        <w:rPr>
          <w:rFonts w:ascii="Arial" w:eastAsia="Times New Roman" w:hAnsi="Arial" w:cs="Arial"/>
          <w:sz w:val="20"/>
          <w:szCs w:val="20"/>
        </w:rPr>
      </w:pPr>
      <w:r w:rsidRPr="008B0202">
        <w:rPr>
          <w:rFonts w:ascii="Arial" w:eastAsia="Times New Roman" w:hAnsi="Arial" w:cs="Arial"/>
          <w:sz w:val="20"/>
          <w:szCs w:val="20"/>
        </w:rPr>
        <w:t>None. This is a new submission.</w:t>
      </w:r>
    </w:p>
    <w:p w:rsidR="00BD1BF2" w14:paraId="7929AA06" w14:textId="06564115">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7873E6" w:rsidRPr="00C079A1" w14:paraId="228AD88D" w14:textId="2F02B3A0">
      <w:pPr>
        <w:pStyle w:val="NormalWeb"/>
        <w:rPr>
          <w:rFonts w:ascii="Arial" w:eastAsia="Times New Roman" w:hAnsi="Arial" w:cs="Arial"/>
          <w:sz w:val="20"/>
          <w:szCs w:val="20"/>
        </w:rPr>
      </w:pPr>
      <w:r w:rsidRPr="00C079A1">
        <w:rPr>
          <w:rFonts w:ascii="Arial" w:eastAsia="Times New Roman" w:hAnsi="Arial" w:cs="Arial"/>
          <w:sz w:val="20"/>
          <w:szCs w:val="20"/>
        </w:rPr>
        <w:t>Submitted reports will be aggregated within the Microsoft Forms application</w:t>
      </w:r>
      <w:r w:rsidRPr="00C079A1" w:rsidR="00DC7309">
        <w:rPr>
          <w:rFonts w:ascii="Arial" w:eastAsia="Times New Roman" w:hAnsi="Arial" w:cs="Arial"/>
          <w:sz w:val="20"/>
          <w:szCs w:val="20"/>
        </w:rPr>
        <w:t>.</w:t>
      </w:r>
      <w:r w:rsidRPr="00C079A1">
        <w:rPr>
          <w:rFonts w:ascii="Arial" w:eastAsia="Times New Roman" w:hAnsi="Arial" w:cs="Arial"/>
          <w:sz w:val="20"/>
          <w:szCs w:val="20"/>
        </w:rPr>
        <w:t xml:space="preserve"> The results of </w:t>
      </w:r>
      <w:r w:rsidRPr="00C079A1" w:rsidR="00DC7309">
        <w:rPr>
          <w:rFonts w:ascii="Arial" w:eastAsia="Times New Roman" w:hAnsi="Arial" w:cs="Arial"/>
          <w:sz w:val="20"/>
          <w:szCs w:val="20"/>
        </w:rPr>
        <w:t>HCTP Grant performance measures</w:t>
      </w:r>
      <w:r w:rsidRPr="00C079A1" w:rsidR="00626E2B">
        <w:rPr>
          <w:rFonts w:ascii="Arial" w:eastAsia="Times New Roman" w:hAnsi="Arial" w:cs="Arial"/>
          <w:sz w:val="20"/>
          <w:szCs w:val="20"/>
        </w:rPr>
        <w:t xml:space="preserve"> </w:t>
      </w:r>
      <w:r w:rsidRPr="00C079A1">
        <w:rPr>
          <w:rFonts w:ascii="Arial" w:eastAsia="Times New Roman" w:hAnsi="Arial" w:cs="Arial"/>
          <w:sz w:val="20"/>
          <w:szCs w:val="20"/>
        </w:rPr>
        <w:t xml:space="preserve">analysis will be used </w:t>
      </w:r>
      <w:r w:rsidRPr="00C079A1" w:rsidR="00626E2B">
        <w:rPr>
          <w:rFonts w:ascii="Arial" w:eastAsia="Times New Roman" w:hAnsi="Arial" w:cs="Arial"/>
          <w:sz w:val="20"/>
          <w:szCs w:val="20"/>
        </w:rPr>
        <w:t>as necessary</w:t>
      </w:r>
      <w:r w:rsidRPr="00C079A1" w:rsidR="00C079A1">
        <w:rPr>
          <w:rFonts w:ascii="Arial" w:eastAsia="Times New Roman" w:hAnsi="Arial" w:cs="Arial"/>
          <w:sz w:val="20"/>
          <w:szCs w:val="20"/>
        </w:rPr>
        <w:t xml:space="preserve"> </w:t>
      </w:r>
      <w:r w:rsidRPr="00C079A1">
        <w:rPr>
          <w:rFonts w:ascii="Arial" w:eastAsia="Times New Roman" w:hAnsi="Arial" w:cs="Arial"/>
          <w:sz w:val="20"/>
          <w:szCs w:val="20"/>
        </w:rPr>
        <w:t xml:space="preserve">for strategic planning and </w:t>
      </w:r>
      <w:r w:rsidRPr="00C079A1" w:rsidR="00C079A1">
        <w:rPr>
          <w:rFonts w:ascii="Arial" w:eastAsia="Times New Roman" w:hAnsi="Arial" w:cs="Arial"/>
          <w:sz w:val="20"/>
          <w:szCs w:val="20"/>
        </w:rPr>
        <w:t>decision-making and</w:t>
      </w:r>
      <w:r w:rsidRPr="00C079A1">
        <w:rPr>
          <w:rFonts w:ascii="Arial" w:eastAsia="Times New Roman" w:hAnsi="Arial" w:cs="Arial"/>
          <w:sz w:val="20"/>
          <w:szCs w:val="20"/>
        </w:rPr>
        <w:t xml:space="preserve"> will be shared with agency staff as needed.</w:t>
      </w:r>
    </w:p>
    <w:p w:rsidR="00BD1BF2" w14:paraId="3728E482" w14:textId="798FF3DA">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7A3854" w:rsidRPr="007A3854" w14:paraId="53BED4A3" w14:textId="1CA0AF22">
      <w:pPr>
        <w:pStyle w:val="NormalWeb"/>
        <w:rPr>
          <w:rFonts w:ascii="Arial" w:eastAsia="Times New Roman" w:hAnsi="Arial" w:cs="Arial"/>
          <w:sz w:val="20"/>
          <w:szCs w:val="20"/>
        </w:rPr>
      </w:pPr>
      <w:r w:rsidRPr="007A3854">
        <w:rPr>
          <w:rFonts w:ascii="Arial" w:eastAsia="Times New Roman" w:hAnsi="Arial" w:cs="Arial"/>
          <w:sz w:val="20"/>
          <w:szCs w:val="20"/>
        </w:rPr>
        <w:t>HIF will display the expiration date of OMB approval as directed.</w:t>
      </w:r>
    </w:p>
    <w:p w:rsidR="00BD1BF2" w14:paraId="5C4BB4D3" w14:textId="169B0295">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BD1BF2" w14:paraId="5F64D96B" w14:textId="7234C61C">
      <w:pPr>
        <w:rPr>
          <w:rFonts w:ascii="Arial" w:hAnsi="Arial" w:cs="Arial"/>
          <w:sz w:val="20"/>
          <w:szCs w:val="20"/>
        </w:rPr>
      </w:pPr>
      <w:r>
        <w:rPr>
          <w:rFonts w:ascii="Arial" w:hAnsi="Arial" w:cs="Arial"/>
          <w:sz w:val="20"/>
          <w:szCs w:val="20"/>
        </w:rPr>
        <w:t>None.</w:t>
      </w:r>
      <w:r w:rsidRPr="007A3854" w:rsidR="00FA4D1D">
        <w:rPr>
          <w:rFonts w:ascii="Arial" w:hAnsi="Arial" w:cs="Arial"/>
          <w:sz w:val="20"/>
          <w:szCs w:val="20"/>
        </w:rPr>
        <w:t xml:space="preserve"> </w:t>
      </w:r>
      <w:r w:rsidRPr="007A3854">
        <w:rPr>
          <w:rFonts w:ascii="Arial" w:hAnsi="Arial" w:cs="Arial"/>
          <w:sz w:val="20"/>
          <w:szCs w:val="20"/>
        </w:rPr>
        <w:t xml:space="preserve"> </w:t>
      </w:r>
    </w:p>
    <w:p w:rsidR="00BD1BF2" w14:paraId="3AF5C4C0" w14:textId="77777777">
      <w:pPr>
        <w:rPr>
          <w:color w:val="FF0000"/>
        </w:rPr>
      </w:pPr>
      <w:r>
        <w:rPr>
          <w:color w:val="FF0000"/>
        </w:rPr>
        <w:br/>
      </w:r>
      <w:r>
        <w:rPr>
          <w:color w:val="FF0000"/>
        </w:rPr>
        <w:br/>
      </w:r>
      <w:r>
        <w:rPr>
          <w:color w:val="FF0000"/>
        </w:rP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A5941" w:rsidP="00E72780" w14:paraId="63E640FF" w14:textId="77777777">
      <w:r>
        <w:separator/>
      </w:r>
    </w:p>
  </w:footnote>
  <w:footnote w:type="continuationSeparator" w:id="1">
    <w:p w:rsidR="00AA5941" w:rsidP="00E72780" w14:paraId="43808B87" w14:textId="77777777">
      <w:r>
        <w:continuationSeparator/>
      </w:r>
    </w:p>
  </w:footnote>
  <w:footnote w:id="2">
    <w:p w:rsidR="000A153E" w14:paraId="7FF1CF54" w14:textId="19DCF38A">
      <w:pPr>
        <w:pStyle w:val="FootnoteText"/>
      </w:pPr>
      <w:r>
        <w:rPr>
          <w:rStyle w:val="FootnoteReference"/>
        </w:rPr>
        <w:footnoteRef/>
      </w:r>
      <w:r>
        <w:t xml:space="preserve"> </w:t>
      </w:r>
      <w:r w:rsidRPr="000A153E">
        <w:t>https://www.opm.gov/policy-data-oversight/pay-leave/salaries-wages/salary-tables/pdf/2026/GS_h.pdf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215EF"/>
    <w:rsid w:val="000428B1"/>
    <w:rsid w:val="00046478"/>
    <w:rsid w:val="000709E5"/>
    <w:rsid w:val="00092D52"/>
    <w:rsid w:val="000A153E"/>
    <w:rsid w:val="000B0BE2"/>
    <w:rsid w:val="000B3D98"/>
    <w:rsid w:val="000B48D0"/>
    <w:rsid w:val="000C616A"/>
    <w:rsid w:val="000F1B88"/>
    <w:rsid w:val="0010535A"/>
    <w:rsid w:val="001106E3"/>
    <w:rsid w:val="0011385C"/>
    <w:rsid w:val="001204B4"/>
    <w:rsid w:val="00125849"/>
    <w:rsid w:val="00125C80"/>
    <w:rsid w:val="0015775C"/>
    <w:rsid w:val="001A0CEE"/>
    <w:rsid w:val="001A4E85"/>
    <w:rsid w:val="001A5890"/>
    <w:rsid w:val="001E31E4"/>
    <w:rsid w:val="001E59C5"/>
    <w:rsid w:val="00211FA6"/>
    <w:rsid w:val="00231B3F"/>
    <w:rsid w:val="00233FAF"/>
    <w:rsid w:val="002435C6"/>
    <w:rsid w:val="00267CE9"/>
    <w:rsid w:val="00276BEC"/>
    <w:rsid w:val="002A112E"/>
    <w:rsid w:val="002A1A2B"/>
    <w:rsid w:val="002A608A"/>
    <w:rsid w:val="002B7BFD"/>
    <w:rsid w:val="002D428D"/>
    <w:rsid w:val="002D51ED"/>
    <w:rsid w:val="003624F2"/>
    <w:rsid w:val="003720C9"/>
    <w:rsid w:val="00382442"/>
    <w:rsid w:val="00383B6C"/>
    <w:rsid w:val="003B18C4"/>
    <w:rsid w:val="003B46A9"/>
    <w:rsid w:val="003B67D0"/>
    <w:rsid w:val="003C35AE"/>
    <w:rsid w:val="003C55EE"/>
    <w:rsid w:val="003D0E7B"/>
    <w:rsid w:val="003D698E"/>
    <w:rsid w:val="00410092"/>
    <w:rsid w:val="0041177E"/>
    <w:rsid w:val="0041195B"/>
    <w:rsid w:val="00422FD1"/>
    <w:rsid w:val="00424F49"/>
    <w:rsid w:val="00431C89"/>
    <w:rsid w:val="004636E2"/>
    <w:rsid w:val="004A457D"/>
    <w:rsid w:val="004B2678"/>
    <w:rsid w:val="004B29AF"/>
    <w:rsid w:val="004C0B75"/>
    <w:rsid w:val="004E13E2"/>
    <w:rsid w:val="004E4451"/>
    <w:rsid w:val="004F24D1"/>
    <w:rsid w:val="004F52ED"/>
    <w:rsid w:val="0052672D"/>
    <w:rsid w:val="00532A1F"/>
    <w:rsid w:val="00532EDA"/>
    <w:rsid w:val="005348E6"/>
    <w:rsid w:val="00555CA6"/>
    <w:rsid w:val="005A1547"/>
    <w:rsid w:val="005D6AF5"/>
    <w:rsid w:val="005D7451"/>
    <w:rsid w:val="005F1237"/>
    <w:rsid w:val="00605545"/>
    <w:rsid w:val="00610624"/>
    <w:rsid w:val="00626E2B"/>
    <w:rsid w:val="00643987"/>
    <w:rsid w:val="00663648"/>
    <w:rsid w:val="00665B26"/>
    <w:rsid w:val="006740A7"/>
    <w:rsid w:val="00674437"/>
    <w:rsid w:val="00674730"/>
    <w:rsid w:val="00686B1A"/>
    <w:rsid w:val="006A1C56"/>
    <w:rsid w:val="006C0FAC"/>
    <w:rsid w:val="006C488C"/>
    <w:rsid w:val="006D7EC9"/>
    <w:rsid w:val="006E0A54"/>
    <w:rsid w:val="00700A73"/>
    <w:rsid w:val="007069A7"/>
    <w:rsid w:val="007102EC"/>
    <w:rsid w:val="00717F8E"/>
    <w:rsid w:val="0072053D"/>
    <w:rsid w:val="007334E9"/>
    <w:rsid w:val="007873E6"/>
    <w:rsid w:val="007A3854"/>
    <w:rsid w:val="007A6F2F"/>
    <w:rsid w:val="007E670C"/>
    <w:rsid w:val="007F48F4"/>
    <w:rsid w:val="007F626A"/>
    <w:rsid w:val="007F7934"/>
    <w:rsid w:val="008012EE"/>
    <w:rsid w:val="00802346"/>
    <w:rsid w:val="008246BD"/>
    <w:rsid w:val="008442BB"/>
    <w:rsid w:val="00852FDC"/>
    <w:rsid w:val="00871228"/>
    <w:rsid w:val="00872152"/>
    <w:rsid w:val="00877639"/>
    <w:rsid w:val="008B0202"/>
    <w:rsid w:val="00906CFD"/>
    <w:rsid w:val="00913F2E"/>
    <w:rsid w:val="009465CF"/>
    <w:rsid w:val="00955338"/>
    <w:rsid w:val="0097564F"/>
    <w:rsid w:val="009B40D1"/>
    <w:rsid w:val="009C4F76"/>
    <w:rsid w:val="009F0A1F"/>
    <w:rsid w:val="00A07635"/>
    <w:rsid w:val="00A10A3A"/>
    <w:rsid w:val="00A54ECE"/>
    <w:rsid w:val="00A825B5"/>
    <w:rsid w:val="00A86998"/>
    <w:rsid w:val="00AA5941"/>
    <w:rsid w:val="00AB139B"/>
    <w:rsid w:val="00AB6B35"/>
    <w:rsid w:val="00AF78B4"/>
    <w:rsid w:val="00B047AA"/>
    <w:rsid w:val="00B111C5"/>
    <w:rsid w:val="00B3453B"/>
    <w:rsid w:val="00B7651F"/>
    <w:rsid w:val="00BA100B"/>
    <w:rsid w:val="00BA6059"/>
    <w:rsid w:val="00BD1BF2"/>
    <w:rsid w:val="00BD2D35"/>
    <w:rsid w:val="00BF6F54"/>
    <w:rsid w:val="00C04C2E"/>
    <w:rsid w:val="00C04C42"/>
    <w:rsid w:val="00C079A1"/>
    <w:rsid w:val="00C17627"/>
    <w:rsid w:val="00C23303"/>
    <w:rsid w:val="00C25833"/>
    <w:rsid w:val="00C3655F"/>
    <w:rsid w:val="00C4037A"/>
    <w:rsid w:val="00C41E62"/>
    <w:rsid w:val="00C62F11"/>
    <w:rsid w:val="00C711AF"/>
    <w:rsid w:val="00C71E95"/>
    <w:rsid w:val="00CA121E"/>
    <w:rsid w:val="00CB3BAE"/>
    <w:rsid w:val="00CB713A"/>
    <w:rsid w:val="00CD1F2D"/>
    <w:rsid w:val="00CD5E84"/>
    <w:rsid w:val="00CE0648"/>
    <w:rsid w:val="00CF4912"/>
    <w:rsid w:val="00CF6632"/>
    <w:rsid w:val="00D011E2"/>
    <w:rsid w:val="00D04626"/>
    <w:rsid w:val="00D167EB"/>
    <w:rsid w:val="00D26891"/>
    <w:rsid w:val="00D30BC5"/>
    <w:rsid w:val="00D33AA5"/>
    <w:rsid w:val="00D52F26"/>
    <w:rsid w:val="00D53C6A"/>
    <w:rsid w:val="00D5528B"/>
    <w:rsid w:val="00D71991"/>
    <w:rsid w:val="00D80C56"/>
    <w:rsid w:val="00D82FD7"/>
    <w:rsid w:val="00D934BB"/>
    <w:rsid w:val="00DA12ED"/>
    <w:rsid w:val="00DA64C8"/>
    <w:rsid w:val="00DA64FB"/>
    <w:rsid w:val="00DB1E81"/>
    <w:rsid w:val="00DC2049"/>
    <w:rsid w:val="00DC4B38"/>
    <w:rsid w:val="00DC59DA"/>
    <w:rsid w:val="00DC7309"/>
    <w:rsid w:val="00DF7A7B"/>
    <w:rsid w:val="00E01149"/>
    <w:rsid w:val="00E15314"/>
    <w:rsid w:val="00E202A8"/>
    <w:rsid w:val="00E52E7A"/>
    <w:rsid w:val="00E63F75"/>
    <w:rsid w:val="00E72780"/>
    <w:rsid w:val="00E87F83"/>
    <w:rsid w:val="00E96145"/>
    <w:rsid w:val="00EA5DD2"/>
    <w:rsid w:val="00EC585A"/>
    <w:rsid w:val="00EE0E1D"/>
    <w:rsid w:val="00EF2381"/>
    <w:rsid w:val="00F06E53"/>
    <w:rsid w:val="00F16F17"/>
    <w:rsid w:val="00F4382A"/>
    <w:rsid w:val="00F5322F"/>
    <w:rsid w:val="00F55356"/>
    <w:rsid w:val="00F63987"/>
    <w:rsid w:val="00F77765"/>
    <w:rsid w:val="00F82895"/>
    <w:rsid w:val="00FA0872"/>
    <w:rsid w:val="00FA0E7D"/>
    <w:rsid w:val="00FA4D1D"/>
    <w:rsid w:val="00FB59BF"/>
    <w:rsid w:val="00FC73B9"/>
    <w:rsid w:val="00FE29BF"/>
    <w:rsid w:val="22AD3C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608570"/>
  <w15:chartTrackingRefBased/>
  <w15:docId w15:val="{7FFDDE8F-09F4-46D4-8739-4F8B6172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rPr>
      <w:rFonts w:ascii="Arial" w:hAnsi="Arial" w:cs="Arial"/>
      <w:color w:val="FF0000"/>
      <w:sz w:val="20"/>
      <w:szCs w:val="20"/>
    </w:rPr>
  </w:style>
  <w:style w:type="character" w:styleId="CommentReference">
    <w:name w:val="annotation reference"/>
    <w:basedOn w:val="DefaultParagraphFont"/>
    <w:rsid w:val="00E87F83"/>
    <w:rPr>
      <w:sz w:val="16"/>
      <w:szCs w:val="16"/>
    </w:rPr>
  </w:style>
  <w:style w:type="paragraph" w:styleId="CommentText">
    <w:name w:val="annotation text"/>
    <w:basedOn w:val="Normal"/>
    <w:link w:val="CommentTextChar"/>
    <w:rsid w:val="00E87F83"/>
    <w:rPr>
      <w:sz w:val="20"/>
      <w:szCs w:val="20"/>
    </w:rPr>
  </w:style>
  <w:style w:type="character" w:customStyle="1" w:styleId="CommentTextChar">
    <w:name w:val="Comment Text Char"/>
    <w:basedOn w:val="DefaultParagraphFont"/>
    <w:link w:val="CommentText"/>
    <w:rsid w:val="00E87F83"/>
  </w:style>
  <w:style w:type="paragraph" w:styleId="CommentSubject">
    <w:name w:val="annotation subject"/>
    <w:basedOn w:val="CommentText"/>
    <w:next w:val="CommentText"/>
    <w:link w:val="CommentSubjectChar"/>
    <w:rsid w:val="00E87F83"/>
    <w:rPr>
      <w:b/>
      <w:bCs/>
    </w:rPr>
  </w:style>
  <w:style w:type="character" w:customStyle="1" w:styleId="CommentSubjectChar">
    <w:name w:val="Comment Subject Char"/>
    <w:basedOn w:val="CommentTextChar"/>
    <w:link w:val="CommentSubject"/>
    <w:rsid w:val="00E87F83"/>
    <w:rPr>
      <w:b/>
      <w:bCs/>
    </w:rPr>
  </w:style>
  <w:style w:type="paragraph" w:styleId="Revision">
    <w:name w:val="Revision"/>
    <w:hidden/>
    <w:uiPriority w:val="99"/>
    <w:semiHidden/>
    <w:rsid w:val="00CB713A"/>
    <w:rPr>
      <w:sz w:val="24"/>
      <w:szCs w:val="24"/>
    </w:rPr>
  </w:style>
  <w:style w:type="character" w:customStyle="1" w:styleId="BodyTextChar">
    <w:name w:val="Body Text Char"/>
    <w:basedOn w:val="DefaultParagraphFont"/>
    <w:link w:val="BodyText"/>
    <w:rsid w:val="00382442"/>
    <w:rPr>
      <w:rFonts w:ascii="Arial" w:hAnsi="Arial" w:cs="Arial"/>
      <w:color w:val="FF0000"/>
    </w:rPr>
  </w:style>
  <w:style w:type="table" w:styleId="TableGrid">
    <w:name w:val="Table Grid"/>
    <w:basedOn w:val="TableNormal"/>
    <w:uiPriority w:val="59"/>
    <w:rsid w:val="003D0E7B"/>
    <w:rPr>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125C80"/>
    <w:rPr>
      <w:color w:val="2B579A"/>
      <w:shd w:val="clear" w:color="auto" w:fill="E1DFDD"/>
    </w:rPr>
  </w:style>
  <w:style w:type="paragraph" w:styleId="FootnoteText">
    <w:name w:val="footnote text"/>
    <w:basedOn w:val="Normal"/>
    <w:link w:val="FootnoteTextChar"/>
    <w:rsid w:val="00E72780"/>
    <w:rPr>
      <w:sz w:val="20"/>
      <w:szCs w:val="20"/>
    </w:rPr>
  </w:style>
  <w:style w:type="character" w:customStyle="1" w:styleId="FootnoteTextChar">
    <w:name w:val="Footnote Text Char"/>
    <w:basedOn w:val="DefaultParagraphFont"/>
    <w:link w:val="FootnoteText"/>
    <w:rsid w:val="00E72780"/>
  </w:style>
  <w:style w:type="character" w:styleId="FootnoteReference">
    <w:name w:val="footnote reference"/>
    <w:basedOn w:val="DefaultParagraphFont"/>
    <w:rsid w:val="00E72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6194A6F2A85A429CFBC92858145CBD" ma:contentTypeVersion="17" ma:contentTypeDescription="Create a new document." ma:contentTypeScope="" ma:versionID="ca0256e1efadc8c7f68e2504e0fcd467">
  <xsd:schema xmlns:xsd="http://www.w3.org/2001/XMLSchema" xmlns:xs="http://www.w3.org/2001/XMLSchema" xmlns:p="http://schemas.microsoft.com/office/2006/metadata/properties" xmlns:ns2="8017b8e9-90f1-45d4-9591-22d5bcd1803d" xmlns:ns3="fa206f85-77e9-4cb7-87d7-1bf038a27a5b" targetNamespace="http://schemas.microsoft.com/office/2006/metadata/properties" ma:root="true" ma:fieldsID="ff1f42f5cd4c794ea0a0cb17df322720" ns2:_="" ns3:_="">
    <xsd:import namespace="8017b8e9-90f1-45d4-9591-22d5bcd1803d"/>
    <xsd:import namespace="fa206f85-77e9-4cb7-87d7-1bf038a27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7b8e9-90f1-45d4-9591-22d5bcd18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Comments" ma:index="23" nillable="true" ma:displayName="Comments" ma:internalName="Comment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206f85-77e9-4cb7-87d7-1bf038a27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768ee6d-6020-4841-a518-a0db7a9c02ab}" ma:internalName="TaxCatchAll" ma:showField="CatchAllData" ma:web="fa206f85-77e9-4cb7-87d7-1bf038a2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7b8e9-90f1-45d4-9591-22d5bcd1803d">
      <Terms xmlns="http://schemas.microsoft.com/office/infopath/2007/PartnerControls"/>
    </lcf76f155ced4ddcb4097134ff3c332f>
    <TaxCatchAll xmlns="fa206f85-77e9-4cb7-87d7-1bf038a27a5b" xsi:nil="true"/>
    <Comments xmlns="8017b8e9-90f1-45d4-9591-22d5bcd1803d" xsi:nil="true"/>
  </documentManagement>
</p:properties>
</file>

<file path=customXml/itemProps1.xml><?xml version="1.0" encoding="utf-8"?>
<ds:datastoreItem xmlns:ds="http://schemas.openxmlformats.org/officeDocument/2006/customXml" ds:itemID="{39704496-6874-4E5D-A279-09530A04E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7b8e9-90f1-45d4-9591-22d5bcd1803d"/>
    <ds:schemaRef ds:uri="fa206f85-77e9-4cb7-87d7-1bf038a2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8C3F7-8B4B-4E39-8B48-7C14026AA55F}">
  <ds:schemaRefs>
    <ds:schemaRef ds:uri="http://schemas.microsoft.com/sharepoint/v3/contenttype/forms"/>
  </ds:schemaRefs>
</ds:datastoreItem>
</file>

<file path=customXml/itemProps3.xml><?xml version="1.0" encoding="utf-8"?>
<ds:datastoreItem xmlns:ds="http://schemas.openxmlformats.org/officeDocument/2006/customXml" ds:itemID="{088507E1-0F82-4182-AA4D-C0A2703F1710}">
  <ds:schemaRefs>
    <ds:schemaRef ds:uri="http://schemas.microsoft.com/office/2006/metadata/properties"/>
    <ds:schemaRef ds:uri="http://schemas.microsoft.com/office/infopath/2007/PartnerControls"/>
    <ds:schemaRef ds:uri="8017b8e9-90f1-45d4-9591-22d5bcd1803d"/>
    <ds:schemaRef ds:uri="fa206f85-77e9-4cb7-87d7-1bf038a27a5b"/>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23</cp:revision>
  <dcterms:created xsi:type="dcterms:W3CDTF">2026-05-14T20:12:00Z</dcterms:created>
  <dcterms:modified xsi:type="dcterms:W3CDTF">2026-06-17T14:09:00Z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0x010100316194A6F2A85A429CFBC92858145CBD</vt:lpwstr>
  </property>
  <property fmtid="{D5CDD505-2E9C-101B-9397-08002B2CF9AE}" pid="3" name="docLang">
    <vt:lpwstr>en</vt:lpwstr>
  </property>
  <property fmtid="{D5CDD505-2E9C-101B-9397-08002B2CF9AE}" pid="4" name="MediaServiceImageTags">
    <vt:lpwstr/>
  </property>
</Properties>
</file>