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E13B1" w:rsidP="006C7FAE" w14:paraId="78239CE7" w14:textId="77777777">
      <w:pPr>
        <w:jc w:val="center"/>
        <w:rPr>
          <w:b/>
          <w:sz w:val="24"/>
          <w:szCs w:val="24"/>
        </w:rPr>
      </w:pPr>
      <w:r w:rsidRPr="00167E53">
        <w:rPr>
          <w:b/>
          <w:sz w:val="24"/>
          <w:szCs w:val="24"/>
        </w:rPr>
        <w:t>Supporting Statement for Paperwork Reduction Act Submissions</w:t>
      </w:r>
    </w:p>
    <w:p w:rsidR="008A1787" w14:paraId="40AE12C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24"/>
          <w:szCs w:val="24"/>
        </w:rPr>
      </w:pPr>
      <w:r w:rsidRPr="008A1787">
        <w:rPr>
          <w:b/>
          <w:sz w:val="24"/>
          <w:szCs w:val="24"/>
        </w:rPr>
        <w:t xml:space="preserve">Housing Discrimination Complaint </w:t>
      </w:r>
    </w:p>
    <w:p w:rsidR="00167E53" w:rsidRPr="00167E53" w14:paraId="0C0ADA6F" w14:textId="711335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24"/>
          <w:szCs w:val="24"/>
        </w:rPr>
      </w:pPr>
      <w:r w:rsidRPr="00167E53">
        <w:rPr>
          <w:b/>
          <w:sz w:val="24"/>
          <w:szCs w:val="24"/>
        </w:rPr>
        <w:t>(OMB#</w:t>
      </w:r>
      <w:r w:rsidR="00B64C6A">
        <w:rPr>
          <w:b/>
          <w:sz w:val="24"/>
          <w:szCs w:val="24"/>
        </w:rPr>
        <w:t xml:space="preserve"> </w:t>
      </w:r>
      <w:r w:rsidRPr="00B64C6A" w:rsidR="00B64C6A">
        <w:rPr>
          <w:b/>
          <w:sz w:val="24"/>
          <w:szCs w:val="24"/>
        </w:rPr>
        <w:t>2529-0011</w:t>
      </w:r>
      <w:r w:rsidRPr="00167E53">
        <w:rPr>
          <w:b/>
          <w:sz w:val="24"/>
          <w:szCs w:val="24"/>
        </w:rPr>
        <w:t>)</w:t>
      </w:r>
    </w:p>
    <w:p w:rsidR="009E13B1" w:rsidP="006C7FAE" w14:paraId="176A8089" w14:textId="77777777">
      <w:pPr>
        <w:rPr>
          <w:b/>
          <w:sz w:val="24"/>
          <w:szCs w:val="24"/>
        </w:rPr>
      </w:pPr>
    </w:p>
    <w:p w:rsidR="009E13B1" w:rsidRPr="006C7FAE" w14:paraId="6BD1C1B0"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sz w:val="24"/>
          <w:szCs w:val="24"/>
        </w:rPr>
      </w:pPr>
      <w:r w:rsidRPr="006C7FAE">
        <w:rPr>
          <w:rFonts w:ascii="Helvetica" w:hAnsi="Helvetica"/>
          <w:b/>
          <w:sz w:val="24"/>
          <w:szCs w:val="24"/>
        </w:rPr>
        <w:t xml:space="preserve">A. </w:t>
      </w:r>
      <w:r w:rsidRPr="006C7FAE">
        <w:rPr>
          <w:rFonts w:ascii="Helvetica" w:hAnsi="Helvetica"/>
          <w:b/>
          <w:sz w:val="24"/>
          <w:szCs w:val="24"/>
        </w:rPr>
        <w:tab/>
        <w:t>Justification</w:t>
      </w:r>
    </w:p>
    <w:p w:rsidR="009E13B1" w:rsidRPr="006C7FAE" w14:paraId="6900666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sz w:val="24"/>
          <w:szCs w:val="24"/>
        </w:rPr>
      </w:pPr>
    </w:p>
    <w:p w:rsidR="009E13B1" w14:paraId="4F66A6EF" w14:textId="77777777">
      <w:pPr>
        <w:keepLines/>
        <w:tabs>
          <w:tab w:val="left" w:pos="360"/>
        </w:tabs>
        <w:spacing w:after="80"/>
        <w:ind w:left="360" w:hanging="360"/>
        <w:rPr>
          <w:sz w:val="24"/>
          <w:szCs w:val="24"/>
        </w:rPr>
      </w:pPr>
      <w:r w:rsidRPr="006C7FAE">
        <w:rPr>
          <w:sz w:val="24"/>
          <w:szCs w:val="24"/>
        </w:rPr>
        <w:t>1.</w:t>
      </w:r>
      <w:r w:rsidRPr="006C7FAE">
        <w:rPr>
          <w:sz w:val="24"/>
          <w:szCs w:val="24"/>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0F6283" w14:paraId="3296C836" w14:textId="77777777">
      <w:pPr>
        <w:keepLines/>
        <w:tabs>
          <w:tab w:val="left" w:pos="360"/>
        </w:tabs>
        <w:spacing w:after="80"/>
        <w:ind w:left="360" w:hanging="360"/>
        <w:rPr>
          <w:sz w:val="24"/>
          <w:szCs w:val="24"/>
        </w:rPr>
      </w:pPr>
    </w:p>
    <w:p w:rsidR="000F6283" w:rsidP="008A1787" w14:paraId="4238233E" w14:textId="4FAB2037">
      <w:pPr>
        <w:ind w:left="90"/>
        <w:rPr>
          <w:rFonts w:ascii="CG Times" w:hAnsi="CG Times"/>
          <w:sz w:val="24"/>
        </w:rPr>
      </w:pPr>
      <w:r>
        <w:rPr>
          <w:rFonts w:ascii="CG Times" w:hAnsi="CG Times"/>
          <w:sz w:val="24"/>
        </w:rPr>
        <w:t>The “</w:t>
      </w:r>
      <w:r w:rsidRPr="00A95F19">
        <w:rPr>
          <w:rFonts w:ascii="CG Times" w:hAnsi="CG Times"/>
          <w:sz w:val="24"/>
        </w:rPr>
        <w:t>Housing Discrimination Complaint</w:t>
      </w:r>
      <w:r>
        <w:rPr>
          <w:rFonts w:ascii="CG Times" w:hAnsi="CG Times"/>
          <w:sz w:val="24"/>
        </w:rPr>
        <w:t xml:space="preserve">” previously titled the “Report Housing Discrimination” Form </w:t>
      </w:r>
      <w:r w:rsidRPr="00D27C40">
        <w:rPr>
          <w:rFonts w:ascii="CG Times" w:hAnsi="CG Times"/>
          <w:sz w:val="24"/>
        </w:rPr>
        <w:t xml:space="preserve">(HUD-903) is necessary for the collection of pertinent information from persons or entities who wish to file housing discrimination complaints with HUD under </w:t>
      </w:r>
      <w:r w:rsidRPr="00D27C40">
        <w:rPr>
          <w:sz w:val="24"/>
        </w:rPr>
        <w:t>§</w:t>
      </w:r>
      <w:r w:rsidRPr="00D27C40">
        <w:rPr>
          <w:rFonts w:ascii="CG Times" w:hAnsi="CG Times"/>
          <w:sz w:val="24"/>
        </w:rPr>
        <w:t>810(a) of the Fair Housing Act of 1968 (Act), as amended [42 U.S.C. §3601 et seq. and 24 C.F.R. Part 103, Subparts A and B]. The current form expired on September 30, 2025. HUD’s Office of Fair Housing and Equal Opportunity (FHEO) staff uses collected information to verify that the person or entity has standing as an aggrieved person to file a complaint under the Act; that the respondent is covered by the requirements of the Act; that the subject dwelling is covered by the requirements of the Act; that the alleged discriminatory activity is prohibited under the Act (subject matter jurisdiction); and that the alleged discriminatory activity occurred within the Act’s one-year statute of limitations for filing a complaint with HUD. Information is also collected to provide statutorily required notice to those accused of an unfair housing practice of the complaint against them. Effective as of October 1, 2022,</w:t>
      </w:r>
      <w:r>
        <w:rPr>
          <w:rFonts w:ascii="CG Times" w:hAnsi="CG Times"/>
          <w:sz w:val="24"/>
        </w:rPr>
        <w:t xml:space="preserve"> FHEO was authorized to file and investigate complaints alleging violations of the 2022 reauthorization of the </w:t>
      </w:r>
      <w:r w:rsidRPr="0074024B">
        <w:rPr>
          <w:rFonts w:ascii="CG Times" w:hAnsi="CG Times"/>
          <w:i/>
          <w:iCs/>
          <w:sz w:val="24"/>
        </w:rPr>
        <w:t>Violence Against Women Act</w:t>
      </w:r>
      <w:r>
        <w:rPr>
          <w:rFonts w:ascii="CG Times" w:hAnsi="CG Times"/>
          <w:sz w:val="24"/>
        </w:rPr>
        <w:t xml:space="preserve"> (VAWA) [34 U.S.C. </w:t>
      </w:r>
      <w:r>
        <w:rPr>
          <w:sz w:val="24"/>
        </w:rPr>
        <w:t>§§12491</w:t>
      </w:r>
      <w:r>
        <w:rPr>
          <w:rFonts w:ascii="CG Times" w:hAnsi="CG Times"/>
          <w:sz w:val="24"/>
        </w:rPr>
        <w:t xml:space="preserve"> </w:t>
      </w:r>
      <w:r>
        <w:rPr>
          <w:rFonts w:ascii="CG Times" w:hAnsi="CG Times"/>
          <w:sz w:val="24"/>
        </w:rPr>
        <w:t xml:space="preserve">- 12495]. FHEO is requesting to update the form to reflect current statutory authority, to simplify the housing discrimination intake process, and reduce the burden on the public and HUD employees. </w:t>
      </w:r>
    </w:p>
    <w:p w:rsidR="00914E51" w:rsidP="008A1787" w14:paraId="39031A91" w14:textId="77777777">
      <w:pPr>
        <w:ind w:left="90"/>
        <w:rPr>
          <w:rFonts w:ascii="CG Times" w:hAnsi="CG Times"/>
          <w:sz w:val="24"/>
        </w:rPr>
      </w:pPr>
    </w:p>
    <w:p w:rsidR="00914E51" w:rsidRPr="00D27C40" w:rsidP="00914E51" w14:paraId="1CEA60D1" w14:textId="3ACDD5AB">
      <w:pPr>
        <w:ind w:left="90"/>
        <w:rPr>
          <w:rFonts w:ascii="CG Times" w:hAnsi="CG Times"/>
          <w:sz w:val="24"/>
        </w:rPr>
      </w:pPr>
      <w:r w:rsidRPr="00D27C40">
        <w:rPr>
          <w:rFonts w:ascii="CG Times" w:hAnsi="CG Times"/>
          <w:sz w:val="24"/>
        </w:rPr>
        <w:t>The information collected is used by FHEO staff to contact aggrieved persons; verify jurisdiction under the Fair Housing Act; notify respondents of alleged violations; and develop, perfect, and investigate complaints. It is also used to establish jurisdiction under Title VI of the Civil Rights Act of 1964 (42 U.S.C. §§ 2000d–2000d</w:t>
      </w:r>
      <w:r w:rsidRPr="00D27C40">
        <w:rPr>
          <w:rFonts w:ascii="CG Times" w:hAnsi="CG Times"/>
          <w:sz w:val="24"/>
        </w:rPr>
        <w:noBreakHyphen/>
        <w:t>7); Section 504 of the Rehabilitation Act (29 U.S.C. § 794); Title II of the Americans with Disabilities Act (42 U.S.C. §§ 12131–12134); Section 109 of the Housing and Community Development Act (42 U.S.C. § 5309); the Age Discrimination Act of 1975 (42 U.S.C. §§ 6101–6107); Title IX (20 U.S.C. §§ 1681–83, 85</w:t>
      </w:r>
      <w:r w:rsidRPr="00D27C40">
        <w:rPr>
          <w:rFonts w:ascii="CG Times" w:hAnsi="CG Times"/>
          <w:sz w:val="24"/>
        </w:rPr>
        <w:noBreakHyphen/>
        <w:t xml:space="preserve">88); and the Architectural Barriers Act (42 U.S.C. §§ 4151 et seq.). </w:t>
      </w:r>
    </w:p>
    <w:p w:rsidR="00914E51" w:rsidP="00914E51" w14:paraId="669101DF" w14:textId="77777777">
      <w:pPr>
        <w:ind w:left="90"/>
        <w:rPr>
          <w:rFonts w:ascii="CG Times" w:hAnsi="CG Times"/>
          <w:sz w:val="24"/>
        </w:rPr>
      </w:pPr>
    </w:p>
    <w:p w:rsidR="00914E51" w:rsidRPr="00D27C40" w:rsidP="00914E51" w14:paraId="6401C0F2" w14:textId="77777777">
      <w:pPr>
        <w:ind w:left="90"/>
        <w:rPr>
          <w:rFonts w:ascii="CG Times" w:hAnsi="CG Times"/>
          <w:sz w:val="24"/>
        </w:rPr>
      </w:pPr>
      <w:r>
        <w:rPr>
          <w:rFonts w:ascii="CG Times" w:hAnsi="CG Times"/>
          <w:sz w:val="24"/>
        </w:rPr>
        <w:t>Provided here</w:t>
      </w:r>
      <w:r w:rsidRPr="00D27C40">
        <w:rPr>
          <w:rFonts w:ascii="CG Times" w:hAnsi="CG Times"/>
          <w:sz w:val="24"/>
        </w:rPr>
        <w:t xml:space="preserve"> are links to the Fair Housing Act (42 U.S.C. §3601 et seq.) at </w:t>
      </w:r>
      <w:hyperlink r:id="rId8" w:history="1">
        <w:r w:rsidRPr="00D27C40">
          <w:rPr>
            <w:rStyle w:val="Hyperlink"/>
            <w:rFonts w:ascii="CG Times" w:hAnsi="CG Times"/>
            <w:sz w:val="24"/>
          </w:rPr>
          <w:t>https://www.law.cornell.edu/uscode/text/42/chapter-45</w:t>
        </w:r>
      </w:hyperlink>
      <w:r>
        <w:rPr>
          <w:rFonts w:ascii="CG Times" w:hAnsi="CG Times"/>
          <w:sz w:val="24"/>
        </w:rPr>
        <w:t xml:space="preserve"> </w:t>
      </w:r>
      <w:r w:rsidRPr="00D27C40">
        <w:rPr>
          <w:rFonts w:ascii="CG Times" w:hAnsi="CG Times"/>
          <w:sz w:val="24"/>
        </w:rPr>
        <w:t xml:space="preserve">and HUD’s implementing regulation at </w:t>
      </w:r>
      <w:hyperlink r:id="rId9" w:history="1">
        <w:r w:rsidRPr="00D27C40">
          <w:rPr>
            <w:rStyle w:val="Hyperlink"/>
            <w:rFonts w:ascii="CG Times" w:hAnsi="CG Times"/>
            <w:sz w:val="24"/>
          </w:rPr>
          <w:t>https://www.ecfr.gov/current/title-24/subtitle-B/chapter-I/part-100</w:t>
        </w:r>
      </w:hyperlink>
      <w:r w:rsidRPr="00D27C40">
        <w:rPr>
          <w:rFonts w:ascii="CG Times" w:hAnsi="CG Times"/>
          <w:sz w:val="24"/>
        </w:rPr>
        <w:t>. Both authorize this collection (42 U.S.C. §3610; 24 C.F.R. Part 103, Subpart B).</w:t>
      </w:r>
    </w:p>
    <w:p w:rsidR="00914E51" w:rsidRPr="008A1787" w:rsidP="008A1787" w14:paraId="0D7D59CA" w14:textId="77777777">
      <w:pPr>
        <w:ind w:left="90"/>
        <w:rPr>
          <w:rFonts w:ascii="CG Times" w:hAnsi="CG Times"/>
          <w:sz w:val="24"/>
        </w:rPr>
      </w:pPr>
    </w:p>
    <w:p w:rsidR="00A508D2" w:rsidRPr="006C7FAE" w:rsidP="00A508D2" w14:paraId="420EC04F" w14:textId="77777777">
      <w:pPr>
        <w:tabs>
          <w:tab w:val="left" w:pos="360"/>
        </w:tabs>
        <w:ind w:left="360" w:hanging="360"/>
        <w:rPr>
          <w:sz w:val="24"/>
          <w:szCs w:val="24"/>
        </w:rPr>
      </w:pPr>
    </w:p>
    <w:p w:rsidR="009E13B1" w14:paraId="324CDFDE" w14:textId="77777777">
      <w:pPr>
        <w:keepLines/>
        <w:tabs>
          <w:tab w:val="left" w:pos="360"/>
        </w:tabs>
        <w:spacing w:after="80"/>
        <w:ind w:left="360" w:hanging="360"/>
        <w:rPr>
          <w:sz w:val="24"/>
          <w:szCs w:val="24"/>
        </w:rPr>
      </w:pPr>
      <w:r w:rsidRPr="006C7FAE">
        <w:rPr>
          <w:sz w:val="24"/>
          <w:szCs w:val="24"/>
        </w:rPr>
        <w:t>2.</w:t>
      </w:r>
      <w:r w:rsidRPr="006C7FAE">
        <w:rPr>
          <w:sz w:val="24"/>
          <w:szCs w:val="24"/>
        </w:rPr>
        <w:tab/>
        <w:t>Indicate how, by whom and for what purpose the information is to be used.  Except for a new collection, indicate the actual use the agency has made of the information received from the current collection.</w:t>
      </w:r>
    </w:p>
    <w:p w:rsidR="00027E0E" w14:paraId="1CB5E459" w14:textId="77777777">
      <w:pPr>
        <w:keepLines/>
        <w:tabs>
          <w:tab w:val="left" w:pos="360"/>
        </w:tabs>
        <w:spacing w:after="80"/>
        <w:ind w:left="360" w:hanging="360"/>
        <w:rPr>
          <w:sz w:val="24"/>
          <w:szCs w:val="24"/>
        </w:rPr>
      </w:pPr>
    </w:p>
    <w:p w:rsidR="00D27C40" w:rsidRPr="00D27C40" w:rsidP="00D27C40" w14:paraId="7C35D364" w14:textId="2AD161E6">
      <w:pPr>
        <w:ind w:left="90"/>
        <w:rPr>
          <w:rFonts w:ascii="CG Times" w:hAnsi="CG Times"/>
          <w:sz w:val="24"/>
        </w:rPr>
      </w:pPr>
      <w:r w:rsidRPr="00D27C40">
        <w:rPr>
          <w:rFonts w:ascii="CG Times" w:hAnsi="CG Times"/>
          <w:sz w:val="24"/>
        </w:rPr>
        <w:t xml:space="preserve">This submission </w:t>
      </w:r>
      <w:r>
        <w:rPr>
          <w:rFonts w:ascii="CG Times" w:hAnsi="CG Times"/>
          <w:sz w:val="24"/>
        </w:rPr>
        <w:t>is a reinstatement with change</w:t>
      </w:r>
      <w:r w:rsidR="008F4BF9">
        <w:rPr>
          <w:rFonts w:ascii="CG Times" w:hAnsi="CG Times"/>
          <w:sz w:val="24"/>
        </w:rPr>
        <w:t xml:space="preserve"> of </w:t>
      </w:r>
      <w:r w:rsidRPr="00D27C40" w:rsidR="008F4BF9">
        <w:rPr>
          <w:rFonts w:ascii="CG Times" w:hAnsi="CG Times"/>
          <w:sz w:val="24"/>
        </w:rPr>
        <w:t xml:space="preserve">the Housing Discrimination Complaint </w:t>
      </w:r>
      <w:r w:rsidR="008F4BF9">
        <w:rPr>
          <w:rFonts w:ascii="CG Times" w:hAnsi="CG Times"/>
          <w:sz w:val="24"/>
        </w:rPr>
        <w:t>f</w:t>
      </w:r>
      <w:r w:rsidRPr="00D27C40" w:rsidR="008F4BF9">
        <w:rPr>
          <w:rFonts w:ascii="CG Times" w:hAnsi="CG Times"/>
          <w:sz w:val="24"/>
        </w:rPr>
        <w:t>orm (HUD</w:t>
      </w:r>
      <w:r w:rsidRPr="00D27C40" w:rsidR="008F4BF9">
        <w:rPr>
          <w:rFonts w:ascii="CG Times" w:hAnsi="CG Times"/>
          <w:sz w:val="24"/>
        </w:rPr>
        <w:noBreakHyphen/>
        <w:t>903).</w:t>
      </w:r>
      <w:r w:rsidRPr="00D27C40">
        <w:rPr>
          <w:rFonts w:ascii="CG Times" w:hAnsi="CG Times"/>
          <w:sz w:val="24"/>
        </w:rPr>
        <w:t xml:space="preserve"> </w:t>
      </w:r>
      <w:r w:rsidRPr="00D27C40">
        <w:rPr>
          <w:rFonts w:ascii="CG Times" w:hAnsi="CG Times"/>
          <w:sz w:val="24"/>
        </w:rPr>
        <w:t xml:space="preserve">HUD/FHEO uses the information as the primary data source for the HUD Enforcement Management System (HEMS), where staff conduct intake and assessment, generate jurisdictional complaints, store evidence, document conciliation efforts under § 810(b), produce investigative reports and determinations under §§ 810(b) and 810(g), and prepare electronic case files for supervisory, OGC, and Headquarters review. The information is also used to contact aggrieved persons, notify respondents, and conduct investigations under the Fair Housing Act and other Federal civil rights authorities. </w:t>
      </w:r>
    </w:p>
    <w:p w:rsidR="00D27C40" w:rsidRPr="00D27C40" w:rsidP="00D27C40" w14:paraId="37FBB045" w14:textId="0F05CBE6">
      <w:pPr>
        <w:keepLines/>
        <w:tabs>
          <w:tab w:val="left" w:pos="360"/>
        </w:tabs>
        <w:spacing w:after="80"/>
        <w:rPr>
          <w:sz w:val="24"/>
          <w:szCs w:val="24"/>
        </w:rPr>
      </w:pPr>
    </w:p>
    <w:p w:rsidR="00D27C40" w:rsidRPr="00D27C40" w:rsidP="006B6CFD" w14:paraId="4DA6142B" w14:textId="200521F0">
      <w:pPr>
        <w:ind w:left="90"/>
        <w:rPr>
          <w:rFonts w:ascii="CG Times" w:hAnsi="CG Times"/>
          <w:sz w:val="24"/>
        </w:rPr>
      </w:pPr>
      <w:r w:rsidRPr="00D27C40">
        <w:rPr>
          <w:rFonts w:ascii="CG Times" w:hAnsi="CG Times"/>
          <w:sz w:val="24"/>
        </w:rPr>
        <w:t xml:space="preserve">The revised Form </w:t>
      </w:r>
      <w:r w:rsidRPr="006B6CFD" w:rsidR="006B6CFD">
        <w:rPr>
          <w:rFonts w:ascii="CG Times" w:hAnsi="CG Times"/>
          <w:sz w:val="24"/>
        </w:rPr>
        <w:t>introduces updates, including the addition of Violence Against Women Act (VAWA) protections—covering survivors of domestic violence, dating violence, sexual assault, and stalking—as new bases for filing housing discrimination complaints, along with explicit protections against retaliation for exercising VAWA rights. The new version incorporates clearer question prompts, expanded respondent and witness fields, updated submission instructions directing complaints to a central HUD office, and a statement clarifying that HUD will use English as the official language for all business and services.</w:t>
      </w:r>
      <w:r w:rsidR="006B6CFD">
        <w:rPr>
          <w:rFonts w:ascii="CG Times" w:hAnsi="CG Times"/>
          <w:sz w:val="24"/>
        </w:rPr>
        <w:t xml:space="preserve"> Additionally, the revised Form</w:t>
      </w:r>
      <w:r w:rsidRPr="00D27C40">
        <w:rPr>
          <w:rFonts w:ascii="CG Times" w:hAnsi="CG Times"/>
          <w:sz w:val="24"/>
        </w:rPr>
        <w:t xml:space="preserve"> adds a signature field that</w:t>
      </w:r>
      <w:r w:rsidR="006B6CFD">
        <w:rPr>
          <w:rFonts w:ascii="CG Times" w:hAnsi="CG Times"/>
          <w:sz w:val="24"/>
        </w:rPr>
        <w:t xml:space="preserve"> will</w:t>
      </w:r>
      <w:r w:rsidRPr="00D27C40">
        <w:rPr>
          <w:rFonts w:ascii="CG Times" w:hAnsi="CG Times"/>
          <w:sz w:val="24"/>
        </w:rPr>
        <w:t xml:space="preserve"> reduce processing time</w:t>
      </w:r>
      <w:r w:rsidR="006B6CFD">
        <w:rPr>
          <w:rFonts w:ascii="CG Times" w:hAnsi="CG Times"/>
          <w:sz w:val="24"/>
        </w:rPr>
        <w:t xml:space="preserve"> by getting a signature upfront.</w:t>
      </w:r>
      <w:r w:rsidRPr="00D27C40">
        <w:rPr>
          <w:rFonts w:ascii="CG Times" w:hAnsi="CG Times"/>
          <w:sz w:val="24"/>
        </w:rPr>
        <w:t xml:space="preserve"> </w:t>
      </w:r>
      <w:r w:rsidR="00432E8A">
        <w:rPr>
          <w:rFonts w:ascii="CG Times" w:hAnsi="CG Times"/>
          <w:sz w:val="24"/>
        </w:rPr>
        <w:t xml:space="preserve">The changes make the </w:t>
      </w:r>
      <w:r w:rsidR="00CC17A0">
        <w:rPr>
          <w:rFonts w:ascii="CG Times" w:hAnsi="CG Times"/>
          <w:sz w:val="24"/>
        </w:rPr>
        <w:t>process clearer to the user and improve the speed by which the form can be processed by HUD/FHEO staff.</w:t>
      </w:r>
    </w:p>
    <w:p w:rsidR="009E13B1" w:rsidRPr="006C7FAE" w:rsidP="00B71058" w14:paraId="4A350C48" w14:textId="54A9D1E5">
      <w:pPr>
        <w:keepLines/>
        <w:tabs>
          <w:tab w:val="left" w:pos="360"/>
        </w:tabs>
        <w:spacing w:after="80"/>
        <w:ind w:left="360" w:hanging="360"/>
        <w:rPr>
          <w:sz w:val="24"/>
          <w:szCs w:val="24"/>
        </w:rPr>
      </w:pPr>
      <w:r>
        <w:rPr>
          <w:sz w:val="24"/>
          <w:szCs w:val="24"/>
        </w:rPr>
        <w:tab/>
      </w:r>
      <w:r w:rsidR="00CC3389">
        <w:rPr>
          <w:sz w:val="24"/>
          <w:szCs w:val="24"/>
        </w:rPr>
        <w:tab/>
      </w:r>
    </w:p>
    <w:p w:rsidR="009E13B1" w:rsidRPr="006C7FAE" w14:paraId="70250EAE" w14:textId="7AF8E85F">
      <w:pPr>
        <w:keepLines/>
        <w:tabs>
          <w:tab w:val="left" w:pos="360"/>
        </w:tabs>
        <w:spacing w:after="80"/>
        <w:ind w:left="360" w:hanging="360"/>
        <w:rPr>
          <w:sz w:val="24"/>
          <w:szCs w:val="24"/>
        </w:rPr>
      </w:pPr>
      <w:r w:rsidRPr="006C7FAE">
        <w:rPr>
          <w:sz w:val="24"/>
          <w:szCs w:val="24"/>
        </w:rPr>
        <w:t>3.</w:t>
      </w:r>
      <w:r w:rsidRPr="006C7FAE">
        <w:rPr>
          <w:sz w:val="24"/>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9E13B1" w14:paraId="58B111F6" w14:textId="77777777">
      <w:pPr>
        <w:tabs>
          <w:tab w:val="left" w:pos="360"/>
        </w:tabs>
        <w:ind w:left="360" w:hanging="360"/>
        <w:rPr>
          <w:sz w:val="24"/>
          <w:szCs w:val="24"/>
        </w:rPr>
      </w:pPr>
    </w:p>
    <w:p w:rsidR="003A3280" w:rsidP="00D27C40" w14:paraId="269FAEE4" w14:textId="52D7EC31">
      <w:pPr>
        <w:ind w:left="90"/>
        <w:rPr>
          <w:rFonts w:ascii="CG Times" w:hAnsi="CG Times"/>
          <w:sz w:val="24"/>
        </w:rPr>
      </w:pPr>
      <w:r w:rsidRPr="00D27C40">
        <w:rPr>
          <w:rFonts w:ascii="CG Times" w:hAnsi="CG Times"/>
          <w:sz w:val="24"/>
        </w:rPr>
        <w:t xml:space="preserve">An online version of the Form is available at </w:t>
      </w:r>
      <w:hyperlink r:id="rId10" w:history="1">
        <w:r w:rsidR="005E24C7">
          <w:rPr>
            <w:rStyle w:val="Hyperlink"/>
            <w:rFonts w:ascii="CG Times" w:hAnsi="CG Times"/>
            <w:sz w:val="24"/>
          </w:rPr>
          <w:t>https://www.hud.gov</w:t>
        </w:r>
      </w:hyperlink>
      <w:r w:rsidRPr="00D27C40">
        <w:rPr>
          <w:rFonts w:ascii="CG Times" w:hAnsi="CG Times"/>
          <w:sz w:val="24"/>
        </w:rPr>
        <w:t>, where it may be completed, saved, and submitted electronically to HUD. Approximately 98% of submissions in FY2025 were received electronically. Because nearly all respondents already use the online Form, HUD does not anticipate a measurable reduction in burden from this revision. The updated Form maintains the efficiency of electronic submission while improving clarity and usability.</w:t>
      </w:r>
    </w:p>
    <w:p w:rsidR="00C17E0E" w:rsidP="00D27C40" w14:paraId="3A1F1782" w14:textId="77777777">
      <w:pPr>
        <w:ind w:left="90"/>
        <w:rPr>
          <w:rFonts w:ascii="CG Times" w:hAnsi="CG Times"/>
          <w:sz w:val="24"/>
        </w:rPr>
      </w:pPr>
    </w:p>
    <w:p w:rsidR="00134D74" w:rsidP="00134D74" w14:paraId="56EF0419" w14:textId="77777777">
      <w:pPr>
        <w:ind w:left="90"/>
        <w:rPr>
          <w:rFonts w:ascii="CG Times" w:hAnsi="CG Times"/>
          <w:sz w:val="24"/>
        </w:rPr>
      </w:pPr>
      <w:r>
        <w:rPr>
          <w:rFonts w:ascii="CG Times" w:hAnsi="CG Times"/>
          <w:sz w:val="24"/>
        </w:rPr>
        <w:t xml:space="preserve">Respondents unable to complete the electronic version of the form may print and mail a copy to </w:t>
      </w:r>
      <w:r w:rsidR="001073E2">
        <w:rPr>
          <w:rFonts w:ascii="CG Times" w:hAnsi="CG Times"/>
          <w:sz w:val="24"/>
        </w:rPr>
        <w:t>HUD at</w:t>
      </w:r>
      <w:r>
        <w:rPr>
          <w:rFonts w:ascii="CG Times" w:hAnsi="CG Times"/>
          <w:sz w:val="24"/>
        </w:rPr>
        <w:t>:</w:t>
      </w:r>
    </w:p>
    <w:p w:rsidR="00134D74" w:rsidP="00134D74" w14:paraId="2C922941" w14:textId="77777777">
      <w:pPr>
        <w:ind w:left="90"/>
        <w:rPr>
          <w:rFonts w:ascii="CG Times" w:hAnsi="CG Times"/>
          <w:sz w:val="24"/>
        </w:rPr>
      </w:pPr>
    </w:p>
    <w:p w:rsidR="00134D74" w:rsidRPr="00134D74" w:rsidP="00134D74" w14:paraId="712B813E" w14:textId="6D086F1B">
      <w:pPr>
        <w:ind w:left="90"/>
        <w:rPr>
          <w:rFonts w:ascii="CG Times" w:hAnsi="CG Times"/>
          <w:sz w:val="24"/>
        </w:rPr>
      </w:pPr>
      <w:r w:rsidRPr="00134D74">
        <w:rPr>
          <w:rFonts w:ascii="CG Times" w:hAnsi="CG Times"/>
          <w:sz w:val="24"/>
        </w:rPr>
        <w:t>United States Department of Housing and Urban Development</w:t>
      </w:r>
    </w:p>
    <w:p w:rsidR="00134D74" w:rsidRPr="00134D74" w:rsidP="00134D74" w14:paraId="2D0A10E0" w14:textId="77777777">
      <w:pPr>
        <w:ind w:left="90"/>
        <w:rPr>
          <w:rFonts w:ascii="CG Times" w:hAnsi="CG Times"/>
          <w:sz w:val="24"/>
        </w:rPr>
      </w:pPr>
      <w:r w:rsidRPr="00134D74">
        <w:rPr>
          <w:rFonts w:ascii="CG Times" w:hAnsi="CG Times"/>
          <w:sz w:val="24"/>
        </w:rPr>
        <w:t>Office of Fair Housing and Equal Opportunity</w:t>
      </w:r>
    </w:p>
    <w:p w:rsidR="00134D74" w:rsidP="00134D74" w14:paraId="45F66478" w14:textId="77777777">
      <w:pPr>
        <w:ind w:left="90"/>
        <w:rPr>
          <w:rFonts w:ascii="CG Times" w:hAnsi="CG Times"/>
          <w:sz w:val="24"/>
        </w:rPr>
      </w:pPr>
      <w:r w:rsidRPr="00134D74">
        <w:rPr>
          <w:rFonts w:ascii="CG Times" w:hAnsi="CG Times"/>
          <w:sz w:val="24"/>
        </w:rPr>
        <w:t>Attention: Office of Enforcement</w:t>
      </w:r>
    </w:p>
    <w:p w:rsidR="00134D74" w:rsidP="00134D74" w14:paraId="7A1252C1" w14:textId="77777777">
      <w:pPr>
        <w:ind w:left="90"/>
        <w:rPr>
          <w:rFonts w:ascii="CG Times" w:hAnsi="CG Times"/>
          <w:sz w:val="24"/>
        </w:rPr>
      </w:pPr>
      <w:r>
        <w:rPr>
          <w:rFonts w:ascii="CG Times" w:hAnsi="CG Times"/>
          <w:sz w:val="24"/>
        </w:rPr>
        <w:t>451 7</w:t>
      </w:r>
      <w:r w:rsidRPr="00EA08FD">
        <w:rPr>
          <w:rFonts w:ascii="CG Times" w:hAnsi="CG Times"/>
          <w:sz w:val="24"/>
          <w:vertAlign w:val="superscript"/>
        </w:rPr>
        <w:t>th</w:t>
      </w:r>
      <w:r>
        <w:rPr>
          <w:rFonts w:ascii="CG Times" w:hAnsi="CG Times"/>
          <w:sz w:val="24"/>
        </w:rPr>
        <w:t xml:space="preserve"> St SW, Washington, DC 20410</w:t>
      </w:r>
    </w:p>
    <w:p w:rsidR="00134D74" w:rsidP="00134D74" w14:paraId="2D6561A2" w14:textId="77777777">
      <w:pPr>
        <w:ind w:left="90"/>
        <w:rPr>
          <w:rFonts w:ascii="CG Times" w:hAnsi="CG Times"/>
          <w:sz w:val="24"/>
        </w:rPr>
      </w:pPr>
    </w:p>
    <w:p w:rsidR="00C17E0E" w:rsidRPr="00D27C40" w:rsidP="00134D74" w14:paraId="268ED4B5" w14:textId="2B6678FD">
      <w:pPr>
        <w:ind w:left="90"/>
        <w:rPr>
          <w:rFonts w:ascii="CG Times" w:hAnsi="CG Times"/>
          <w:sz w:val="24"/>
        </w:rPr>
      </w:pPr>
      <w:r>
        <w:rPr>
          <w:rFonts w:ascii="CG Times" w:hAnsi="CG Times"/>
          <w:sz w:val="24"/>
        </w:rPr>
        <w:t>They may also respond</w:t>
      </w:r>
      <w:r w:rsidR="003E067D">
        <w:rPr>
          <w:rFonts w:ascii="CG Times" w:hAnsi="CG Times"/>
          <w:sz w:val="24"/>
        </w:rPr>
        <w:t xml:space="preserve"> via</w:t>
      </w:r>
      <w:r w:rsidR="00D074F4">
        <w:rPr>
          <w:rFonts w:ascii="CG Times" w:hAnsi="CG Times"/>
          <w:sz w:val="24"/>
        </w:rPr>
        <w:t xml:space="preserve"> toll-free call </w:t>
      </w:r>
      <w:r>
        <w:rPr>
          <w:rFonts w:ascii="CG Times" w:hAnsi="CG Times"/>
          <w:sz w:val="24"/>
        </w:rPr>
        <w:t>by dialing</w:t>
      </w:r>
      <w:r w:rsidRPr="00D074F4" w:rsidR="00D074F4">
        <w:t xml:space="preserve"> </w:t>
      </w:r>
      <w:hyperlink r:id="rId11" w:history="1">
        <w:r w:rsidRPr="00D074F4" w:rsidR="00D074F4">
          <w:rPr>
            <w:rStyle w:val="Hyperlink"/>
            <w:rFonts w:ascii="CG Times" w:hAnsi="CG Times"/>
            <w:sz w:val="24"/>
          </w:rPr>
          <w:t>1-800-669-9777</w:t>
        </w:r>
        <w:r w:rsidR="00D074F4">
          <w:rPr>
            <w:rStyle w:val="Hyperlink"/>
            <w:rFonts w:ascii="CG Times" w:hAnsi="CG Times"/>
            <w:sz w:val="24"/>
          </w:rPr>
          <w:t>.</w:t>
        </w:r>
      </w:hyperlink>
    </w:p>
    <w:p w:rsidR="003A3280" w:rsidRPr="006C7FAE" w14:paraId="7D359308" w14:textId="77777777">
      <w:pPr>
        <w:tabs>
          <w:tab w:val="left" w:pos="360"/>
        </w:tabs>
        <w:ind w:left="360" w:hanging="360"/>
        <w:rPr>
          <w:sz w:val="24"/>
          <w:szCs w:val="24"/>
        </w:rPr>
      </w:pPr>
    </w:p>
    <w:p w:rsidR="009E13B1" w:rsidRPr="006C7FAE" w14:paraId="1C0AE1D0" w14:textId="77777777">
      <w:pPr>
        <w:keepLines/>
        <w:tabs>
          <w:tab w:val="left" w:pos="360"/>
        </w:tabs>
        <w:spacing w:after="80"/>
        <w:ind w:left="360" w:hanging="360"/>
        <w:rPr>
          <w:sz w:val="24"/>
          <w:szCs w:val="24"/>
        </w:rPr>
      </w:pPr>
      <w:r w:rsidRPr="006C7FAE">
        <w:rPr>
          <w:sz w:val="24"/>
          <w:szCs w:val="24"/>
        </w:rPr>
        <w:t>4.</w:t>
      </w:r>
      <w:r w:rsidRPr="006C7FAE">
        <w:rPr>
          <w:sz w:val="24"/>
          <w:szCs w:val="24"/>
        </w:rPr>
        <w:tab/>
        <w:t>Describe efforts to identify duplication.  Show specifically why any similar information already available cannot be used or modified for use for the purposes described in Item 2 above.</w:t>
      </w:r>
    </w:p>
    <w:p w:rsidR="009E13B1" w14:paraId="68859B10" w14:textId="77777777">
      <w:pPr>
        <w:keepLines/>
        <w:tabs>
          <w:tab w:val="left" w:pos="360"/>
          <w:tab w:val="left" w:pos="720"/>
        </w:tabs>
        <w:ind w:left="360"/>
        <w:rPr>
          <w:sz w:val="24"/>
          <w:szCs w:val="24"/>
        </w:rPr>
      </w:pPr>
    </w:p>
    <w:p w:rsidR="00D27C40" w:rsidRPr="00D27C40" w:rsidP="00D27C40" w14:paraId="496E5606" w14:textId="77777777">
      <w:pPr>
        <w:ind w:left="90"/>
        <w:rPr>
          <w:rFonts w:ascii="CG Times" w:hAnsi="CG Times"/>
          <w:sz w:val="24"/>
        </w:rPr>
      </w:pPr>
      <w:r w:rsidRPr="00D27C40">
        <w:rPr>
          <w:rFonts w:ascii="CG Times" w:hAnsi="CG Times"/>
          <w:sz w:val="24"/>
        </w:rPr>
        <w:t>HUD is the only Federal agency authorized to administratively enforce the Fair Housing Act and VAWA. The information required for complaint intake and jurisdictional analysis cannot be obtained from any other source. Because this information cannot be duplicated or substituted, no duplication exists.</w:t>
      </w:r>
    </w:p>
    <w:p w:rsidR="00EE02BF" w:rsidRPr="006C7FAE" w14:paraId="31127A6B" w14:textId="77777777">
      <w:pPr>
        <w:keepLines/>
        <w:tabs>
          <w:tab w:val="left" w:pos="360"/>
          <w:tab w:val="left" w:pos="720"/>
        </w:tabs>
        <w:ind w:left="360"/>
        <w:rPr>
          <w:sz w:val="24"/>
          <w:szCs w:val="24"/>
        </w:rPr>
      </w:pPr>
    </w:p>
    <w:p w:rsidR="009E13B1" w14:paraId="689A9EFC" w14:textId="77777777">
      <w:pPr>
        <w:keepLines/>
        <w:tabs>
          <w:tab w:val="left" w:pos="360"/>
        </w:tabs>
        <w:spacing w:after="80"/>
        <w:ind w:left="360" w:hanging="360"/>
        <w:rPr>
          <w:sz w:val="24"/>
          <w:szCs w:val="24"/>
        </w:rPr>
      </w:pPr>
      <w:r w:rsidRPr="006C7FAE">
        <w:rPr>
          <w:sz w:val="24"/>
          <w:szCs w:val="24"/>
        </w:rPr>
        <w:t>5.</w:t>
      </w:r>
      <w:r w:rsidRPr="006C7FAE">
        <w:rPr>
          <w:sz w:val="24"/>
          <w:szCs w:val="24"/>
        </w:rPr>
        <w:tab/>
        <w:t>If the collection of information impacts small businesses or other small entities describe any methods used to minimize burden.</w:t>
      </w:r>
    </w:p>
    <w:p w:rsidR="00D372AD" w14:paraId="6EA1C8AC" w14:textId="77777777">
      <w:pPr>
        <w:keepLines/>
        <w:tabs>
          <w:tab w:val="left" w:pos="360"/>
        </w:tabs>
        <w:spacing w:after="80"/>
        <w:ind w:left="360" w:hanging="360"/>
        <w:rPr>
          <w:sz w:val="24"/>
          <w:szCs w:val="24"/>
        </w:rPr>
      </w:pPr>
    </w:p>
    <w:p w:rsidR="00D27C40" w:rsidRPr="00D27C40" w:rsidP="00D27C40" w14:paraId="29414CCE" w14:textId="77777777">
      <w:pPr>
        <w:ind w:left="90"/>
        <w:rPr>
          <w:rFonts w:ascii="CG Times" w:hAnsi="CG Times"/>
          <w:sz w:val="24"/>
        </w:rPr>
      </w:pPr>
      <w:r w:rsidRPr="00D27C40">
        <w:rPr>
          <w:rFonts w:ascii="CG Times" w:hAnsi="CG Times"/>
          <w:sz w:val="24"/>
        </w:rPr>
        <w:t xml:space="preserve">This collection does not affect small businesses or other small entities. As explained in Item 4, only aggrieved persons can supply the information required for complaint intake, and no small entity is positioned to provide or process such information. Therefore, no burden is imposed on small entities. </w:t>
      </w:r>
    </w:p>
    <w:p w:rsidR="00D2127C" w:rsidRPr="006C7FAE" w:rsidP="00D27C40" w14:paraId="5EAD5E82" w14:textId="09E43314">
      <w:pPr>
        <w:tabs>
          <w:tab w:val="left" w:pos="360"/>
        </w:tabs>
        <w:rPr>
          <w:sz w:val="24"/>
          <w:szCs w:val="24"/>
        </w:rPr>
      </w:pPr>
    </w:p>
    <w:p w:rsidR="009E13B1" w:rsidRPr="006C7FAE" w14:paraId="2C0F0529" w14:textId="36B48857">
      <w:pPr>
        <w:keepLines/>
        <w:tabs>
          <w:tab w:val="left" w:pos="360"/>
        </w:tabs>
        <w:spacing w:after="80"/>
        <w:ind w:left="360" w:hanging="360"/>
        <w:rPr>
          <w:sz w:val="24"/>
          <w:szCs w:val="24"/>
        </w:rPr>
      </w:pPr>
      <w:r w:rsidRPr="006C7FAE">
        <w:rPr>
          <w:sz w:val="24"/>
          <w:szCs w:val="24"/>
        </w:rPr>
        <w:t>6.</w:t>
      </w:r>
      <w:r w:rsidRPr="006C7FAE">
        <w:rPr>
          <w:sz w:val="24"/>
          <w:szCs w:val="24"/>
        </w:rPr>
        <w:tab/>
        <w:t xml:space="preserve">Describe the </w:t>
      </w:r>
      <w:r w:rsidRPr="006C7FAE" w:rsidR="006A158B">
        <w:rPr>
          <w:sz w:val="24"/>
          <w:szCs w:val="24"/>
        </w:rPr>
        <w:t>consequences</w:t>
      </w:r>
      <w:r w:rsidRPr="006C7FAE">
        <w:rPr>
          <w:sz w:val="24"/>
          <w:szCs w:val="24"/>
        </w:rPr>
        <w:t xml:space="preserve"> to Federal program or policy activities if the collection is not conducted or is conducted less frequently, as well as any technical or legal obstacles to reducing burden.</w:t>
      </w:r>
    </w:p>
    <w:p w:rsidR="00D27C40" w:rsidP="00D27C40" w14:paraId="25DFA351" w14:textId="77777777">
      <w:pPr>
        <w:keepLines/>
        <w:tabs>
          <w:tab w:val="left" w:pos="360"/>
          <w:tab w:val="left" w:pos="720"/>
        </w:tabs>
        <w:ind w:left="360"/>
        <w:rPr>
          <w:sz w:val="24"/>
          <w:szCs w:val="24"/>
        </w:rPr>
      </w:pPr>
    </w:p>
    <w:p w:rsidR="009B0AA2" w:rsidRPr="00D372AD" w:rsidP="00D372AD" w14:paraId="077D72FF" w14:textId="5D379A66">
      <w:pPr>
        <w:ind w:left="90"/>
        <w:rPr>
          <w:rFonts w:ascii="CG Times" w:hAnsi="CG Times"/>
          <w:sz w:val="24"/>
        </w:rPr>
      </w:pPr>
      <w:r w:rsidRPr="00D27C40">
        <w:rPr>
          <w:rFonts w:ascii="CG Times" w:hAnsi="CG Times"/>
          <w:sz w:val="24"/>
        </w:rPr>
        <w:t>If HUD did not collect this information, or collected it less frequently, aggrieved persons would be unable to file jurisdictional housing discrimination complaints, and HUD would be unable to fulfill its statutory obligations under the Fair Housing Act and other civil rights laws.</w:t>
      </w:r>
    </w:p>
    <w:p w:rsidR="006A158B" w:rsidRPr="006C7FAE" w14:paraId="41B8E746" w14:textId="77777777">
      <w:pPr>
        <w:keepLines/>
        <w:tabs>
          <w:tab w:val="left" w:pos="360"/>
          <w:tab w:val="left" w:pos="720"/>
        </w:tabs>
        <w:ind w:left="360"/>
        <w:rPr>
          <w:sz w:val="24"/>
          <w:szCs w:val="24"/>
        </w:rPr>
      </w:pPr>
    </w:p>
    <w:p w:rsidR="00A65F9E" w14:paraId="2B3F5C7B" w14:textId="54B8B829">
      <w:pPr>
        <w:numPr>
          <w:ilvl w:val="0"/>
          <w:numId w:val="13"/>
        </w:numPr>
        <w:tabs>
          <w:tab w:val="left" w:pos="360"/>
        </w:tabs>
        <w:rPr>
          <w:sz w:val="24"/>
          <w:szCs w:val="24"/>
        </w:rPr>
      </w:pPr>
      <w:r w:rsidRPr="006C7FAE">
        <w:rPr>
          <w:sz w:val="24"/>
          <w:szCs w:val="24"/>
        </w:rPr>
        <w:t>Explain any special circumstances that would cause an information collection to be conducted in a manner:</w:t>
      </w:r>
      <w:r w:rsidR="00B71058">
        <w:rPr>
          <w:sz w:val="24"/>
          <w:szCs w:val="24"/>
        </w:rPr>
        <w:t xml:space="preserve"> </w:t>
      </w:r>
      <w:r w:rsidRPr="00B71058" w:rsidR="00B71058">
        <w:rPr>
          <w:b/>
          <w:bCs/>
          <w:sz w:val="24"/>
          <w:szCs w:val="24"/>
        </w:rPr>
        <w:t>ANSWER ALL BULLETS INDIVIDUALLY</w:t>
      </w:r>
    </w:p>
    <w:p w:rsidR="009E13B1" w:rsidRPr="006C7FAE" w:rsidP="00A65F9E" w14:paraId="38CBA337" w14:textId="77777777">
      <w:pPr>
        <w:tabs>
          <w:tab w:val="left" w:pos="360"/>
        </w:tabs>
        <w:ind w:left="360"/>
        <w:rPr>
          <w:sz w:val="24"/>
          <w:szCs w:val="24"/>
        </w:rPr>
      </w:pPr>
      <w:r w:rsidRPr="006C7FAE">
        <w:rPr>
          <w:sz w:val="24"/>
          <w:szCs w:val="24"/>
        </w:rPr>
        <w:t xml:space="preserve"> </w:t>
      </w:r>
    </w:p>
    <w:p w:rsidR="009E13B1" w14:paraId="77414839" w14:textId="5182849E">
      <w:pPr>
        <w:numPr>
          <w:ilvl w:val="0"/>
          <w:numId w:val="14"/>
        </w:numPr>
        <w:tabs>
          <w:tab w:val="left" w:pos="600"/>
        </w:tabs>
        <w:rPr>
          <w:sz w:val="24"/>
          <w:szCs w:val="24"/>
        </w:rPr>
      </w:pPr>
      <w:r w:rsidRPr="006C7FAE">
        <w:rPr>
          <w:sz w:val="24"/>
          <w:szCs w:val="24"/>
        </w:rPr>
        <w:t xml:space="preserve">requiring respondents to report information to the agency more than quarterly; </w:t>
      </w:r>
    </w:p>
    <w:p w:rsidR="00D27C40" w:rsidP="00D27C40" w14:paraId="045CF339" w14:textId="77777777">
      <w:pPr>
        <w:tabs>
          <w:tab w:val="left" w:pos="600"/>
        </w:tabs>
        <w:rPr>
          <w:sz w:val="24"/>
          <w:szCs w:val="24"/>
        </w:rPr>
      </w:pPr>
    </w:p>
    <w:p w:rsidR="00D27C40" w:rsidRPr="00D27C40" w:rsidP="00D27C40" w14:paraId="5B394954" w14:textId="2B2B0983">
      <w:pPr>
        <w:tabs>
          <w:tab w:val="left" w:pos="600"/>
        </w:tabs>
        <w:rPr>
          <w:sz w:val="24"/>
          <w:szCs w:val="24"/>
        </w:rPr>
      </w:pPr>
      <w:r>
        <w:rPr>
          <w:sz w:val="24"/>
          <w:szCs w:val="24"/>
        </w:rPr>
        <w:tab/>
      </w:r>
      <w:r w:rsidRPr="00D27C40">
        <w:rPr>
          <w:sz w:val="24"/>
          <w:szCs w:val="24"/>
        </w:rPr>
        <w:t>Respondents are not required to report information more than quarterly.</w:t>
      </w:r>
    </w:p>
    <w:p w:rsidR="00A65F9E" w:rsidP="00A65F9E" w14:paraId="1E7CAB58" w14:textId="77777777">
      <w:pPr>
        <w:tabs>
          <w:tab w:val="left" w:pos="600"/>
        </w:tabs>
        <w:ind w:left="684"/>
        <w:rPr>
          <w:sz w:val="24"/>
          <w:szCs w:val="24"/>
        </w:rPr>
      </w:pPr>
    </w:p>
    <w:p w:rsidR="00B36479" w:rsidP="00B36479" w14:paraId="3214BC25" w14:textId="15EA1DB6">
      <w:pPr>
        <w:numPr>
          <w:ilvl w:val="0"/>
          <w:numId w:val="14"/>
        </w:numPr>
        <w:tabs>
          <w:tab w:val="left" w:pos="600"/>
        </w:tabs>
        <w:rPr>
          <w:sz w:val="24"/>
          <w:szCs w:val="24"/>
        </w:rPr>
      </w:pPr>
      <w:r w:rsidRPr="006C7FAE">
        <w:rPr>
          <w:sz w:val="24"/>
          <w:szCs w:val="24"/>
        </w:rPr>
        <w:t xml:space="preserve">requiring respondents to prepare a written response to a collection of information in fewer than 30 days after receipt of it; </w:t>
      </w:r>
    </w:p>
    <w:p w:rsidR="00D27C40" w:rsidP="00D27C40" w14:paraId="27D20233" w14:textId="77777777">
      <w:pPr>
        <w:tabs>
          <w:tab w:val="left" w:pos="600"/>
        </w:tabs>
        <w:rPr>
          <w:sz w:val="24"/>
          <w:szCs w:val="24"/>
        </w:rPr>
      </w:pPr>
    </w:p>
    <w:p w:rsidR="00D27C40" w:rsidRPr="00D27C40" w:rsidP="00D27C40" w14:paraId="46758B8C" w14:textId="091A76B4">
      <w:pPr>
        <w:tabs>
          <w:tab w:val="left" w:pos="600"/>
        </w:tabs>
        <w:rPr>
          <w:sz w:val="24"/>
          <w:szCs w:val="24"/>
        </w:rPr>
      </w:pPr>
      <w:r>
        <w:rPr>
          <w:sz w:val="24"/>
          <w:szCs w:val="24"/>
        </w:rPr>
        <w:tab/>
      </w:r>
      <w:r w:rsidRPr="00D27C40">
        <w:rPr>
          <w:sz w:val="24"/>
          <w:szCs w:val="24"/>
        </w:rPr>
        <w:t>Respondents are not required to prepare written responses in fewer than 30 days.</w:t>
      </w:r>
    </w:p>
    <w:p w:rsidR="00D27C40" w:rsidRPr="006C7FAE" w:rsidP="00D27C40" w14:paraId="44431D82" w14:textId="77777777">
      <w:pPr>
        <w:tabs>
          <w:tab w:val="left" w:pos="600"/>
        </w:tabs>
        <w:rPr>
          <w:sz w:val="24"/>
          <w:szCs w:val="24"/>
        </w:rPr>
      </w:pPr>
    </w:p>
    <w:p w:rsidR="00D27C40" w:rsidP="00D27C40" w14:paraId="17D5B7DD" w14:textId="1E773BBB">
      <w:pPr>
        <w:pStyle w:val="ListParagraph"/>
        <w:numPr>
          <w:ilvl w:val="0"/>
          <w:numId w:val="14"/>
        </w:numPr>
        <w:rPr>
          <w:sz w:val="24"/>
          <w:szCs w:val="24"/>
        </w:rPr>
      </w:pPr>
      <w:r w:rsidRPr="00B36479">
        <w:rPr>
          <w:sz w:val="24"/>
          <w:szCs w:val="24"/>
        </w:rPr>
        <w:t xml:space="preserve">requiring respondents to submit more than an original and two copies of any document; </w:t>
      </w:r>
    </w:p>
    <w:p w:rsidR="00D27C40" w:rsidP="00D27C40" w14:paraId="7F5889F9" w14:textId="77777777">
      <w:pPr>
        <w:pStyle w:val="ListParagraph"/>
        <w:ind w:left="684"/>
        <w:rPr>
          <w:sz w:val="24"/>
          <w:szCs w:val="24"/>
        </w:rPr>
      </w:pPr>
    </w:p>
    <w:p w:rsidR="00D27C40" w:rsidRPr="00D27C40" w:rsidP="00D27C40" w14:paraId="5DE4EACA" w14:textId="34775954">
      <w:pPr>
        <w:ind w:firstLine="540"/>
        <w:rPr>
          <w:sz w:val="24"/>
          <w:szCs w:val="24"/>
        </w:rPr>
      </w:pPr>
      <w:r w:rsidRPr="00D27C40">
        <w:rPr>
          <w:sz w:val="24"/>
          <w:szCs w:val="24"/>
        </w:rPr>
        <w:t>Respondents are not required to submit more than an original and two copies.</w:t>
      </w:r>
    </w:p>
    <w:p w:rsidR="00A65F9E" w:rsidRPr="00B36479" w:rsidP="00B36479" w14:paraId="42E1C60F" w14:textId="77777777">
      <w:pPr>
        <w:tabs>
          <w:tab w:val="left" w:pos="600"/>
        </w:tabs>
        <w:ind w:left="684"/>
        <w:rPr>
          <w:sz w:val="24"/>
          <w:szCs w:val="24"/>
        </w:rPr>
      </w:pPr>
    </w:p>
    <w:p w:rsidR="00A65F9E" w14:paraId="18078737" w14:textId="073659C4">
      <w:pPr>
        <w:pStyle w:val="ListParagraph"/>
        <w:numPr>
          <w:ilvl w:val="0"/>
          <w:numId w:val="14"/>
        </w:numPr>
        <w:tabs>
          <w:tab w:val="left" w:pos="600"/>
        </w:tabs>
        <w:rPr>
          <w:sz w:val="24"/>
          <w:szCs w:val="24"/>
        </w:rPr>
      </w:pPr>
      <w:r w:rsidRPr="00B71058">
        <w:rPr>
          <w:sz w:val="24"/>
          <w:szCs w:val="24"/>
        </w:rPr>
        <w:t xml:space="preserve">requiring respondents to retain records other than health, medical, government contract, grant-in-aid, or tax records for more than three years; </w:t>
      </w:r>
    </w:p>
    <w:p w:rsidR="00D27C40" w:rsidP="00D27C40" w14:paraId="4A559D47" w14:textId="77777777">
      <w:pPr>
        <w:pStyle w:val="ListParagraph"/>
        <w:tabs>
          <w:tab w:val="left" w:pos="600"/>
        </w:tabs>
        <w:ind w:left="684"/>
        <w:rPr>
          <w:sz w:val="24"/>
          <w:szCs w:val="24"/>
        </w:rPr>
      </w:pPr>
    </w:p>
    <w:p w:rsidR="00D27C40" w:rsidRPr="00D27C40" w:rsidP="00D27C40" w14:paraId="32B48602" w14:textId="77777777">
      <w:pPr>
        <w:ind w:firstLine="540"/>
        <w:rPr>
          <w:sz w:val="24"/>
          <w:szCs w:val="24"/>
        </w:rPr>
      </w:pPr>
      <w:r w:rsidRPr="00D27C40">
        <w:rPr>
          <w:sz w:val="24"/>
          <w:szCs w:val="24"/>
        </w:rPr>
        <w:t>Respondents are not required to retain records for more than three years.</w:t>
      </w:r>
    </w:p>
    <w:p w:rsidR="00D27C40" w:rsidRPr="00B71058" w:rsidP="00D27C40" w14:paraId="22997AD4" w14:textId="77777777">
      <w:pPr>
        <w:pStyle w:val="ListParagraph"/>
        <w:tabs>
          <w:tab w:val="left" w:pos="600"/>
        </w:tabs>
        <w:ind w:left="684"/>
        <w:rPr>
          <w:sz w:val="24"/>
          <w:szCs w:val="24"/>
        </w:rPr>
      </w:pPr>
    </w:p>
    <w:p w:rsidR="009E13B1" w14:paraId="73DB0897" w14:textId="77777777">
      <w:pPr>
        <w:numPr>
          <w:ilvl w:val="0"/>
          <w:numId w:val="14"/>
        </w:numPr>
        <w:tabs>
          <w:tab w:val="left" w:pos="600"/>
        </w:tabs>
        <w:rPr>
          <w:sz w:val="24"/>
          <w:szCs w:val="24"/>
        </w:rPr>
      </w:pPr>
      <w:r w:rsidRPr="006C7FAE">
        <w:rPr>
          <w:sz w:val="24"/>
          <w:szCs w:val="24"/>
        </w:rPr>
        <w:t xml:space="preserve">in connection with a statistical survey, that is not designed to produce valid and reliable results than can be generalized to the universe of study; </w:t>
      </w:r>
    </w:p>
    <w:p w:rsidR="00D27C40" w:rsidP="00D27C40" w14:paraId="1C2AC1DA" w14:textId="77777777">
      <w:pPr>
        <w:tabs>
          <w:tab w:val="left" w:pos="600"/>
        </w:tabs>
        <w:rPr>
          <w:sz w:val="24"/>
          <w:szCs w:val="24"/>
        </w:rPr>
      </w:pPr>
    </w:p>
    <w:p w:rsidR="00D27C40" w:rsidRPr="00D27C40" w:rsidP="00D27C40" w14:paraId="7E10A7EF" w14:textId="77777777">
      <w:pPr>
        <w:tabs>
          <w:tab w:val="left" w:pos="600"/>
        </w:tabs>
        <w:rPr>
          <w:sz w:val="24"/>
          <w:szCs w:val="24"/>
        </w:rPr>
      </w:pPr>
      <w:r>
        <w:rPr>
          <w:sz w:val="24"/>
          <w:szCs w:val="24"/>
        </w:rPr>
        <w:tab/>
      </w:r>
      <w:r w:rsidRPr="00D27C40">
        <w:rPr>
          <w:sz w:val="24"/>
          <w:szCs w:val="24"/>
        </w:rPr>
        <w:t>The collection is not a statistical survey.</w:t>
      </w:r>
    </w:p>
    <w:p w:rsidR="00D27C40" w:rsidRPr="006C7FAE" w:rsidP="00D27C40" w14:paraId="67EE55C0" w14:textId="60076FBD">
      <w:pPr>
        <w:tabs>
          <w:tab w:val="left" w:pos="600"/>
        </w:tabs>
        <w:rPr>
          <w:sz w:val="24"/>
          <w:szCs w:val="24"/>
        </w:rPr>
      </w:pPr>
    </w:p>
    <w:p w:rsidR="00B36479" w:rsidRPr="00D27C40" w:rsidP="00B36479" w14:paraId="493F144B" w14:textId="02874556">
      <w:pPr>
        <w:pStyle w:val="ListParagraph"/>
        <w:numPr>
          <w:ilvl w:val="0"/>
          <w:numId w:val="14"/>
        </w:numPr>
        <w:rPr>
          <w:b/>
          <w:bCs/>
          <w:sz w:val="24"/>
          <w:szCs w:val="24"/>
        </w:rPr>
      </w:pPr>
      <w:r w:rsidRPr="00B36479">
        <w:rPr>
          <w:sz w:val="24"/>
          <w:szCs w:val="24"/>
        </w:rPr>
        <w:t>requiring the use of a statistical data classification that has not been reviewed and approved by OMB;</w:t>
      </w:r>
      <w:r w:rsidRPr="00B36479">
        <w:rPr>
          <w:sz w:val="24"/>
          <w:szCs w:val="24"/>
        </w:rPr>
        <w:t xml:space="preserve"> </w:t>
      </w:r>
    </w:p>
    <w:p w:rsidR="00D27C40" w:rsidP="00D27C40" w14:paraId="3AC48D99" w14:textId="77777777">
      <w:pPr>
        <w:rPr>
          <w:b/>
          <w:bCs/>
          <w:sz w:val="24"/>
          <w:szCs w:val="24"/>
        </w:rPr>
      </w:pPr>
    </w:p>
    <w:p w:rsidR="00D27C40" w:rsidRPr="00D27C40" w:rsidP="00D27C40" w14:paraId="7702B097" w14:textId="59BFF900">
      <w:pPr>
        <w:ind w:firstLine="540"/>
        <w:rPr>
          <w:sz w:val="24"/>
          <w:szCs w:val="24"/>
        </w:rPr>
      </w:pPr>
      <w:r w:rsidRPr="00D27C40">
        <w:rPr>
          <w:sz w:val="24"/>
          <w:szCs w:val="24"/>
        </w:rPr>
        <w:t>No statistical data classification is used.</w:t>
      </w:r>
    </w:p>
    <w:p w:rsidR="009E13B1" w:rsidRPr="006C7FAE" w:rsidP="00A65F9E" w14:paraId="66012806" w14:textId="77777777">
      <w:pPr>
        <w:tabs>
          <w:tab w:val="left" w:pos="600"/>
        </w:tabs>
        <w:ind w:left="684"/>
        <w:rPr>
          <w:sz w:val="24"/>
          <w:szCs w:val="24"/>
        </w:rPr>
      </w:pPr>
      <w:r w:rsidRPr="006C7FAE">
        <w:rPr>
          <w:sz w:val="24"/>
          <w:szCs w:val="24"/>
        </w:rPr>
        <w:t xml:space="preserve"> </w:t>
      </w:r>
    </w:p>
    <w:p w:rsidR="00A65F9E" w14:paraId="4497C6FF" w14:textId="66451018">
      <w:pPr>
        <w:keepLines/>
        <w:numPr>
          <w:ilvl w:val="0"/>
          <w:numId w:val="14"/>
        </w:numPr>
        <w:tabs>
          <w:tab w:val="left" w:pos="600"/>
        </w:tabs>
        <w:spacing w:after="80"/>
        <w:rPr>
          <w:sz w:val="24"/>
          <w:szCs w:val="24"/>
        </w:rPr>
      </w:pPr>
      <w:r w:rsidRPr="00B71058">
        <w:rPr>
          <w:sz w:val="24"/>
          <w:szCs w:val="24"/>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D27C40" w:rsidP="00D27C40" w14:paraId="53DEFA46" w14:textId="77777777">
      <w:pPr>
        <w:keepLines/>
        <w:tabs>
          <w:tab w:val="left" w:pos="600"/>
        </w:tabs>
        <w:spacing w:after="80"/>
        <w:ind w:left="684"/>
        <w:rPr>
          <w:sz w:val="24"/>
          <w:szCs w:val="24"/>
        </w:rPr>
      </w:pPr>
    </w:p>
    <w:p w:rsidR="00D27C40" w:rsidRPr="00D27C40" w:rsidP="00D27C40" w14:paraId="299C16A8" w14:textId="77777777">
      <w:pPr>
        <w:ind w:firstLine="540"/>
        <w:rPr>
          <w:sz w:val="24"/>
          <w:szCs w:val="24"/>
        </w:rPr>
      </w:pPr>
      <w:r w:rsidRPr="00D27C40">
        <w:rPr>
          <w:sz w:val="24"/>
          <w:szCs w:val="24"/>
        </w:rPr>
        <w:t>No unsupported confidentiality pledges are made; Privacy Act protections apply.</w:t>
      </w:r>
    </w:p>
    <w:p w:rsidR="00D27C40" w:rsidRPr="00B71058" w:rsidP="00D27C40" w14:paraId="672E9899" w14:textId="77777777">
      <w:pPr>
        <w:keepLines/>
        <w:tabs>
          <w:tab w:val="left" w:pos="600"/>
        </w:tabs>
        <w:spacing w:after="80"/>
        <w:ind w:left="684"/>
        <w:rPr>
          <w:sz w:val="24"/>
          <w:szCs w:val="24"/>
        </w:rPr>
      </w:pPr>
    </w:p>
    <w:p w:rsidR="009E13B1" w:rsidRPr="00D27C40" w14:paraId="0DB9F02B" w14:textId="5AFBEEED">
      <w:pPr>
        <w:keepLines/>
        <w:numPr>
          <w:ilvl w:val="0"/>
          <w:numId w:val="14"/>
        </w:numPr>
        <w:tabs>
          <w:tab w:val="left" w:pos="600"/>
        </w:tabs>
        <w:spacing w:after="80"/>
        <w:rPr>
          <w:sz w:val="24"/>
          <w:szCs w:val="24"/>
        </w:rPr>
      </w:pPr>
      <w:r w:rsidRPr="006C7FAE">
        <w:rPr>
          <w:sz w:val="24"/>
          <w:szCs w:val="24"/>
        </w:rPr>
        <w:t>requiring respondents to submit proprietary trade secret, or other confidential information unless the agency can demonstrate that it has instituted procedures to protect the information's confidentiality to the extent permitted by law.</w:t>
      </w:r>
      <w:r w:rsidRPr="00B36479" w:rsidR="00B36479">
        <w:rPr>
          <w:b/>
          <w:bCs/>
          <w:sz w:val="24"/>
          <w:szCs w:val="24"/>
        </w:rPr>
        <w:t xml:space="preserve"> </w:t>
      </w:r>
    </w:p>
    <w:p w:rsidR="00D27C40" w:rsidP="00D27C40" w14:paraId="5B01C3A4" w14:textId="77777777">
      <w:pPr>
        <w:keepLines/>
        <w:tabs>
          <w:tab w:val="left" w:pos="600"/>
        </w:tabs>
        <w:spacing w:after="80"/>
        <w:ind w:left="684"/>
        <w:rPr>
          <w:b/>
          <w:bCs/>
          <w:sz w:val="24"/>
          <w:szCs w:val="24"/>
        </w:rPr>
      </w:pPr>
    </w:p>
    <w:p w:rsidR="00D27C40" w:rsidRPr="00D27C40" w:rsidP="00D27C40" w14:paraId="46E52985" w14:textId="77777777">
      <w:pPr>
        <w:keepLines/>
        <w:tabs>
          <w:tab w:val="left" w:pos="600"/>
        </w:tabs>
        <w:spacing w:after="80"/>
        <w:ind w:left="684"/>
        <w:rPr>
          <w:sz w:val="24"/>
          <w:szCs w:val="24"/>
        </w:rPr>
      </w:pPr>
      <w:r w:rsidRPr="00D27C40">
        <w:rPr>
          <w:sz w:val="24"/>
          <w:szCs w:val="24"/>
        </w:rPr>
        <w:t>Respondents are not required to submit proprietary or trade-secret information.</w:t>
      </w:r>
    </w:p>
    <w:p w:rsidR="00586281" w:rsidRPr="006C7FAE" w:rsidP="00B36479" w14:paraId="62E84F25" w14:textId="63057D1B">
      <w:pPr>
        <w:keepLines/>
        <w:tabs>
          <w:tab w:val="left" w:pos="600"/>
        </w:tabs>
        <w:spacing w:after="80"/>
        <w:rPr>
          <w:sz w:val="24"/>
          <w:szCs w:val="24"/>
        </w:rPr>
      </w:pPr>
    </w:p>
    <w:p w:rsidR="00A65F9E" w:rsidP="00A65F9E" w14:paraId="663A6B8B" w14:textId="77777777">
      <w:pPr>
        <w:numPr>
          <w:ilvl w:val="0"/>
          <w:numId w:val="13"/>
        </w:numPr>
        <w:tabs>
          <w:tab w:val="left" w:pos="360"/>
        </w:tabs>
        <w:rPr>
          <w:sz w:val="24"/>
          <w:szCs w:val="24"/>
        </w:rPr>
      </w:pPr>
      <w:r w:rsidRPr="006C7FAE">
        <w:rPr>
          <w:sz w:val="24"/>
          <w:szCs w:val="24"/>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D27C40" w:rsidP="00D27C40" w14:paraId="0614F77C" w14:textId="77777777">
      <w:pPr>
        <w:tabs>
          <w:tab w:val="left" w:pos="360"/>
        </w:tabs>
        <w:rPr>
          <w:sz w:val="24"/>
          <w:szCs w:val="24"/>
        </w:rPr>
      </w:pPr>
    </w:p>
    <w:p w:rsidR="009E13B1" w:rsidRPr="006C7FAE" w14:paraId="34CF76D2" w14:textId="77777777">
      <w:pPr>
        <w:numPr>
          <w:ilvl w:val="0"/>
          <w:numId w:val="14"/>
        </w:numPr>
        <w:tabs>
          <w:tab w:val="left" w:pos="360"/>
        </w:tabs>
        <w:ind w:left="480"/>
        <w:rPr>
          <w:sz w:val="24"/>
          <w:szCs w:val="24"/>
        </w:rPr>
      </w:pPr>
      <w:r w:rsidRPr="006C7FAE">
        <w:rPr>
          <w:sz w:val="24"/>
          <w:szCs w:val="24"/>
        </w:rPr>
        <w:t>Describe efforts to consult with persons outside the agency to obtain their views on the availability of data, frequency of collection, the clarity of instructions and recordkeeping disclosure, or reporting format (if any) and the data elements to be recorded, disclosed, or reported.</w:t>
      </w:r>
    </w:p>
    <w:p w:rsidR="00A65F9E" w:rsidP="00A65F9E" w14:paraId="160E38D3" w14:textId="77777777">
      <w:pPr>
        <w:keepLines/>
        <w:tabs>
          <w:tab w:val="left" w:pos="360"/>
        </w:tabs>
        <w:spacing w:after="80"/>
        <w:ind w:left="480"/>
        <w:rPr>
          <w:sz w:val="24"/>
          <w:szCs w:val="24"/>
        </w:rPr>
      </w:pPr>
    </w:p>
    <w:p w:rsidR="009E13B1" w14:paraId="3AA6A4A9" w14:textId="77777777">
      <w:pPr>
        <w:keepLines/>
        <w:numPr>
          <w:ilvl w:val="0"/>
          <w:numId w:val="14"/>
        </w:numPr>
        <w:tabs>
          <w:tab w:val="left" w:pos="360"/>
        </w:tabs>
        <w:spacing w:after="80"/>
        <w:ind w:left="480"/>
        <w:rPr>
          <w:sz w:val="24"/>
          <w:szCs w:val="24"/>
        </w:rPr>
      </w:pPr>
      <w:r w:rsidRPr="006C7FAE">
        <w:rPr>
          <w:sz w:val="24"/>
          <w:szCs w:val="24"/>
        </w:rPr>
        <w:t xml:space="preserve">Consultation with representatives of those from whom information is to be obtained or those who must compile records should occur at least once every 3 years -- even if the collection of information activity is the same as in prior periods.  There may be circumstances that preclude consultation in a specific situation.  These circumstances should be explained. </w:t>
      </w:r>
    </w:p>
    <w:p w:rsidR="00D27C40" w:rsidP="00D27C40" w14:paraId="7B3EEE0D" w14:textId="77777777">
      <w:pPr>
        <w:pStyle w:val="ListParagraph"/>
        <w:rPr>
          <w:sz w:val="24"/>
          <w:szCs w:val="24"/>
        </w:rPr>
      </w:pPr>
    </w:p>
    <w:p w:rsidR="00D27C40" w:rsidP="00B66C4B" w14:paraId="383F5226" w14:textId="2397A22E">
      <w:pPr>
        <w:ind w:left="90"/>
        <w:rPr>
          <w:rFonts w:ascii="CG Times" w:hAnsi="CG Times"/>
          <w:sz w:val="24"/>
        </w:rPr>
      </w:pPr>
      <w:r w:rsidRPr="00D27C40">
        <w:rPr>
          <w:rFonts w:ascii="CG Times" w:hAnsi="CG Times"/>
          <w:sz w:val="24"/>
        </w:rPr>
        <w:t xml:space="preserve">HUD published </w:t>
      </w:r>
      <w:r w:rsidRPr="00E63E8C" w:rsidR="00E63E8C">
        <w:rPr>
          <w:rFonts w:ascii="CG Times" w:hAnsi="CG Times"/>
          <w:sz w:val="24"/>
        </w:rPr>
        <w:t>FR-7095-N-01</w:t>
      </w:r>
      <w:r w:rsidR="00E63E8C">
        <w:rPr>
          <w:rFonts w:ascii="CG Times" w:hAnsi="CG Times"/>
          <w:sz w:val="24"/>
        </w:rPr>
        <w:t xml:space="preserve"> </w:t>
      </w:r>
      <w:r w:rsidRPr="00632C8C" w:rsidR="00632C8C">
        <w:rPr>
          <w:rFonts w:ascii="CG Times" w:hAnsi="CG Times"/>
          <w:sz w:val="24"/>
        </w:rPr>
        <w:t>60-Day Notice of Proposed Information Collection: Comment Request Housing Discrimination Complaint Form HUD-903</w:t>
      </w:r>
      <w:r w:rsidRPr="00D27C40">
        <w:rPr>
          <w:rFonts w:ascii="CG Times" w:hAnsi="CG Times"/>
          <w:sz w:val="24"/>
        </w:rPr>
        <w:t xml:space="preserve"> in the Federal Register </w:t>
      </w:r>
      <w:r w:rsidRPr="00B66C4B">
        <w:rPr>
          <w:rFonts w:ascii="CG Times" w:hAnsi="CG Times"/>
          <w:sz w:val="24"/>
        </w:rPr>
        <w:t xml:space="preserve">on April 9, 2026 </w:t>
      </w:r>
      <w:r w:rsidRPr="00D27C40">
        <w:rPr>
          <w:rFonts w:ascii="CG Times" w:hAnsi="CG Times"/>
          <w:sz w:val="24"/>
        </w:rPr>
        <w:t>soliciting public comments on this collection.</w:t>
      </w:r>
      <w:r w:rsidR="000F569A">
        <w:rPr>
          <w:rFonts w:ascii="CG Times" w:hAnsi="CG Times"/>
          <w:sz w:val="24"/>
        </w:rPr>
        <w:t xml:space="preserve"> HUD will respond to all comments it receives.</w:t>
      </w:r>
      <w:r w:rsidR="00632C8C">
        <w:rPr>
          <w:rFonts w:ascii="CG Times" w:hAnsi="CG Times"/>
          <w:sz w:val="24"/>
        </w:rPr>
        <w:t xml:space="preserve"> The comment period ends on June 8, 2026.</w:t>
      </w:r>
    </w:p>
    <w:p w:rsidR="00751D59" w:rsidP="00B66C4B" w14:paraId="16F27C40" w14:textId="77777777">
      <w:pPr>
        <w:ind w:left="90"/>
        <w:rPr>
          <w:rFonts w:ascii="CG Times" w:hAnsi="CG Times"/>
          <w:sz w:val="24"/>
        </w:rPr>
      </w:pPr>
    </w:p>
    <w:p w:rsidR="00751D59" w:rsidP="00751D59" w14:paraId="406022B7" w14:textId="37EA59C3">
      <w:pPr>
        <w:ind w:left="90"/>
        <w:rPr>
          <w:rFonts w:ascii="CG Times" w:hAnsi="CG Times"/>
          <w:sz w:val="24"/>
        </w:rPr>
      </w:pPr>
      <w:r w:rsidRPr="00751D59">
        <w:rPr>
          <w:rFonts w:ascii="CG Times" w:hAnsi="CG Times"/>
          <w:sz w:val="24"/>
        </w:rPr>
        <w:t xml:space="preserve">Across all </w:t>
      </w:r>
      <w:r>
        <w:rPr>
          <w:rFonts w:ascii="CG Times" w:hAnsi="CG Times"/>
          <w:sz w:val="24"/>
        </w:rPr>
        <w:t xml:space="preserve">comments </w:t>
      </w:r>
      <w:r w:rsidR="00694A12">
        <w:rPr>
          <w:rFonts w:ascii="CG Times" w:hAnsi="CG Times"/>
          <w:sz w:val="24"/>
        </w:rPr>
        <w:t>received</w:t>
      </w:r>
      <w:r w:rsidRPr="00751D59">
        <w:rPr>
          <w:rFonts w:ascii="CG Times" w:hAnsi="CG Times"/>
          <w:sz w:val="24"/>
        </w:rPr>
        <w:t>, HUD’s response affirms that HUD</w:t>
      </w:r>
      <w:r w:rsidRPr="00751D59">
        <w:rPr>
          <w:rFonts w:ascii="CG Times" w:hAnsi="CG Times"/>
          <w:sz w:val="24"/>
        </w:rPr>
        <w:noBreakHyphen/>
        <w:t>903 is intentionally scoped to collect the essential facts of alleged housing discrimination within FHEO’s statutory purview, so intake staff can determine jurisdiction and route cases appropriately. Proposed additions that would ask filers to identify territorial/block</w:t>
      </w:r>
      <w:r w:rsidRPr="00751D59">
        <w:rPr>
          <w:rFonts w:ascii="CG Times" w:hAnsi="CG Times"/>
          <w:sz w:val="24"/>
        </w:rPr>
        <w:noBreakHyphen/>
        <w:t>grant funding, label systemic/program</w:t>
      </w:r>
      <w:r w:rsidRPr="00751D59">
        <w:rPr>
          <w:rFonts w:ascii="CG Times" w:hAnsi="CG Times"/>
          <w:sz w:val="24"/>
        </w:rPr>
        <w:noBreakHyphen/>
        <w:t>wide violations, assert legal conclusions about local law or constitutional claims, or add a checkbox for HUD</w:t>
      </w:r>
      <w:r w:rsidRPr="00751D59">
        <w:rPr>
          <w:rFonts w:ascii="CG Times" w:hAnsi="CG Times"/>
          <w:sz w:val="24"/>
        </w:rPr>
        <w:noBreakHyphen/>
        <w:t>funded employment/contracting are not adopted. Each would either (a) ask pro</w:t>
      </w:r>
      <w:r w:rsidRPr="00751D59">
        <w:rPr>
          <w:rFonts w:ascii="CG Times" w:hAnsi="CG Times"/>
          <w:sz w:val="24"/>
        </w:rPr>
        <w:noBreakHyphen/>
        <w:t xml:space="preserve">se filers to provide specialized </w:t>
      </w:r>
      <w:r w:rsidRPr="00751D59">
        <w:rPr>
          <w:rFonts w:ascii="CG Times" w:hAnsi="CG Times"/>
          <w:sz w:val="24"/>
        </w:rPr>
        <w:t>or legal determinations that HUD—not the filer—must make, or (b) expand the form beyond its housing</w:t>
      </w:r>
      <w:r w:rsidRPr="00751D59">
        <w:rPr>
          <w:rFonts w:ascii="CG Times" w:hAnsi="CG Times"/>
          <w:sz w:val="24"/>
        </w:rPr>
        <w:noBreakHyphen/>
        <w:t>discrimination scope, increasing confusion and extraneous submissions. HUD also clarifies that every HUD</w:t>
      </w:r>
      <w:r w:rsidRPr="00751D59">
        <w:rPr>
          <w:rFonts w:ascii="CG Times" w:hAnsi="CG Times"/>
          <w:sz w:val="24"/>
        </w:rPr>
        <w:noBreakHyphen/>
        <w:t>903 submission is reviewed; funding does not drive prioritization. Triage and escalation are based on the substance and urgency of the alleged housing discrimination, with routing handled through existing location fields, intake guidance, and internal dashboards—not additional public form fields. Suggestions about closure notices/appeal rights and staff training are recognized as operational matters; any refinements will be addressed through internal process rather than by changing the public form.</w:t>
      </w:r>
    </w:p>
    <w:p w:rsidR="00806590" w:rsidRPr="00751D59" w:rsidP="00751D59" w14:paraId="10AC74F7" w14:textId="77777777">
      <w:pPr>
        <w:ind w:left="90"/>
        <w:rPr>
          <w:rFonts w:ascii="CG Times" w:hAnsi="CG Times"/>
          <w:sz w:val="24"/>
        </w:rPr>
      </w:pPr>
    </w:p>
    <w:p w:rsidR="00751D59" w:rsidRPr="00751D59" w:rsidP="00751D59" w14:paraId="43209288" w14:textId="77777777">
      <w:pPr>
        <w:ind w:left="90"/>
        <w:rPr>
          <w:rFonts w:ascii="CG Times" w:hAnsi="CG Times"/>
          <w:sz w:val="24"/>
        </w:rPr>
      </w:pPr>
      <w:r w:rsidRPr="00751D59">
        <w:rPr>
          <w:rFonts w:ascii="CG Times" w:hAnsi="CG Times"/>
          <w:sz w:val="24"/>
        </w:rPr>
        <w:t>For comments outside the information collection’s purpose—such as the Article 12 constitutional analysis and the PRAC letter on pandemic</w:t>
      </w:r>
      <w:r w:rsidRPr="00751D59">
        <w:rPr>
          <w:rFonts w:ascii="CG Times" w:hAnsi="CG Times"/>
          <w:sz w:val="24"/>
        </w:rPr>
        <w:noBreakHyphen/>
        <w:t>relief funds, retaliation, and whistleblower requests—HUD notes these are beyond the scope of HUD</w:t>
      </w:r>
      <w:r w:rsidRPr="00751D59">
        <w:rPr>
          <w:rFonts w:ascii="CG Times" w:hAnsi="CG Times"/>
          <w:sz w:val="24"/>
        </w:rPr>
        <w:noBreakHyphen/>
        <w:t>903. Filers may still report housing</w:t>
      </w:r>
      <w:r w:rsidRPr="00751D59">
        <w:rPr>
          <w:rFonts w:ascii="CG Times" w:hAnsi="CG Times"/>
          <w:sz w:val="24"/>
        </w:rPr>
        <w:noBreakHyphen/>
        <w:t>related facts through the form’s narrative; HUD will evaluate those facts under applicable federal housing laws and coordinate or refer through established channels when issues arise outside FHEO’s authority. Conversely, the resident account alleging denial of reasonable accommodations and uneven enforcement reflects the kind of housing</w:t>
      </w:r>
      <w:r w:rsidRPr="00751D59">
        <w:rPr>
          <w:rFonts w:ascii="CG Times" w:hAnsi="CG Times"/>
          <w:sz w:val="24"/>
        </w:rPr>
        <w:noBreakHyphen/>
        <w:t>discrimination facts HUD</w:t>
      </w:r>
      <w:r w:rsidRPr="00751D59">
        <w:rPr>
          <w:rFonts w:ascii="CG Times" w:hAnsi="CG Times"/>
          <w:sz w:val="24"/>
        </w:rPr>
        <w:noBreakHyphen/>
        <w:t>903 is designed to capture; it is not a comment on the form itself, and no change to HUD</w:t>
      </w:r>
      <w:r w:rsidRPr="00751D59">
        <w:rPr>
          <w:rFonts w:ascii="CG Times" w:hAnsi="CG Times"/>
          <w:sz w:val="24"/>
        </w:rPr>
        <w:noBreakHyphen/>
        <w:t>903 is warranted. Overall, HUD maintains a concise, user</w:t>
      </w:r>
      <w:r w:rsidRPr="00751D59">
        <w:rPr>
          <w:rFonts w:ascii="CG Times" w:hAnsi="CG Times"/>
          <w:sz w:val="24"/>
        </w:rPr>
        <w:noBreakHyphen/>
        <w:t>friendly form that stays focused on the facts needed to open and route housing</w:t>
      </w:r>
      <w:r w:rsidRPr="00751D59">
        <w:rPr>
          <w:rFonts w:ascii="CG Times" w:hAnsi="CG Times"/>
          <w:sz w:val="24"/>
        </w:rPr>
        <w:noBreakHyphen/>
        <w:t>discrimination inquiries, while relying on internal processes to address territorial nuances, systemic patterns, and cross</w:t>
      </w:r>
      <w:r w:rsidRPr="00751D59">
        <w:rPr>
          <w:rFonts w:ascii="CG Times" w:hAnsi="CG Times"/>
          <w:sz w:val="24"/>
        </w:rPr>
        <w:noBreakHyphen/>
        <w:t>agency coordination where appropriate.</w:t>
      </w:r>
    </w:p>
    <w:p w:rsidR="00D27C40" w:rsidRPr="006C7FAE" w:rsidP="00806590" w14:paraId="703F4528" w14:textId="78D3270F">
      <w:pPr>
        <w:tabs>
          <w:tab w:val="left" w:pos="360"/>
        </w:tabs>
        <w:rPr>
          <w:sz w:val="24"/>
          <w:szCs w:val="24"/>
        </w:rPr>
      </w:pPr>
    </w:p>
    <w:p w:rsidR="009E13B1" w:rsidRPr="008A2F44" w:rsidP="008A2F44" w14:paraId="0FD54BC5" w14:textId="53F4EFDA">
      <w:pPr>
        <w:pStyle w:val="ListParagraph"/>
        <w:keepLines/>
        <w:numPr>
          <w:ilvl w:val="0"/>
          <w:numId w:val="13"/>
        </w:numPr>
        <w:tabs>
          <w:tab w:val="left" w:pos="360"/>
        </w:tabs>
        <w:spacing w:after="80"/>
        <w:rPr>
          <w:sz w:val="24"/>
          <w:szCs w:val="24"/>
        </w:rPr>
      </w:pPr>
      <w:r w:rsidRPr="008A2F44">
        <w:rPr>
          <w:sz w:val="24"/>
          <w:szCs w:val="24"/>
        </w:rPr>
        <w:t>Explain any decision to provide any payment or gift to respondents, other than renumeration of contractors or grantees.</w:t>
      </w:r>
    </w:p>
    <w:p w:rsidR="008A2F44" w14:paraId="39D4D0C1" w14:textId="77777777">
      <w:pPr>
        <w:tabs>
          <w:tab w:val="left" w:pos="360"/>
        </w:tabs>
        <w:ind w:left="360" w:hanging="360"/>
        <w:rPr>
          <w:sz w:val="24"/>
          <w:szCs w:val="24"/>
        </w:rPr>
      </w:pPr>
    </w:p>
    <w:p w:rsidR="00D27C40" w:rsidRPr="00D27C40" w:rsidP="00B66C4B" w14:paraId="719CDA4A" w14:textId="77777777">
      <w:pPr>
        <w:ind w:left="90"/>
        <w:rPr>
          <w:sz w:val="24"/>
          <w:szCs w:val="24"/>
        </w:rPr>
      </w:pPr>
      <w:r w:rsidRPr="00D27C40">
        <w:rPr>
          <w:rFonts w:ascii="CG Times" w:hAnsi="CG Times"/>
          <w:sz w:val="24"/>
        </w:rPr>
        <w:t>HUD provides no payment, gift, or remuneration to respondents.</w:t>
      </w:r>
    </w:p>
    <w:p w:rsidR="008A2F44" w:rsidRPr="006C7FAE" w:rsidP="00DD414A" w14:paraId="4769D14B" w14:textId="010E5A91">
      <w:pPr>
        <w:tabs>
          <w:tab w:val="left" w:pos="360"/>
        </w:tabs>
        <w:rPr>
          <w:sz w:val="24"/>
          <w:szCs w:val="24"/>
        </w:rPr>
      </w:pPr>
    </w:p>
    <w:p w:rsidR="009E13B1" w:rsidRPr="00C5345E" w:rsidP="00D27C40" w14:paraId="199B10B5" w14:textId="374DFE2B">
      <w:pPr>
        <w:pStyle w:val="ListParagraph"/>
        <w:keepLines/>
        <w:numPr>
          <w:ilvl w:val="0"/>
          <w:numId w:val="13"/>
        </w:numPr>
        <w:tabs>
          <w:tab w:val="left" w:pos="360"/>
        </w:tabs>
        <w:spacing w:after="80"/>
        <w:rPr>
          <w:color w:val="000000" w:themeColor="text1"/>
          <w:sz w:val="24"/>
          <w:szCs w:val="24"/>
        </w:rPr>
      </w:pPr>
      <w:r w:rsidRPr="00C5345E">
        <w:rPr>
          <w:color w:val="000000" w:themeColor="text1"/>
          <w:sz w:val="24"/>
          <w:szCs w:val="24"/>
        </w:rPr>
        <w:t>Describe any assurance of confidentiality provided to respondents and the basis for assurance in statute, regulation or agency policy.</w:t>
      </w:r>
      <w:r w:rsidRPr="00C5345E" w:rsidR="000D5079">
        <w:rPr>
          <w:color w:val="000000" w:themeColor="text1"/>
        </w:rPr>
        <w:t xml:space="preserve"> </w:t>
      </w:r>
      <w:r w:rsidRPr="00C5345E" w:rsidR="000D5079">
        <w:rPr>
          <w:color w:val="000000" w:themeColor="text1"/>
          <w:sz w:val="24"/>
          <w:szCs w:val="24"/>
        </w:rPr>
        <w:t xml:space="preserve">If the collection requires a </w:t>
      </w:r>
      <w:r w:rsidRPr="00C5345E" w:rsidR="00BB2518">
        <w:rPr>
          <w:color w:val="000000" w:themeColor="text1"/>
          <w:sz w:val="24"/>
          <w:szCs w:val="24"/>
        </w:rPr>
        <w:t>system of records notice (SORN)</w:t>
      </w:r>
      <w:r w:rsidRPr="00C5345E" w:rsidR="000D5079">
        <w:rPr>
          <w:color w:val="000000" w:themeColor="text1"/>
          <w:sz w:val="24"/>
          <w:szCs w:val="24"/>
        </w:rPr>
        <w:t xml:space="preserve"> or privacy impact assessment (PIA), those should be cited and described here.</w:t>
      </w:r>
    </w:p>
    <w:p w:rsidR="00D27C40" w:rsidRPr="00D27C40" w:rsidP="00D27C40" w14:paraId="2BBE1C3C" w14:textId="77777777">
      <w:pPr>
        <w:tabs>
          <w:tab w:val="left" w:pos="360"/>
        </w:tabs>
        <w:ind w:left="360" w:hanging="360"/>
        <w:rPr>
          <w:sz w:val="24"/>
          <w:szCs w:val="24"/>
        </w:rPr>
      </w:pPr>
    </w:p>
    <w:p w:rsidR="00320A3A" w:rsidRPr="00B66C4B" w:rsidP="00B66C4B" w14:paraId="5B244A5E" w14:textId="38BDEDAC">
      <w:pPr>
        <w:ind w:left="90"/>
        <w:rPr>
          <w:rFonts w:ascii="CG Times" w:hAnsi="CG Times"/>
          <w:sz w:val="24"/>
        </w:rPr>
      </w:pPr>
      <w:r w:rsidRPr="00B66C4B">
        <w:rPr>
          <w:rFonts w:ascii="CG Times" w:hAnsi="CG Times"/>
          <w:sz w:val="24"/>
        </w:rPr>
        <w:t>Information collected is protected under the Privacy Act. HUD’s Privacy Act Statement applies to all data collected. No additional assurances beyond statutory requirements are provided.</w:t>
      </w:r>
      <w:r w:rsidR="00C650EC">
        <w:rPr>
          <w:rFonts w:ascii="CG Times" w:hAnsi="CG Times"/>
          <w:sz w:val="24"/>
        </w:rPr>
        <w:t xml:space="preserve"> </w:t>
      </w:r>
      <w:r w:rsidRPr="00C650EC" w:rsidR="00C650EC">
        <w:rPr>
          <w:rFonts w:ascii="CG Times" w:hAnsi="CG Times"/>
          <w:sz w:val="24"/>
        </w:rPr>
        <w:t>SYSTEM OF RECORDS NO.:  HUD/FHEO–02 </w:t>
      </w:r>
      <w:hyperlink r:id="rId12" w:tgtFrame="_blank" w:history="1">
        <w:r w:rsidRPr="00C650EC" w:rsidR="00C650EC">
          <w:rPr>
            <w:rStyle w:val="Hyperlink"/>
            <w:rFonts w:ascii="CG Times" w:hAnsi="CG Times"/>
            <w:sz w:val="24"/>
          </w:rPr>
          <w:t>https://www.govinfo.gov/content/pkg/FR-2023-12-14/pdf/2023-27443.pdf</w:t>
        </w:r>
      </w:hyperlink>
      <w:r w:rsidRPr="00C650EC" w:rsidR="00C650EC">
        <w:rPr>
          <w:rFonts w:ascii="CG Times" w:hAnsi="CG Times"/>
          <w:sz w:val="24"/>
        </w:rPr>
        <w:t> published December 14th, 2023</w:t>
      </w:r>
    </w:p>
    <w:p w:rsidR="008A2F44" w:rsidRPr="006C7FAE" w14:paraId="5FE79E78" w14:textId="564BE9D9">
      <w:pPr>
        <w:tabs>
          <w:tab w:val="left" w:pos="360"/>
        </w:tabs>
        <w:ind w:left="360" w:hanging="360"/>
        <w:rPr>
          <w:sz w:val="24"/>
          <w:szCs w:val="24"/>
        </w:rPr>
      </w:pPr>
      <w:r>
        <w:rPr>
          <w:sz w:val="24"/>
          <w:szCs w:val="24"/>
        </w:rPr>
        <w:tab/>
      </w:r>
    </w:p>
    <w:p w:rsidR="009E13B1" w:rsidRPr="006C7FAE" w14:paraId="668EAA31" w14:textId="77777777">
      <w:pPr>
        <w:keepLines/>
        <w:tabs>
          <w:tab w:val="left" w:pos="360"/>
        </w:tabs>
        <w:spacing w:after="80"/>
        <w:ind w:left="360" w:hanging="360"/>
        <w:rPr>
          <w:sz w:val="24"/>
          <w:szCs w:val="24"/>
        </w:rPr>
      </w:pPr>
      <w:r w:rsidRPr="006C7FAE">
        <w:rPr>
          <w:sz w:val="24"/>
          <w:szCs w:val="24"/>
        </w:rPr>
        <w:t>11.</w:t>
      </w:r>
      <w:r w:rsidRPr="006C7FAE">
        <w:rPr>
          <w:sz w:val="24"/>
          <w:szCs w:val="24"/>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E13B1" w14:paraId="0A2401BB" w14:textId="77777777">
      <w:pPr>
        <w:tabs>
          <w:tab w:val="left" w:pos="360"/>
        </w:tabs>
        <w:ind w:left="360" w:hanging="360"/>
        <w:rPr>
          <w:sz w:val="24"/>
          <w:szCs w:val="24"/>
        </w:rPr>
      </w:pPr>
    </w:p>
    <w:p w:rsidR="00B66C4B" w:rsidRPr="00B66C4B" w:rsidP="00B66C4B" w14:paraId="0CAA327C" w14:textId="5636FF58">
      <w:pPr>
        <w:ind w:left="90"/>
        <w:rPr>
          <w:sz w:val="24"/>
          <w:szCs w:val="24"/>
        </w:rPr>
      </w:pPr>
      <w:r w:rsidRPr="00B66C4B">
        <w:rPr>
          <w:rFonts w:ascii="CG Times" w:hAnsi="CG Times"/>
          <w:sz w:val="24"/>
        </w:rPr>
        <w:t xml:space="preserve">The Form includes items relating to protected characteristics (race, color, religion, sex, disability, familial status, national origin) because they are essential to establishing jurisdiction under the Fair Housing Act. </w:t>
      </w:r>
      <w:r w:rsidR="00C650EC">
        <w:rPr>
          <w:rFonts w:ascii="CG Times" w:hAnsi="CG Times"/>
          <w:sz w:val="24"/>
        </w:rPr>
        <w:t>This information is necessary for FHEO to access the allegation of discrimination for jurisdiction</w:t>
      </w:r>
      <w:r w:rsidRPr="00B66C4B">
        <w:rPr>
          <w:rFonts w:ascii="CG Times" w:hAnsi="CG Times"/>
          <w:sz w:val="24"/>
        </w:rPr>
        <w:t>.</w:t>
      </w:r>
      <w:r w:rsidR="00C650EC">
        <w:rPr>
          <w:rFonts w:ascii="CG Times" w:hAnsi="CG Times"/>
          <w:sz w:val="24"/>
        </w:rPr>
        <w:t xml:space="preserve"> By submitting this information, the submitter consents to HUD’s use of the data for investigation and enforcement.</w:t>
      </w:r>
      <w:r w:rsidRPr="00B66C4B">
        <w:rPr>
          <w:sz w:val="24"/>
          <w:szCs w:val="24"/>
        </w:rPr>
        <w:t xml:space="preserve"> </w:t>
      </w:r>
    </w:p>
    <w:p w:rsidR="00B66C4B" w14:paraId="76F806AD" w14:textId="77777777">
      <w:pPr>
        <w:tabs>
          <w:tab w:val="left" w:pos="360"/>
        </w:tabs>
        <w:ind w:left="360" w:hanging="360"/>
        <w:rPr>
          <w:sz w:val="24"/>
          <w:szCs w:val="24"/>
        </w:rPr>
      </w:pPr>
    </w:p>
    <w:p w:rsidR="000D5079" w14:paraId="7C95C366" w14:textId="77777777">
      <w:pPr>
        <w:tabs>
          <w:tab w:val="left" w:pos="360"/>
        </w:tabs>
        <w:ind w:left="360" w:hanging="360"/>
        <w:rPr>
          <w:sz w:val="24"/>
          <w:szCs w:val="24"/>
        </w:rPr>
      </w:pPr>
      <w:r w:rsidRPr="006C7FAE">
        <w:rPr>
          <w:sz w:val="24"/>
          <w:szCs w:val="24"/>
        </w:rPr>
        <w:t>12.</w:t>
      </w:r>
      <w:r w:rsidRPr="006C7FAE">
        <w:rPr>
          <w:sz w:val="24"/>
          <w:szCs w:val="24"/>
        </w:rPr>
        <w:tab/>
        <w:t>Provide estimates of the hour burden of the collection of information.  The statement should:</w:t>
      </w:r>
    </w:p>
    <w:p w:rsidR="009E13B1" w:rsidRPr="006C7FAE" w14:paraId="1876208F" w14:textId="77777777">
      <w:pPr>
        <w:tabs>
          <w:tab w:val="left" w:pos="360"/>
        </w:tabs>
        <w:ind w:left="360" w:hanging="360"/>
        <w:rPr>
          <w:sz w:val="24"/>
          <w:szCs w:val="24"/>
        </w:rPr>
      </w:pPr>
      <w:r w:rsidRPr="006C7FAE">
        <w:rPr>
          <w:sz w:val="24"/>
          <w:szCs w:val="24"/>
        </w:rPr>
        <w:t xml:space="preserve"> </w:t>
      </w:r>
    </w:p>
    <w:p w:rsidR="00366A61" w14:paraId="4FEBEE73" w14:textId="77777777">
      <w:pPr>
        <w:numPr>
          <w:ilvl w:val="0"/>
          <w:numId w:val="14"/>
        </w:numPr>
        <w:tabs>
          <w:tab w:val="left" w:pos="480"/>
        </w:tabs>
        <w:ind w:left="480"/>
        <w:rPr>
          <w:sz w:val="24"/>
          <w:szCs w:val="24"/>
        </w:rPr>
      </w:pPr>
      <w:r>
        <w:rPr>
          <w:sz w:val="24"/>
          <w:szCs w:val="24"/>
        </w:rPr>
        <w:t>I</w:t>
      </w:r>
      <w:r w:rsidRPr="006C7FAE" w:rsidR="009E13B1">
        <w:rPr>
          <w:sz w:val="24"/>
          <w:szCs w:val="24"/>
        </w:rPr>
        <w:t xml:space="preserve">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w:t>
      </w:r>
      <w:r w:rsidRPr="006C7FAE" w:rsidR="006C7FAE">
        <w:rPr>
          <w:sz w:val="24"/>
          <w:szCs w:val="24"/>
        </w:rPr>
        <w:t>Generally,</w:t>
      </w:r>
      <w:r w:rsidRPr="006C7FAE" w:rsidR="009E13B1">
        <w:rPr>
          <w:sz w:val="24"/>
          <w:szCs w:val="24"/>
        </w:rPr>
        <w:t xml:space="preserve"> estimates should not include burden hours for customary and usual business practices;</w:t>
      </w:r>
    </w:p>
    <w:p w:rsidR="009E13B1" w:rsidP="00366A61" w14:paraId="06CBD536" w14:textId="3EDA1888">
      <w:pPr>
        <w:tabs>
          <w:tab w:val="left" w:pos="480"/>
        </w:tabs>
        <w:ind w:left="480"/>
        <w:rPr>
          <w:sz w:val="24"/>
          <w:szCs w:val="24"/>
        </w:rPr>
      </w:pPr>
      <w:r w:rsidRPr="006C7FAE">
        <w:rPr>
          <w:sz w:val="24"/>
          <w:szCs w:val="24"/>
        </w:rPr>
        <w:t xml:space="preserve"> </w:t>
      </w:r>
    </w:p>
    <w:p w:rsidR="009E13B1" w14:paraId="54BF2220" w14:textId="77777777">
      <w:pPr>
        <w:numPr>
          <w:ilvl w:val="0"/>
          <w:numId w:val="14"/>
        </w:numPr>
        <w:tabs>
          <w:tab w:val="left" w:pos="480"/>
        </w:tabs>
        <w:ind w:left="480"/>
        <w:rPr>
          <w:sz w:val="24"/>
          <w:szCs w:val="24"/>
        </w:rPr>
      </w:pPr>
      <w:r>
        <w:rPr>
          <w:sz w:val="24"/>
          <w:szCs w:val="24"/>
        </w:rPr>
        <w:t>I</w:t>
      </w:r>
      <w:r w:rsidRPr="006C7FAE">
        <w:rPr>
          <w:sz w:val="24"/>
          <w:szCs w:val="24"/>
        </w:rPr>
        <w:t xml:space="preserve">f this request covers more than one form, provide separate hour burden estimates for each form and aggregate the hour burdens in </w:t>
      </w:r>
      <w:r w:rsidR="00CA06CC">
        <w:rPr>
          <w:sz w:val="24"/>
          <w:szCs w:val="24"/>
        </w:rPr>
        <w:t>chart below</w:t>
      </w:r>
      <w:r w:rsidRPr="006C7FAE">
        <w:rPr>
          <w:sz w:val="24"/>
          <w:szCs w:val="24"/>
        </w:rPr>
        <w:t xml:space="preserve">; and </w:t>
      </w:r>
    </w:p>
    <w:p w:rsidR="00366A61" w:rsidP="00366A61" w14:paraId="59AB26DA" w14:textId="77777777">
      <w:pPr>
        <w:pStyle w:val="ListParagraph"/>
        <w:rPr>
          <w:sz w:val="24"/>
          <w:szCs w:val="24"/>
        </w:rPr>
      </w:pPr>
    </w:p>
    <w:p w:rsidR="009E13B1" w14:paraId="438D1797" w14:textId="77777777">
      <w:pPr>
        <w:keepLines/>
        <w:numPr>
          <w:ilvl w:val="0"/>
          <w:numId w:val="14"/>
        </w:numPr>
        <w:tabs>
          <w:tab w:val="left" w:pos="480"/>
        </w:tabs>
        <w:spacing w:after="80"/>
        <w:ind w:left="480"/>
        <w:rPr>
          <w:sz w:val="24"/>
          <w:szCs w:val="24"/>
        </w:rPr>
      </w:pPr>
      <w:r>
        <w:rPr>
          <w:sz w:val="24"/>
          <w:szCs w:val="24"/>
        </w:rPr>
        <w:t>P</w:t>
      </w:r>
      <w:r w:rsidRPr="006C7FAE">
        <w:rPr>
          <w:sz w:val="24"/>
          <w:szCs w:val="24"/>
        </w:rPr>
        <w:t xml:space="preserve">rovide estimates of annualized cost to respondents for the hour burdens for collections of information, identifying and using appropriate wage rate categories.  The cost of contracting out or paying outside parties for information collection activities should not be included here.  </w:t>
      </w:r>
      <w:r w:rsidRPr="006C7FAE" w:rsidR="00CA06CC">
        <w:rPr>
          <w:sz w:val="24"/>
          <w:szCs w:val="24"/>
        </w:rPr>
        <w:t>Instead,</w:t>
      </w:r>
      <w:r w:rsidRPr="006C7FAE">
        <w:rPr>
          <w:sz w:val="24"/>
          <w:szCs w:val="24"/>
        </w:rPr>
        <w:t xml:space="preserve"> this cost should be included in Item 13.</w:t>
      </w:r>
    </w:p>
    <w:p w:rsidR="00BF1641" w:rsidP="00BF1641" w14:paraId="01EDDED2" w14:textId="77777777">
      <w:pPr>
        <w:pStyle w:val="ListParagraph"/>
        <w:rPr>
          <w:sz w:val="24"/>
          <w:szCs w:val="24"/>
        </w:rPr>
      </w:pPr>
    </w:p>
    <w:p w:rsidR="008423BD" w:rsidP="008423BD" w14:paraId="615092C1" w14:textId="393AC563">
      <w:pPr>
        <w:keepLines/>
        <w:tabs>
          <w:tab w:val="left" w:pos="480"/>
        </w:tabs>
        <w:spacing w:after="80"/>
        <w:ind w:left="480"/>
        <w:rPr>
          <w:sz w:val="24"/>
          <w:szCs w:val="24"/>
        </w:rPr>
      </w:pPr>
      <w:r w:rsidRPr="00BF1641">
        <w:rPr>
          <w:rFonts w:ascii="CG Times" w:hAnsi="CG Times"/>
          <w:sz w:val="24"/>
        </w:rPr>
        <w:t xml:space="preserve">HUD estimates </w:t>
      </w:r>
      <w:r w:rsidR="00C650EC">
        <w:rPr>
          <w:rFonts w:ascii="CG Times" w:hAnsi="CG Times"/>
          <w:sz w:val="24"/>
        </w:rPr>
        <w:t>b</w:t>
      </w:r>
      <w:r w:rsidRPr="00C650EC" w:rsidR="00C650EC">
        <w:rPr>
          <w:rFonts w:ascii="CG Times" w:hAnsi="CG Times"/>
          <w:sz w:val="24"/>
        </w:rPr>
        <w:t>ased on the number of HUD</w:t>
      </w:r>
      <w:r w:rsidRPr="00C650EC" w:rsidR="00C650EC">
        <w:rPr>
          <w:rFonts w:ascii="CG Times" w:hAnsi="CG Times"/>
          <w:sz w:val="24"/>
        </w:rPr>
        <w:noBreakHyphen/>
        <w:t xml:space="preserve">903 </w:t>
      </w:r>
      <w:r w:rsidR="00C650EC">
        <w:rPr>
          <w:rFonts w:ascii="CG Times" w:hAnsi="CG Times"/>
          <w:sz w:val="24"/>
        </w:rPr>
        <w:t>submittals</w:t>
      </w:r>
      <w:r w:rsidRPr="00C650EC" w:rsidR="00C650EC">
        <w:rPr>
          <w:rFonts w:ascii="CG Times" w:hAnsi="CG Times"/>
          <w:sz w:val="24"/>
        </w:rPr>
        <w:t xml:space="preserve"> received in FY 2025</w:t>
      </w:r>
      <w:r w:rsidR="00C650EC">
        <w:rPr>
          <w:rFonts w:ascii="CG Times" w:hAnsi="CG Times"/>
          <w:sz w:val="24"/>
        </w:rPr>
        <w:t xml:space="preserve"> that it will receive </w:t>
      </w:r>
      <w:r w:rsidRPr="00BF1641">
        <w:rPr>
          <w:rFonts w:ascii="CG Times" w:hAnsi="CG Times"/>
          <w:sz w:val="24"/>
        </w:rPr>
        <w:t>51,442 respondents</w:t>
      </w:r>
      <w:r w:rsidR="00C650EC">
        <w:rPr>
          <w:rFonts w:ascii="CG Times" w:hAnsi="CG Times"/>
          <w:sz w:val="24"/>
        </w:rPr>
        <w:t xml:space="preserve"> annually</w:t>
      </w:r>
      <w:r w:rsidRPr="00BF1641">
        <w:rPr>
          <w:rFonts w:ascii="CG Times" w:hAnsi="CG Times"/>
          <w:sz w:val="24"/>
        </w:rPr>
        <w:t xml:space="preserve">, each submitting the Form once. Approximate completion time is 0.75 hours, resulting in 38,581.5 annual burden hours. </w:t>
      </w:r>
      <w:r w:rsidR="0032364E">
        <w:rPr>
          <w:rFonts w:ascii="CG Times" w:hAnsi="CG Times"/>
          <w:sz w:val="24"/>
        </w:rPr>
        <w:t xml:space="preserve">Because submitters span the entire population and across professions HUD utilizes the May 2025 cost burden of $24.51 based on the national hourly median wages across all occupations. </w:t>
      </w:r>
      <w:r w:rsidRPr="00BF1641">
        <w:rPr>
          <w:rFonts w:ascii="CG Times" w:hAnsi="CG Times"/>
          <w:sz w:val="24"/>
        </w:rPr>
        <w:t xml:space="preserve">There is no recordkeeping burden. </w:t>
      </w:r>
    </w:p>
    <w:tbl>
      <w:tblPr>
        <w:tblW w:w="9990" w:type="dxa"/>
        <w:tblInd w:w="80" w:type="dxa"/>
        <w:tblCellMar>
          <w:left w:w="0" w:type="dxa"/>
          <w:right w:w="0" w:type="dxa"/>
        </w:tblCellMar>
        <w:tblLook w:val="04A0"/>
      </w:tblPr>
      <w:tblGrid>
        <w:gridCol w:w="1261"/>
        <w:gridCol w:w="1339"/>
        <w:gridCol w:w="1233"/>
        <w:gridCol w:w="1155"/>
        <w:gridCol w:w="1211"/>
        <w:gridCol w:w="1558"/>
        <w:gridCol w:w="1017"/>
        <w:gridCol w:w="1216"/>
      </w:tblGrid>
      <w:tr w14:paraId="3ACA7B09" w14:textId="77777777" w:rsidTr="005955A1">
        <w:tblPrEx>
          <w:tblW w:w="9990" w:type="dxa"/>
          <w:tblInd w:w="80" w:type="dxa"/>
          <w:tblCellMar>
            <w:left w:w="0" w:type="dxa"/>
            <w:right w:w="0" w:type="dxa"/>
          </w:tblCellMar>
          <w:tblLook w:val="04A0"/>
        </w:tblPrEx>
        <w:trPr>
          <w:trHeight w:val="643"/>
        </w:trPr>
        <w:tc>
          <w:tcPr>
            <w:tcW w:w="12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66A61" w:rsidRPr="006C7FAE" w:rsidP="00C650EC" w14:paraId="757FECA9" w14:textId="77777777">
            <w:pPr>
              <w:keepNext/>
              <w:keepLines/>
              <w:adjustRightInd/>
              <w:jc w:val="center"/>
              <w:textAlignment w:val="auto"/>
              <w:rPr>
                <w:rFonts w:eastAsia="Calibri"/>
                <w:b/>
                <w:bCs/>
                <w:color w:val="000000"/>
              </w:rPr>
            </w:pPr>
            <w:r w:rsidRPr="006C7FAE">
              <w:rPr>
                <w:rFonts w:eastAsia="Calibri"/>
                <w:b/>
                <w:bCs/>
                <w:color w:val="000000"/>
              </w:rPr>
              <w:t>Information Collection</w:t>
            </w:r>
          </w:p>
        </w:tc>
        <w:tc>
          <w:tcPr>
            <w:tcW w:w="13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66A61" w:rsidRPr="006C7FAE" w:rsidP="00C650EC" w14:paraId="47A7100C" w14:textId="77777777">
            <w:pPr>
              <w:keepNext/>
              <w:keepLines/>
              <w:adjustRightInd/>
              <w:jc w:val="center"/>
              <w:textAlignment w:val="auto"/>
              <w:rPr>
                <w:rFonts w:eastAsia="Calibri"/>
                <w:b/>
                <w:bCs/>
                <w:color w:val="000000"/>
              </w:rPr>
            </w:pPr>
            <w:r w:rsidRPr="006C7FAE">
              <w:rPr>
                <w:rFonts w:eastAsia="Calibri"/>
                <w:b/>
                <w:bCs/>
                <w:color w:val="000000"/>
              </w:rPr>
              <w:t>Number of Respondents</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66A61" w:rsidRPr="006C7FAE" w:rsidP="00C650EC" w14:paraId="6F1F718D" w14:textId="77777777">
            <w:pPr>
              <w:keepNext/>
              <w:keepLines/>
              <w:adjustRightInd/>
              <w:jc w:val="center"/>
              <w:textAlignment w:val="auto"/>
              <w:rPr>
                <w:rFonts w:eastAsia="Calibri"/>
                <w:b/>
                <w:bCs/>
                <w:color w:val="000000"/>
              </w:rPr>
            </w:pPr>
            <w:r w:rsidRPr="006C7FAE">
              <w:rPr>
                <w:rFonts w:eastAsia="Calibri"/>
                <w:b/>
                <w:bCs/>
                <w:color w:val="000000"/>
              </w:rPr>
              <w:t>Frequency of Response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66A61" w:rsidRPr="006C7FAE" w:rsidP="00C650EC" w14:paraId="24541C38" w14:textId="77777777">
            <w:pPr>
              <w:keepNext/>
              <w:keepLines/>
              <w:overflowPunct/>
              <w:autoSpaceDE/>
              <w:autoSpaceDN/>
              <w:adjustRightInd/>
              <w:jc w:val="center"/>
              <w:textAlignment w:val="auto"/>
              <w:rPr>
                <w:rFonts w:eastAsia="Calibri"/>
                <w:b/>
                <w:bCs/>
                <w:color w:val="000000"/>
              </w:rPr>
            </w:pPr>
            <w:r w:rsidRPr="006C7FAE">
              <w:rPr>
                <w:rFonts w:eastAsia="Calibri"/>
                <w:b/>
                <w:bCs/>
                <w:color w:val="000000"/>
              </w:rPr>
              <w:t>Responses</w:t>
            </w:r>
          </w:p>
          <w:p w:rsidR="00366A61" w:rsidRPr="006C7FAE" w:rsidP="00C650EC" w14:paraId="49CB5CB2" w14:textId="77777777">
            <w:pPr>
              <w:keepNext/>
              <w:keepLines/>
              <w:adjustRightInd/>
              <w:jc w:val="center"/>
              <w:textAlignment w:val="auto"/>
              <w:rPr>
                <w:rFonts w:eastAsia="Calibri"/>
                <w:b/>
                <w:bCs/>
                <w:color w:val="000000"/>
              </w:rPr>
            </w:pPr>
            <w:r w:rsidRPr="006C7FAE">
              <w:rPr>
                <w:rFonts w:eastAsia="Calibri"/>
                <w:b/>
                <w:bCs/>
                <w:color w:val="000000"/>
              </w:rPr>
              <w:t>Per Annum</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66A61" w:rsidRPr="006C7FAE" w:rsidP="00C650EC" w14:paraId="19AFF607" w14:textId="77777777">
            <w:pPr>
              <w:keepNext/>
              <w:keepLines/>
              <w:adjustRightInd/>
              <w:jc w:val="center"/>
              <w:textAlignment w:val="auto"/>
              <w:rPr>
                <w:rFonts w:eastAsia="Calibri"/>
                <w:b/>
                <w:bCs/>
                <w:color w:val="000000"/>
              </w:rPr>
            </w:pPr>
            <w:r w:rsidRPr="006C7FAE">
              <w:rPr>
                <w:rFonts w:eastAsia="Calibri"/>
                <w:b/>
                <w:bCs/>
                <w:color w:val="000000"/>
              </w:rPr>
              <w:t>Burden Hour Per Response</w:t>
            </w:r>
          </w:p>
        </w:tc>
        <w:tc>
          <w:tcPr>
            <w:tcW w:w="16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66A61" w:rsidRPr="006C7FAE" w:rsidP="00C650EC" w14:paraId="0E7E2A76" w14:textId="77777777">
            <w:pPr>
              <w:keepNext/>
              <w:keepLines/>
              <w:adjustRightInd/>
              <w:jc w:val="center"/>
              <w:textAlignment w:val="auto"/>
              <w:rPr>
                <w:rFonts w:eastAsia="Calibri"/>
                <w:b/>
                <w:bCs/>
                <w:color w:val="000000"/>
              </w:rPr>
            </w:pPr>
            <w:r w:rsidRPr="006C7FAE">
              <w:rPr>
                <w:rFonts w:eastAsia="Calibri"/>
                <w:b/>
                <w:bCs/>
                <w:color w:val="000000"/>
              </w:rPr>
              <w:t>Annual Burden Hours</w:t>
            </w:r>
          </w:p>
        </w:tc>
        <w:tc>
          <w:tcPr>
            <w:tcW w:w="10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66A61" w:rsidRPr="006C7FAE" w:rsidP="00C650EC" w14:paraId="192FA206" w14:textId="77777777">
            <w:pPr>
              <w:keepNext/>
              <w:keepLines/>
              <w:adjustRightInd/>
              <w:jc w:val="center"/>
              <w:textAlignment w:val="auto"/>
              <w:rPr>
                <w:rFonts w:eastAsia="Calibri"/>
                <w:b/>
                <w:bCs/>
                <w:color w:val="000000"/>
              </w:rPr>
            </w:pPr>
            <w:r w:rsidRPr="006C7FAE">
              <w:rPr>
                <w:rFonts w:eastAsia="Calibri"/>
                <w:b/>
                <w:bCs/>
                <w:color w:val="000000"/>
              </w:rPr>
              <w:t>Hourly Cost Per Response</w:t>
            </w:r>
          </w:p>
        </w:tc>
        <w:tc>
          <w:tcPr>
            <w:tcW w:w="97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66A61" w:rsidRPr="006C7FAE" w:rsidP="00C650EC" w14:paraId="536779A6" w14:textId="77777777">
            <w:pPr>
              <w:keepNext/>
              <w:keepLines/>
              <w:overflowPunct/>
              <w:autoSpaceDE/>
              <w:autoSpaceDN/>
              <w:adjustRightInd/>
              <w:jc w:val="center"/>
              <w:textAlignment w:val="auto"/>
              <w:rPr>
                <w:rFonts w:eastAsia="Calibri"/>
                <w:b/>
                <w:bCs/>
                <w:color w:val="000000"/>
              </w:rPr>
            </w:pPr>
            <w:r w:rsidRPr="006C7FAE">
              <w:rPr>
                <w:rFonts w:eastAsia="Calibri"/>
                <w:b/>
                <w:bCs/>
                <w:color w:val="000000"/>
              </w:rPr>
              <w:t>Annual Cost</w:t>
            </w:r>
          </w:p>
          <w:p w:rsidR="00366A61" w:rsidRPr="006C7FAE" w:rsidP="00C650EC" w14:paraId="43B2BB5B" w14:textId="77777777">
            <w:pPr>
              <w:keepNext/>
              <w:keepLines/>
              <w:adjustRightInd/>
              <w:jc w:val="center"/>
              <w:textAlignment w:val="auto"/>
              <w:rPr>
                <w:rFonts w:eastAsia="Calibri"/>
                <w:b/>
                <w:bCs/>
                <w:color w:val="000000"/>
              </w:rPr>
            </w:pPr>
          </w:p>
        </w:tc>
      </w:tr>
      <w:tr w14:paraId="3B444932" w14:textId="77777777" w:rsidTr="005955A1">
        <w:tblPrEx>
          <w:tblW w:w="9990" w:type="dxa"/>
          <w:tblInd w:w="80" w:type="dxa"/>
          <w:tblCellMar>
            <w:left w:w="0" w:type="dxa"/>
            <w:right w:w="0" w:type="dxa"/>
          </w:tblCellMar>
          <w:tblLook w:val="04A0"/>
        </w:tblPrEx>
        <w:tc>
          <w:tcPr>
            <w:tcW w:w="1262" w:type="dxa"/>
            <w:tcBorders>
              <w:top w:val="nil"/>
              <w:left w:val="single" w:sz="8" w:space="0" w:color="auto"/>
              <w:bottom w:val="nil"/>
              <w:right w:val="single" w:sz="8" w:space="0" w:color="auto"/>
            </w:tcBorders>
            <w:tcMar>
              <w:top w:w="0" w:type="dxa"/>
              <w:left w:w="108" w:type="dxa"/>
              <w:bottom w:w="0" w:type="dxa"/>
              <w:right w:w="108" w:type="dxa"/>
            </w:tcMar>
          </w:tcPr>
          <w:p w:rsidR="00366A61" w:rsidRPr="00576962" w:rsidP="00C650EC" w14:paraId="04DECE1B" w14:textId="4B8CFA24">
            <w:pPr>
              <w:keepNext/>
              <w:keepLines/>
              <w:adjustRightInd/>
              <w:textAlignment w:val="auto"/>
              <w:rPr>
                <w:rFonts w:eastAsia="Calibri"/>
                <w:b/>
                <w:bCs/>
                <w:color w:val="000000"/>
              </w:rPr>
            </w:pPr>
            <w:r>
              <w:rPr>
                <w:rFonts w:eastAsia="Calibri"/>
                <w:b/>
                <w:bCs/>
                <w:color w:val="000000"/>
              </w:rPr>
              <w:t>903</w:t>
            </w:r>
          </w:p>
        </w:tc>
        <w:tc>
          <w:tcPr>
            <w:tcW w:w="1348" w:type="dxa"/>
            <w:tcBorders>
              <w:top w:val="nil"/>
              <w:left w:val="nil"/>
              <w:bottom w:val="nil"/>
              <w:right w:val="single" w:sz="8" w:space="0" w:color="auto"/>
            </w:tcBorders>
            <w:tcMar>
              <w:top w:w="0" w:type="dxa"/>
              <w:left w:w="108" w:type="dxa"/>
              <w:bottom w:w="0" w:type="dxa"/>
              <w:right w:w="108" w:type="dxa"/>
            </w:tcMar>
          </w:tcPr>
          <w:p w:rsidR="00366A61" w:rsidRPr="00576962" w:rsidP="00C650EC" w14:paraId="7295A05F" w14:textId="3224686F">
            <w:pPr>
              <w:keepNext/>
              <w:keepLines/>
              <w:adjustRightInd/>
              <w:jc w:val="center"/>
              <w:textAlignment w:val="auto"/>
              <w:rPr>
                <w:rFonts w:eastAsia="Calibri"/>
                <w:b/>
                <w:bCs/>
                <w:color w:val="000000"/>
              </w:rPr>
            </w:pPr>
            <w:r>
              <w:rPr>
                <w:rFonts w:eastAsia="Calibri"/>
                <w:b/>
                <w:bCs/>
                <w:color w:val="000000"/>
              </w:rPr>
              <w:t>51,442</w:t>
            </w:r>
          </w:p>
        </w:tc>
        <w:tc>
          <w:tcPr>
            <w:tcW w:w="1260" w:type="dxa"/>
            <w:tcBorders>
              <w:top w:val="nil"/>
              <w:left w:val="nil"/>
              <w:bottom w:val="nil"/>
              <w:right w:val="single" w:sz="8" w:space="0" w:color="auto"/>
            </w:tcBorders>
            <w:tcMar>
              <w:top w:w="0" w:type="dxa"/>
              <w:left w:w="108" w:type="dxa"/>
              <w:bottom w:w="0" w:type="dxa"/>
              <w:right w:w="108" w:type="dxa"/>
            </w:tcMar>
          </w:tcPr>
          <w:p w:rsidR="00366A61" w:rsidRPr="00576962" w:rsidP="00C650EC" w14:paraId="7136500C" w14:textId="39C73F5E">
            <w:pPr>
              <w:keepNext/>
              <w:keepLines/>
              <w:adjustRightInd/>
              <w:jc w:val="center"/>
              <w:textAlignment w:val="auto"/>
              <w:rPr>
                <w:rFonts w:eastAsia="Calibri"/>
                <w:b/>
                <w:bCs/>
                <w:color w:val="000000"/>
              </w:rPr>
            </w:pPr>
            <w:r>
              <w:rPr>
                <w:rFonts w:eastAsia="Calibri"/>
                <w:b/>
                <w:bCs/>
                <w:color w:val="000000"/>
              </w:rPr>
              <w:t>1</w:t>
            </w:r>
          </w:p>
        </w:tc>
        <w:tc>
          <w:tcPr>
            <w:tcW w:w="1170" w:type="dxa"/>
            <w:tcBorders>
              <w:top w:val="nil"/>
              <w:left w:val="nil"/>
              <w:bottom w:val="nil"/>
              <w:right w:val="single" w:sz="8" w:space="0" w:color="auto"/>
            </w:tcBorders>
            <w:tcMar>
              <w:top w:w="0" w:type="dxa"/>
              <w:left w:w="108" w:type="dxa"/>
              <w:bottom w:w="0" w:type="dxa"/>
              <w:right w:w="108" w:type="dxa"/>
            </w:tcMar>
          </w:tcPr>
          <w:p w:rsidR="00366A61" w:rsidRPr="00576962" w:rsidP="00C650EC" w14:paraId="4BA9E028" w14:textId="194E37FE">
            <w:pPr>
              <w:keepNext/>
              <w:keepLines/>
              <w:adjustRightInd/>
              <w:jc w:val="center"/>
              <w:textAlignment w:val="auto"/>
              <w:rPr>
                <w:rFonts w:eastAsia="Calibri"/>
                <w:b/>
                <w:bCs/>
                <w:color w:val="000000"/>
              </w:rPr>
            </w:pPr>
            <w:r>
              <w:rPr>
                <w:rFonts w:eastAsia="Calibri"/>
                <w:b/>
                <w:bCs/>
                <w:color w:val="000000"/>
              </w:rPr>
              <w:t>1</w:t>
            </w:r>
          </w:p>
        </w:tc>
        <w:tc>
          <w:tcPr>
            <w:tcW w:w="1260" w:type="dxa"/>
            <w:tcBorders>
              <w:top w:val="nil"/>
              <w:left w:val="nil"/>
              <w:bottom w:val="nil"/>
              <w:right w:val="single" w:sz="8" w:space="0" w:color="auto"/>
            </w:tcBorders>
            <w:tcMar>
              <w:top w:w="0" w:type="dxa"/>
              <w:left w:w="108" w:type="dxa"/>
              <w:bottom w:w="0" w:type="dxa"/>
              <w:right w:w="108" w:type="dxa"/>
            </w:tcMar>
          </w:tcPr>
          <w:p w:rsidR="00366A61" w:rsidRPr="00576962" w:rsidP="00C650EC" w14:paraId="4F094BDA" w14:textId="68C6D97F">
            <w:pPr>
              <w:keepNext/>
              <w:keepLines/>
              <w:adjustRightInd/>
              <w:jc w:val="center"/>
              <w:textAlignment w:val="auto"/>
              <w:rPr>
                <w:rFonts w:eastAsia="Calibri"/>
                <w:b/>
                <w:bCs/>
                <w:color w:val="000000"/>
              </w:rPr>
            </w:pPr>
            <w:r>
              <w:rPr>
                <w:rFonts w:eastAsia="Calibri"/>
                <w:b/>
                <w:bCs/>
                <w:color w:val="000000"/>
              </w:rPr>
              <w:t>0.75</w:t>
            </w:r>
          </w:p>
        </w:tc>
        <w:tc>
          <w:tcPr>
            <w:tcW w:w="1696" w:type="dxa"/>
            <w:tcBorders>
              <w:top w:val="nil"/>
              <w:left w:val="nil"/>
              <w:bottom w:val="nil"/>
              <w:right w:val="single" w:sz="8" w:space="0" w:color="auto"/>
            </w:tcBorders>
            <w:tcMar>
              <w:top w:w="0" w:type="dxa"/>
              <w:left w:w="108" w:type="dxa"/>
              <w:bottom w:w="0" w:type="dxa"/>
              <w:right w:w="108" w:type="dxa"/>
            </w:tcMar>
          </w:tcPr>
          <w:p w:rsidR="00366A61" w:rsidRPr="00576962" w:rsidP="00C650EC" w14:paraId="32AFC48F" w14:textId="4CC0B56F">
            <w:pPr>
              <w:keepNext/>
              <w:keepLines/>
              <w:adjustRightInd/>
              <w:jc w:val="center"/>
              <w:textAlignment w:val="auto"/>
              <w:rPr>
                <w:rFonts w:eastAsia="Calibri"/>
                <w:b/>
                <w:bCs/>
                <w:color w:val="000000"/>
              </w:rPr>
            </w:pPr>
            <w:r>
              <w:rPr>
                <w:rFonts w:eastAsia="Calibri"/>
                <w:b/>
                <w:bCs/>
                <w:color w:val="000000"/>
              </w:rPr>
              <w:t>38,581.5</w:t>
            </w:r>
            <w:r w:rsidR="00A94488">
              <w:rPr>
                <w:rFonts w:eastAsia="Calibri"/>
                <w:b/>
                <w:bCs/>
                <w:color w:val="000000"/>
              </w:rPr>
              <w:t>0</w:t>
            </w:r>
          </w:p>
        </w:tc>
        <w:tc>
          <w:tcPr>
            <w:tcW w:w="1017" w:type="dxa"/>
            <w:tcBorders>
              <w:top w:val="nil"/>
              <w:left w:val="nil"/>
              <w:bottom w:val="nil"/>
              <w:right w:val="single" w:sz="8" w:space="0" w:color="auto"/>
            </w:tcBorders>
            <w:tcMar>
              <w:top w:w="0" w:type="dxa"/>
              <w:left w:w="108" w:type="dxa"/>
              <w:bottom w:w="0" w:type="dxa"/>
              <w:right w:w="108" w:type="dxa"/>
            </w:tcMar>
          </w:tcPr>
          <w:p w:rsidR="00366A61" w:rsidRPr="007E50D7" w:rsidP="00C650EC" w14:paraId="1C147E0A" w14:textId="706BED6A">
            <w:pPr>
              <w:keepNext/>
              <w:keepLines/>
              <w:adjustRightInd/>
              <w:jc w:val="right"/>
              <w:textAlignment w:val="auto"/>
              <w:rPr>
                <w:rFonts w:eastAsia="Calibri"/>
                <w:b/>
                <w:bCs/>
                <w:color w:val="000000"/>
              </w:rPr>
            </w:pPr>
            <w:r>
              <w:rPr>
                <w:rFonts w:eastAsia="Calibri"/>
                <w:b/>
                <w:bCs/>
                <w:color w:val="000000"/>
              </w:rPr>
              <w:t>$24.51</w:t>
            </w:r>
          </w:p>
        </w:tc>
        <w:tc>
          <w:tcPr>
            <w:tcW w:w="977" w:type="dxa"/>
            <w:tcBorders>
              <w:top w:val="nil"/>
              <w:left w:val="nil"/>
              <w:bottom w:val="nil"/>
              <w:right w:val="single" w:sz="8" w:space="0" w:color="auto"/>
            </w:tcBorders>
            <w:tcMar>
              <w:top w:w="0" w:type="dxa"/>
              <w:left w:w="108" w:type="dxa"/>
              <w:bottom w:w="0" w:type="dxa"/>
              <w:right w:w="108" w:type="dxa"/>
            </w:tcMar>
          </w:tcPr>
          <w:p w:rsidR="00366A61" w:rsidRPr="007E50D7" w:rsidP="00C650EC" w14:paraId="5934022C" w14:textId="2FF3EA6D">
            <w:pPr>
              <w:keepNext/>
              <w:keepLines/>
              <w:adjustRightInd/>
              <w:jc w:val="right"/>
              <w:textAlignment w:val="auto"/>
              <w:rPr>
                <w:rFonts w:eastAsia="Calibri"/>
                <w:b/>
                <w:bCs/>
                <w:color w:val="000000"/>
              </w:rPr>
            </w:pPr>
            <w:r>
              <w:rPr>
                <w:rFonts w:eastAsia="Calibri"/>
                <w:b/>
                <w:bCs/>
                <w:color w:val="000000"/>
              </w:rPr>
              <w:t>$945,632.57</w:t>
            </w:r>
          </w:p>
        </w:tc>
      </w:tr>
      <w:tr w14:paraId="0E739CBC" w14:textId="77777777" w:rsidTr="005955A1">
        <w:tblPrEx>
          <w:tblW w:w="9990" w:type="dxa"/>
          <w:tblInd w:w="80" w:type="dxa"/>
          <w:tblCellMar>
            <w:left w:w="0" w:type="dxa"/>
            <w:right w:w="0" w:type="dxa"/>
          </w:tblCellMar>
          <w:tblLook w:val="04A0"/>
        </w:tblPrEx>
        <w:tc>
          <w:tcPr>
            <w:tcW w:w="126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66A61" w:rsidRPr="00576962" w:rsidP="00C650EC" w14:paraId="061AC4B7" w14:textId="77777777">
            <w:pPr>
              <w:keepNext/>
              <w:keepLines/>
              <w:adjustRightInd/>
              <w:textAlignment w:val="auto"/>
              <w:rPr>
                <w:rFonts w:eastAsia="Calibri"/>
                <w:b/>
                <w:bCs/>
                <w:color w:val="000000"/>
              </w:rPr>
            </w:pPr>
          </w:p>
        </w:tc>
        <w:tc>
          <w:tcPr>
            <w:tcW w:w="1348" w:type="dxa"/>
            <w:tcBorders>
              <w:top w:val="nil"/>
              <w:left w:val="nil"/>
              <w:bottom w:val="single" w:sz="8" w:space="0" w:color="auto"/>
              <w:right w:val="single" w:sz="8" w:space="0" w:color="auto"/>
            </w:tcBorders>
            <w:tcMar>
              <w:top w:w="0" w:type="dxa"/>
              <w:left w:w="108" w:type="dxa"/>
              <w:bottom w:w="0" w:type="dxa"/>
              <w:right w:w="108" w:type="dxa"/>
            </w:tcMar>
          </w:tcPr>
          <w:p w:rsidR="00366A61" w:rsidRPr="00576962" w:rsidP="00C650EC" w14:paraId="4BF94AF7" w14:textId="77777777">
            <w:pPr>
              <w:keepNext/>
              <w:keepLines/>
              <w:adjustRightInd/>
              <w:jc w:val="center"/>
              <w:textAlignment w:val="auto"/>
              <w:rPr>
                <w:rFonts w:eastAsia="Calibri"/>
                <w:b/>
                <w:bCs/>
                <w:color w:val="000000"/>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366A61" w:rsidRPr="00576962" w:rsidP="00C650EC" w14:paraId="35BDBF32" w14:textId="77777777">
            <w:pPr>
              <w:keepNext/>
              <w:keepLines/>
              <w:adjustRightInd/>
              <w:jc w:val="center"/>
              <w:textAlignment w:val="auto"/>
              <w:rPr>
                <w:rFonts w:eastAsia="Calibri"/>
                <w:b/>
                <w:bCs/>
                <w:color w:val="000000"/>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rsidR="00366A61" w:rsidRPr="00576962" w:rsidP="00C650EC" w14:paraId="4B5CB65B" w14:textId="77777777">
            <w:pPr>
              <w:keepNext/>
              <w:keepLines/>
              <w:adjustRightInd/>
              <w:jc w:val="center"/>
              <w:textAlignment w:val="auto"/>
              <w:rPr>
                <w:rFonts w:eastAsia="Calibri"/>
                <w:b/>
                <w:bCs/>
                <w:color w:val="000000"/>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366A61" w:rsidRPr="00576962" w:rsidP="00C650EC" w14:paraId="3ECCAF0E" w14:textId="77777777">
            <w:pPr>
              <w:keepNext/>
              <w:keepLines/>
              <w:adjustRightInd/>
              <w:jc w:val="center"/>
              <w:textAlignment w:val="auto"/>
              <w:rPr>
                <w:rFonts w:eastAsia="Calibri"/>
                <w:b/>
                <w:bCs/>
                <w:color w:val="000000"/>
              </w:rPr>
            </w:pPr>
          </w:p>
        </w:tc>
        <w:tc>
          <w:tcPr>
            <w:tcW w:w="1696" w:type="dxa"/>
            <w:tcBorders>
              <w:top w:val="nil"/>
              <w:left w:val="nil"/>
              <w:bottom w:val="single" w:sz="8" w:space="0" w:color="auto"/>
              <w:right w:val="single" w:sz="8" w:space="0" w:color="auto"/>
            </w:tcBorders>
            <w:tcMar>
              <w:top w:w="0" w:type="dxa"/>
              <w:left w:w="108" w:type="dxa"/>
              <w:bottom w:w="0" w:type="dxa"/>
              <w:right w:w="108" w:type="dxa"/>
            </w:tcMar>
          </w:tcPr>
          <w:p w:rsidR="00366A61" w:rsidRPr="00576962" w:rsidP="00C650EC" w14:paraId="4D647870" w14:textId="6E18A146">
            <w:pPr>
              <w:keepNext/>
              <w:keepLines/>
              <w:adjustRightInd/>
              <w:textAlignment w:val="auto"/>
              <w:rPr>
                <w:rFonts w:eastAsia="Calibri"/>
                <w:b/>
                <w:bCs/>
                <w:color w:val="000000"/>
              </w:rPr>
            </w:pPr>
          </w:p>
        </w:tc>
        <w:tc>
          <w:tcPr>
            <w:tcW w:w="1017" w:type="dxa"/>
            <w:tcBorders>
              <w:top w:val="nil"/>
              <w:left w:val="nil"/>
              <w:bottom w:val="single" w:sz="8" w:space="0" w:color="auto"/>
              <w:right w:val="single" w:sz="8" w:space="0" w:color="auto"/>
            </w:tcBorders>
            <w:tcMar>
              <w:top w:w="0" w:type="dxa"/>
              <w:left w:w="108" w:type="dxa"/>
              <w:bottom w:w="0" w:type="dxa"/>
              <w:right w:w="108" w:type="dxa"/>
            </w:tcMar>
          </w:tcPr>
          <w:p w:rsidR="00366A61" w:rsidRPr="007E50D7" w:rsidP="00C650EC" w14:paraId="226D3E0D" w14:textId="77777777">
            <w:pPr>
              <w:keepNext/>
              <w:keepLines/>
              <w:adjustRightInd/>
              <w:jc w:val="right"/>
              <w:textAlignment w:val="auto"/>
              <w:rPr>
                <w:rFonts w:eastAsia="Calibri"/>
                <w:b/>
                <w:bCs/>
                <w:color w:val="000000"/>
              </w:rPr>
            </w:pPr>
          </w:p>
        </w:tc>
        <w:tc>
          <w:tcPr>
            <w:tcW w:w="977" w:type="dxa"/>
            <w:tcBorders>
              <w:top w:val="nil"/>
              <w:left w:val="nil"/>
              <w:bottom w:val="single" w:sz="8" w:space="0" w:color="auto"/>
              <w:right w:val="single" w:sz="8" w:space="0" w:color="auto"/>
            </w:tcBorders>
            <w:tcMar>
              <w:top w:w="0" w:type="dxa"/>
              <w:left w:w="108" w:type="dxa"/>
              <w:bottom w:w="0" w:type="dxa"/>
              <w:right w:w="108" w:type="dxa"/>
            </w:tcMar>
          </w:tcPr>
          <w:p w:rsidR="00366A61" w:rsidRPr="007E50D7" w:rsidP="00C650EC" w14:paraId="53F238A3" w14:textId="77777777">
            <w:pPr>
              <w:keepNext/>
              <w:keepLines/>
              <w:adjustRightInd/>
              <w:jc w:val="right"/>
              <w:textAlignment w:val="auto"/>
              <w:rPr>
                <w:rFonts w:eastAsia="Calibri"/>
                <w:b/>
                <w:bCs/>
                <w:color w:val="000000"/>
              </w:rPr>
            </w:pPr>
          </w:p>
        </w:tc>
      </w:tr>
    </w:tbl>
    <w:p w:rsidR="00366A61" w:rsidP="008423BD" w14:paraId="2360D745" w14:textId="77777777">
      <w:pPr>
        <w:keepLines/>
        <w:tabs>
          <w:tab w:val="left" w:pos="480"/>
        </w:tabs>
        <w:spacing w:after="80"/>
        <w:ind w:left="480"/>
        <w:rPr>
          <w:sz w:val="24"/>
          <w:szCs w:val="24"/>
        </w:rPr>
      </w:pPr>
    </w:p>
    <w:p w:rsidR="00533EEA" w:rsidRPr="00685597" w14:paraId="02A63EA5" w14:textId="77777777">
      <w:pPr>
        <w:tabs>
          <w:tab w:val="left" w:pos="360"/>
        </w:tabs>
        <w:ind w:left="360" w:hanging="360"/>
        <w:rPr>
          <w:color w:val="000000" w:themeColor="text1"/>
          <w:sz w:val="24"/>
          <w:szCs w:val="24"/>
        </w:rPr>
      </w:pPr>
      <w:r w:rsidRPr="00685597">
        <w:rPr>
          <w:color w:val="000000" w:themeColor="text1"/>
          <w:sz w:val="24"/>
          <w:szCs w:val="24"/>
        </w:rPr>
        <w:t>13.</w:t>
      </w:r>
      <w:r w:rsidRPr="00685597">
        <w:rPr>
          <w:color w:val="000000" w:themeColor="text1"/>
          <w:sz w:val="24"/>
          <w:szCs w:val="24"/>
        </w:rPr>
        <w:tab/>
        <w:t>Provide an estimate of the total annual cost burden to respondents or recordkeepers resulting from the collection of information</w:t>
      </w:r>
      <w:r w:rsidRPr="00685597" w:rsidR="000D5079">
        <w:rPr>
          <w:color w:val="000000" w:themeColor="text1"/>
          <w:sz w:val="24"/>
          <w:szCs w:val="24"/>
        </w:rPr>
        <w:t>. (Do not include the cost of any hour burden already reflected</w:t>
      </w:r>
    </w:p>
    <w:p w:rsidR="000D5079" w:rsidRPr="00685597" w14:paraId="0CEE4D0B" w14:textId="1720866A">
      <w:pPr>
        <w:tabs>
          <w:tab w:val="left" w:pos="360"/>
        </w:tabs>
        <w:ind w:left="360" w:hanging="360"/>
        <w:rPr>
          <w:color w:val="000000" w:themeColor="text1"/>
          <w:sz w:val="24"/>
          <w:szCs w:val="24"/>
        </w:rPr>
      </w:pPr>
      <w:r>
        <w:rPr>
          <w:color w:val="000000" w:themeColor="text1"/>
          <w:sz w:val="24"/>
          <w:szCs w:val="24"/>
        </w:rPr>
        <w:tab/>
      </w:r>
      <w:r w:rsidRPr="00685597">
        <w:rPr>
          <w:color w:val="000000" w:themeColor="text1"/>
          <w:sz w:val="24"/>
          <w:szCs w:val="24"/>
        </w:rPr>
        <w:t>on the burden worksheet</w:t>
      </w:r>
      <w:r w:rsidRPr="00685597" w:rsidR="009E13B1">
        <w:rPr>
          <w:color w:val="000000" w:themeColor="text1"/>
          <w:sz w:val="24"/>
          <w:szCs w:val="24"/>
        </w:rPr>
        <w:t xml:space="preserve"> shown in Items 12 and 14).</w:t>
      </w:r>
    </w:p>
    <w:p w:rsidR="009E13B1" w:rsidRPr="00D63550" w14:paraId="2D0E6548" w14:textId="77777777">
      <w:pPr>
        <w:tabs>
          <w:tab w:val="left" w:pos="360"/>
        </w:tabs>
        <w:ind w:left="360" w:hanging="360"/>
        <w:rPr>
          <w:color w:val="388600"/>
          <w:sz w:val="24"/>
          <w:szCs w:val="24"/>
        </w:rPr>
      </w:pPr>
      <w:r w:rsidRPr="00D63550">
        <w:rPr>
          <w:color w:val="388600"/>
          <w:sz w:val="24"/>
          <w:szCs w:val="24"/>
        </w:rPr>
        <w:t xml:space="preserve"> </w:t>
      </w:r>
    </w:p>
    <w:p w:rsidR="009E13B1" w:rsidRPr="006C7FAE" w14:paraId="1C503D2C" w14:textId="77777777">
      <w:pPr>
        <w:numPr>
          <w:ilvl w:val="0"/>
          <w:numId w:val="14"/>
        </w:numPr>
        <w:tabs>
          <w:tab w:val="left" w:pos="360"/>
        </w:tabs>
        <w:ind w:left="480"/>
        <w:rPr>
          <w:sz w:val="24"/>
          <w:szCs w:val="24"/>
        </w:rPr>
      </w:pPr>
      <w:r w:rsidRPr="006C7FAE">
        <w:rPr>
          <w:sz w:val="24"/>
          <w:szCs w:val="24"/>
        </w:rPr>
        <w:t xml:space="preserve">The cost estimate should be split into two components: (a) a total capital and start-up cost component (annualized over its expected useful life); and (b) a total operation and maintenance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rsidR="009E13B1" w:rsidRPr="006C7FAE" w14:paraId="4D47756F" w14:textId="77777777">
      <w:pPr>
        <w:numPr>
          <w:ilvl w:val="0"/>
          <w:numId w:val="14"/>
        </w:numPr>
        <w:tabs>
          <w:tab w:val="left" w:pos="360"/>
        </w:tabs>
        <w:ind w:left="480"/>
        <w:rPr>
          <w:sz w:val="24"/>
          <w:szCs w:val="24"/>
        </w:rPr>
      </w:pPr>
      <w:r w:rsidRPr="006C7FAE">
        <w:rPr>
          <w:sz w:val="24"/>
          <w:szCs w:val="24"/>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w:t>
      </w:r>
      <w:r w:rsidRPr="006C7FAE">
        <w:rPr>
          <w:sz w:val="24"/>
          <w:szCs w:val="24"/>
        </w:rPr>
        <w:t xml:space="preserve">estimates, agencies may consult with a sample of respondents (fewer than 10) utilize the 60-day pre-OMB submission public comment process and use existing economic or regulatory impact analysis associated with the rulemaking containing the information collection, as appropriate. </w:t>
      </w:r>
    </w:p>
    <w:p w:rsidR="009E13B1" w14:paraId="497102DC" w14:textId="77777777">
      <w:pPr>
        <w:keepLines/>
        <w:numPr>
          <w:ilvl w:val="0"/>
          <w:numId w:val="14"/>
        </w:numPr>
        <w:tabs>
          <w:tab w:val="left" w:pos="360"/>
        </w:tabs>
        <w:spacing w:after="80"/>
        <w:ind w:left="480"/>
        <w:rPr>
          <w:sz w:val="24"/>
          <w:szCs w:val="24"/>
        </w:rPr>
      </w:pPr>
      <w:r>
        <w:rPr>
          <w:sz w:val="24"/>
          <w:szCs w:val="24"/>
        </w:rPr>
        <w:t>G</w:t>
      </w:r>
      <w:r w:rsidRPr="006C7FAE">
        <w:rPr>
          <w:sz w:val="24"/>
          <w:szCs w:val="24"/>
        </w:rPr>
        <w:t>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F131B4" w:rsidP="00C650EC" w14:paraId="1EC837E3" w14:textId="102764BE">
      <w:pPr>
        <w:keepLines/>
        <w:tabs>
          <w:tab w:val="left" w:pos="360"/>
        </w:tabs>
        <w:spacing w:after="80"/>
        <w:ind w:left="480"/>
        <w:rPr>
          <w:sz w:val="24"/>
          <w:szCs w:val="24"/>
        </w:rPr>
      </w:pPr>
    </w:p>
    <w:p w:rsidR="00C650EC" w:rsidRPr="00C650EC" w:rsidP="00C650EC" w14:paraId="78A8BA47" w14:textId="091FC44A">
      <w:pPr>
        <w:keepLines/>
        <w:tabs>
          <w:tab w:val="left" w:pos="480"/>
        </w:tabs>
        <w:spacing w:after="80"/>
        <w:ind w:left="480"/>
        <w:rPr>
          <w:sz w:val="24"/>
          <w:szCs w:val="24"/>
        </w:rPr>
      </w:pPr>
      <w:r w:rsidRPr="00C650EC">
        <w:rPr>
          <w:rFonts w:ascii="CG Times" w:hAnsi="CG Times"/>
          <w:sz w:val="24"/>
        </w:rPr>
        <w:t xml:space="preserve">HUD does not provide postage-paid mailers for this information collection.  Accordingly, persons who choose to submit the HUD-903 Form to HUD by mail must pay the prevailing cost of First-Class Postage.  As of the date of this submission, the annualized cost burden per person, based on a one-time submission of this Form, is </w:t>
      </w:r>
      <w:r w:rsidR="00842B7E">
        <w:rPr>
          <w:rFonts w:ascii="CG Times" w:hAnsi="CG Times"/>
          <w:sz w:val="24"/>
        </w:rPr>
        <w:t>seventy-eight c</w:t>
      </w:r>
      <w:r w:rsidRPr="00C650EC">
        <w:rPr>
          <w:rFonts w:ascii="CG Times" w:hAnsi="CG Times"/>
          <w:sz w:val="24"/>
        </w:rPr>
        <w:t>ents ($0.78) per person.  Aggrieved persons also may submit the Form to HUD electronically via the Internet</w:t>
      </w:r>
      <w:r>
        <w:rPr>
          <w:rFonts w:ascii="CG Times" w:hAnsi="CG Times"/>
          <w:sz w:val="24"/>
        </w:rPr>
        <w:t>.</w:t>
      </w:r>
      <w:r w:rsidR="0032364E">
        <w:rPr>
          <w:rFonts w:ascii="CG Times" w:hAnsi="CG Times"/>
          <w:sz w:val="24"/>
        </w:rPr>
        <w:t xml:space="preserve"> </w:t>
      </w:r>
      <w:r w:rsidRPr="0032364E" w:rsidR="0032364E">
        <w:rPr>
          <w:rFonts w:ascii="CG Times" w:hAnsi="CG Times"/>
          <w:sz w:val="24"/>
        </w:rPr>
        <w:t>There are no additional annualized cost burdens to aggrieved persons or record keepers resulting from this information collection.</w:t>
      </w:r>
    </w:p>
    <w:p w:rsidR="00C650EC" w:rsidRPr="006C7FAE" w:rsidP="00F131B4" w14:paraId="5A51D363" w14:textId="77777777">
      <w:pPr>
        <w:keepLines/>
        <w:tabs>
          <w:tab w:val="left" w:pos="360"/>
        </w:tabs>
        <w:spacing w:after="80"/>
        <w:rPr>
          <w:sz w:val="24"/>
          <w:szCs w:val="24"/>
        </w:rPr>
      </w:pPr>
    </w:p>
    <w:p w:rsidR="009E13B1" w14:paraId="0F877C1B" w14:textId="77777777">
      <w:pPr>
        <w:keepLines/>
        <w:tabs>
          <w:tab w:val="left" w:pos="360"/>
        </w:tabs>
        <w:spacing w:after="80"/>
        <w:ind w:left="360" w:hanging="360"/>
        <w:rPr>
          <w:sz w:val="24"/>
          <w:szCs w:val="24"/>
        </w:rPr>
      </w:pPr>
      <w:r w:rsidRPr="006C7FAE">
        <w:rPr>
          <w:sz w:val="24"/>
          <w:szCs w:val="24"/>
        </w:rPr>
        <w:t>14.</w:t>
      </w:r>
      <w:r w:rsidRPr="006C7FAE">
        <w:rPr>
          <w:sz w:val="24"/>
          <w:szCs w:val="24"/>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F97F57" w14:paraId="080193E1" w14:textId="77777777">
      <w:pPr>
        <w:keepLines/>
        <w:tabs>
          <w:tab w:val="left" w:pos="360"/>
        </w:tabs>
        <w:spacing w:after="80"/>
        <w:ind w:left="360" w:hanging="360"/>
        <w:rPr>
          <w:sz w:val="24"/>
          <w:szCs w:val="24"/>
        </w:rPr>
      </w:pPr>
    </w:p>
    <w:p w:rsidR="00AE7147" w:rsidP="00AE7147" w14:paraId="06FFE88E" w14:textId="77777777">
      <w:pPr>
        <w:ind w:left="90"/>
        <w:rPr>
          <w:rFonts w:ascii="CG Times" w:hAnsi="CG Times"/>
          <w:sz w:val="24"/>
        </w:rPr>
      </w:pPr>
      <w:r>
        <w:rPr>
          <w:rFonts w:ascii="CG Times" w:hAnsi="CG Times"/>
          <w:sz w:val="24"/>
        </w:rPr>
        <w:t xml:space="preserve">HUD estimates that HUD/FHEO Complaint Intake staff takes approximately 30 minutes (1/2 hour) to review each completed HUD-903 Form. The average grade level of a HUD/FHEO Complaint Intake Analyst is </w:t>
      </w:r>
      <w:r w:rsidRPr="00AE7147">
        <w:rPr>
          <w:rFonts w:ascii="CG Times" w:hAnsi="CG Times"/>
          <w:sz w:val="24"/>
        </w:rPr>
        <w:t>GS-12/7.</w:t>
      </w:r>
      <w:r>
        <w:rPr>
          <w:rFonts w:ascii="CG Times" w:hAnsi="CG Times"/>
          <w:sz w:val="24"/>
        </w:rPr>
        <w:t xml:space="preserve"> In </w:t>
      </w:r>
      <w:r w:rsidRPr="00AE7147">
        <w:rPr>
          <w:rFonts w:ascii="CG Times" w:hAnsi="CG Times"/>
          <w:sz w:val="24"/>
        </w:rPr>
        <w:t>FY 2026</w:t>
      </w:r>
      <w:r>
        <w:rPr>
          <w:rFonts w:ascii="CG Times" w:hAnsi="CG Times"/>
          <w:sz w:val="24"/>
        </w:rPr>
        <w:t xml:space="preserve">, the base hourly rate at the </w:t>
      </w:r>
      <w:r w:rsidRPr="00AE7147">
        <w:rPr>
          <w:rFonts w:ascii="CG Times" w:hAnsi="CG Times"/>
          <w:sz w:val="24"/>
        </w:rPr>
        <w:t>GS-12/7</w:t>
      </w:r>
      <w:r>
        <w:rPr>
          <w:rFonts w:ascii="CG Times" w:hAnsi="CG Times"/>
          <w:sz w:val="24"/>
        </w:rPr>
        <w:t xml:space="preserve"> level was </w:t>
      </w:r>
      <w:r w:rsidRPr="00AE7147">
        <w:rPr>
          <w:rFonts w:ascii="CG Times" w:hAnsi="CG Times"/>
          <w:sz w:val="24"/>
        </w:rPr>
        <w:t>$43.97</w:t>
      </w:r>
      <w:r>
        <w:rPr>
          <w:rFonts w:ascii="CG Times" w:hAnsi="CG Times"/>
          <w:sz w:val="24"/>
        </w:rPr>
        <w:t>.</w:t>
      </w:r>
    </w:p>
    <w:p w:rsidR="00F97F57" w14:paraId="7FB3ECD8" w14:textId="77777777">
      <w:pPr>
        <w:keepLines/>
        <w:tabs>
          <w:tab w:val="left" w:pos="360"/>
        </w:tabs>
        <w:spacing w:after="80"/>
        <w:ind w:left="360" w:hanging="360"/>
        <w:rPr>
          <w:sz w:val="24"/>
          <w:szCs w:val="24"/>
        </w:rPr>
      </w:pPr>
    </w:p>
    <w:p w:rsidR="0048289A" w14:paraId="3B465D3D" w14:textId="77777777">
      <w:pPr>
        <w:keepLines/>
        <w:tabs>
          <w:tab w:val="left" w:pos="360"/>
        </w:tabs>
        <w:spacing w:after="80"/>
        <w:ind w:left="360" w:hanging="360"/>
        <w:rPr>
          <w:sz w:val="24"/>
          <w:szCs w:val="24"/>
        </w:rPr>
      </w:pPr>
    </w:p>
    <w:tbl>
      <w:tblPr>
        <w:tblW w:w="9990" w:type="dxa"/>
        <w:tblInd w:w="80" w:type="dxa"/>
        <w:tblCellMar>
          <w:left w:w="0" w:type="dxa"/>
          <w:right w:w="0" w:type="dxa"/>
        </w:tblCellMar>
        <w:tblLook w:val="04A0"/>
      </w:tblPr>
      <w:tblGrid>
        <w:gridCol w:w="1694"/>
        <w:gridCol w:w="1341"/>
        <w:gridCol w:w="1413"/>
        <w:gridCol w:w="1168"/>
        <w:gridCol w:w="1164"/>
        <w:gridCol w:w="861"/>
        <w:gridCol w:w="1083"/>
        <w:gridCol w:w="1266"/>
      </w:tblGrid>
      <w:tr w14:paraId="1A9C9F1F" w14:textId="77777777" w:rsidTr="00366A61">
        <w:tblPrEx>
          <w:tblW w:w="9990" w:type="dxa"/>
          <w:tblInd w:w="80" w:type="dxa"/>
          <w:tblCellMar>
            <w:left w:w="0" w:type="dxa"/>
            <w:right w:w="0" w:type="dxa"/>
          </w:tblCellMar>
          <w:tblLook w:val="04A0"/>
        </w:tblPrEx>
        <w:trPr>
          <w:trHeight w:val="643"/>
        </w:trPr>
        <w:tc>
          <w:tcPr>
            <w:tcW w:w="17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8289A" w:rsidRPr="006C7FAE" w:rsidP="00366A61" w14:paraId="01B71AAA" w14:textId="77777777">
            <w:pPr>
              <w:adjustRightInd/>
              <w:jc w:val="center"/>
              <w:textAlignment w:val="auto"/>
              <w:rPr>
                <w:rFonts w:eastAsia="Calibri"/>
                <w:b/>
                <w:bCs/>
                <w:color w:val="000000"/>
              </w:rPr>
            </w:pPr>
            <w:bookmarkStart w:id="0" w:name="_Hlk207178990"/>
            <w:r w:rsidRPr="006C7FAE">
              <w:rPr>
                <w:rFonts w:eastAsia="Calibri"/>
                <w:b/>
                <w:bCs/>
                <w:color w:val="000000"/>
              </w:rPr>
              <w:t>Information Collection</w:t>
            </w:r>
          </w:p>
        </w:tc>
        <w:tc>
          <w:tcPr>
            <w:tcW w:w="13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8289A" w:rsidRPr="006C7FAE" w:rsidP="00366A61" w14:paraId="688696D7" w14:textId="77777777">
            <w:pPr>
              <w:adjustRightInd/>
              <w:jc w:val="center"/>
              <w:textAlignment w:val="auto"/>
              <w:rPr>
                <w:rFonts w:eastAsia="Calibri"/>
                <w:b/>
                <w:bCs/>
                <w:color w:val="000000"/>
              </w:rPr>
            </w:pPr>
            <w:r w:rsidRPr="006C7FAE">
              <w:rPr>
                <w:rFonts w:eastAsia="Calibri"/>
                <w:b/>
                <w:bCs/>
                <w:color w:val="000000"/>
              </w:rPr>
              <w:t>Number of Respondents</w:t>
            </w:r>
          </w:p>
        </w:tc>
        <w:tc>
          <w:tcPr>
            <w:tcW w:w="14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8289A" w:rsidRPr="006C7FAE" w:rsidP="00366A61" w14:paraId="0E55A0F5" w14:textId="77777777">
            <w:pPr>
              <w:adjustRightInd/>
              <w:jc w:val="center"/>
              <w:textAlignment w:val="auto"/>
              <w:rPr>
                <w:rFonts w:eastAsia="Calibri"/>
                <w:b/>
                <w:bCs/>
                <w:color w:val="000000"/>
              </w:rPr>
            </w:pPr>
            <w:r w:rsidRPr="006C7FAE">
              <w:rPr>
                <w:rFonts w:eastAsia="Calibri"/>
                <w:b/>
                <w:bCs/>
                <w:color w:val="000000"/>
              </w:rPr>
              <w:t>Frequency of Response</w:t>
            </w:r>
          </w:p>
        </w:tc>
        <w:tc>
          <w:tcPr>
            <w:tcW w:w="11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8289A" w:rsidRPr="006C7FAE" w:rsidP="00366A61" w14:paraId="060CA23C" w14:textId="77777777">
            <w:pPr>
              <w:overflowPunct/>
              <w:autoSpaceDE/>
              <w:autoSpaceDN/>
              <w:adjustRightInd/>
              <w:jc w:val="center"/>
              <w:textAlignment w:val="auto"/>
              <w:rPr>
                <w:rFonts w:eastAsia="Calibri"/>
                <w:b/>
                <w:bCs/>
                <w:color w:val="000000"/>
              </w:rPr>
            </w:pPr>
            <w:r w:rsidRPr="006C7FAE">
              <w:rPr>
                <w:rFonts w:eastAsia="Calibri"/>
                <w:b/>
                <w:bCs/>
                <w:color w:val="000000"/>
              </w:rPr>
              <w:t>Responses</w:t>
            </w:r>
          </w:p>
          <w:p w:rsidR="0048289A" w:rsidRPr="006C7FAE" w:rsidP="00366A61" w14:paraId="2DB8995C" w14:textId="77777777">
            <w:pPr>
              <w:adjustRightInd/>
              <w:jc w:val="center"/>
              <w:textAlignment w:val="auto"/>
              <w:rPr>
                <w:rFonts w:eastAsia="Calibri"/>
                <w:b/>
                <w:bCs/>
                <w:color w:val="000000"/>
              </w:rPr>
            </w:pPr>
            <w:r w:rsidRPr="006C7FAE">
              <w:rPr>
                <w:rFonts w:eastAsia="Calibri"/>
                <w:b/>
                <w:bCs/>
                <w:color w:val="000000"/>
              </w:rPr>
              <w:t>Per Annum</w:t>
            </w:r>
          </w:p>
        </w:tc>
        <w:tc>
          <w:tcPr>
            <w:tcW w:w="11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8289A" w:rsidRPr="006C7FAE" w:rsidP="00366A61" w14:paraId="1DE035CA" w14:textId="77777777">
            <w:pPr>
              <w:adjustRightInd/>
              <w:jc w:val="center"/>
              <w:textAlignment w:val="auto"/>
              <w:rPr>
                <w:rFonts w:eastAsia="Calibri"/>
                <w:b/>
                <w:bCs/>
                <w:color w:val="000000"/>
              </w:rPr>
            </w:pPr>
            <w:r w:rsidRPr="006C7FAE">
              <w:rPr>
                <w:rFonts w:eastAsia="Calibri"/>
                <w:b/>
                <w:bCs/>
                <w:color w:val="000000"/>
              </w:rPr>
              <w:t>Burden Hour Per Response</w:t>
            </w:r>
          </w:p>
        </w:tc>
        <w:tc>
          <w:tcPr>
            <w:tcW w:w="8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8289A" w:rsidRPr="006C7FAE" w:rsidP="00366A61" w14:paraId="3D7C5848" w14:textId="77777777">
            <w:pPr>
              <w:adjustRightInd/>
              <w:jc w:val="center"/>
              <w:textAlignment w:val="auto"/>
              <w:rPr>
                <w:rFonts w:eastAsia="Calibri"/>
                <w:b/>
                <w:bCs/>
                <w:color w:val="000000"/>
              </w:rPr>
            </w:pPr>
            <w:r w:rsidRPr="006C7FAE">
              <w:rPr>
                <w:rFonts w:eastAsia="Calibri"/>
                <w:b/>
                <w:bCs/>
                <w:color w:val="000000"/>
              </w:rPr>
              <w:t>Annual Burden Hours</w:t>
            </w:r>
          </w:p>
        </w:tc>
        <w:tc>
          <w:tcPr>
            <w:tcW w:w="10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8289A" w:rsidRPr="006C7FAE" w:rsidP="00366A61" w14:paraId="66538A16" w14:textId="77777777">
            <w:pPr>
              <w:adjustRightInd/>
              <w:jc w:val="center"/>
              <w:textAlignment w:val="auto"/>
              <w:rPr>
                <w:rFonts w:eastAsia="Calibri"/>
                <w:b/>
                <w:bCs/>
                <w:color w:val="000000"/>
              </w:rPr>
            </w:pPr>
            <w:r w:rsidRPr="006C7FAE">
              <w:rPr>
                <w:rFonts w:eastAsia="Calibri"/>
                <w:b/>
                <w:bCs/>
                <w:color w:val="000000"/>
              </w:rPr>
              <w:t>Hourly Cost Per Response</w:t>
            </w:r>
          </w:p>
        </w:tc>
        <w:tc>
          <w:tcPr>
            <w:tcW w:w="10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8289A" w:rsidRPr="006C7FAE" w:rsidP="00366A61" w14:paraId="2DE55638" w14:textId="77777777">
            <w:pPr>
              <w:overflowPunct/>
              <w:autoSpaceDE/>
              <w:autoSpaceDN/>
              <w:adjustRightInd/>
              <w:jc w:val="center"/>
              <w:textAlignment w:val="auto"/>
              <w:rPr>
                <w:rFonts w:eastAsia="Calibri"/>
                <w:b/>
                <w:bCs/>
                <w:color w:val="000000"/>
              </w:rPr>
            </w:pPr>
            <w:r w:rsidRPr="006C7FAE">
              <w:rPr>
                <w:rFonts w:eastAsia="Calibri"/>
                <w:b/>
                <w:bCs/>
                <w:color w:val="000000"/>
              </w:rPr>
              <w:t>Annual Cost</w:t>
            </w:r>
          </w:p>
          <w:p w:rsidR="0048289A" w:rsidRPr="006C7FAE" w:rsidP="00366A61" w14:paraId="52296F38" w14:textId="77777777">
            <w:pPr>
              <w:adjustRightInd/>
              <w:jc w:val="center"/>
              <w:textAlignment w:val="auto"/>
              <w:rPr>
                <w:rFonts w:eastAsia="Calibri"/>
                <w:b/>
                <w:bCs/>
                <w:color w:val="000000"/>
              </w:rPr>
            </w:pPr>
          </w:p>
        </w:tc>
      </w:tr>
      <w:tr w14:paraId="4E5D8892" w14:textId="77777777" w:rsidTr="00366A61">
        <w:tblPrEx>
          <w:tblW w:w="9990" w:type="dxa"/>
          <w:tblInd w:w="80" w:type="dxa"/>
          <w:tblCellMar>
            <w:left w:w="0" w:type="dxa"/>
            <w:right w:w="0" w:type="dxa"/>
          </w:tblCellMar>
          <w:tblLook w:val="04A0"/>
        </w:tblPrEx>
        <w:tc>
          <w:tcPr>
            <w:tcW w:w="1789" w:type="dxa"/>
            <w:tcBorders>
              <w:top w:val="nil"/>
              <w:left w:val="single" w:sz="8" w:space="0" w:color="auto"/>
              <w:bottom w:val="nil"/>
              <w:right w:val="single" w:sz="8" w:space="0" w:color="auto"/>
            </w:tcBorders>
            <w:tcMar>
              <w:top w:w="0" w:type="dxa"/>
              <w:left w:w="108" w:type="dxa"/>
              <w:bottom w:w="0" w:type="dxa"/>
              <w:right w:w="108" w:type="dxa"/>
            </w:tcMar>
          </w:tcPr>
          <w:p w:rsidR="0048289A" w:rsidRPr="00576962" w14:paraId="059131B2" w14:textId="6D0EFB8C">
            <w:pPr>
              <w:adjustRightInd/>
              <w:textAlignment w:val="auto"/>
              <w:rPr>
                <w:rFonts w:eastAsia="Calibri"/>
                <w:b/>
                <w:bCs/>
                <w:color w:val="000000"/>
              </w:rPr>
            </w:pPr>
            <w:r>
              <w:rPr>
                <w:rFonts w:eastAsia="Calibri"/>
                <w:b/>
                <w:bCs/>
                <w:color w:val="000000"/>
              </w:rPr>
              <w:t>903</w:t>
            </w:r>
          </w:p>
        </w:tc>
        <w:tc>
          <w:tcPr>
            <w:tcW w:w="1349" w:type="dxa"/>
            <w:tcBorders>
              <w:top w:val="nil"/>
              <w:left w:val="nil"/>
              <w:bottom w:val="nil"/>
              <w:right w:val="single" w:sz="8" w:space="0" w:color="auto"/>
            </w:tcBorders>
            <w:tcMar>
              <w:top w:w="0" w:type="dxa"/>
              <w:left w:w="108" w:type="dxa"/>
              <w:bottom w:w="0" w:type="dxa"/>
              <w:right w:w="108" w:type="dxa"/>
            </w:tcMar>
          </w:tcPr>
          <w:p w:rsidR="0048289A" w:rsidRPr="00576962" w14:paraId="2E2C2D71" w14:textId="4ECF439B">
            <w:pPr>
              <w:adjustRightInd/>
              <w:jc w:val="center"/>
              <w:textAlignment w:val="auto"/>
              <w:rPr>
                <w:rFonts w:eastAsia="Calibri"/>
                <w:b/>
                <w:bCs/>
                <w:color w:val="000000"/>
              </w:rPr>
            </w:pPr>
            <w:r>
              <w:rPr>
                <w:rFonts w:eastAsia="Calibri"/>
                <w:b/>
                <w:bCs/>
                <w:color w:val="000000"/>
              </w:rPr>
              <w:t>51,442</w:t>
            </w:r>
          </w:p>
        </w:tc>
        <w:tc>
          <w:tcPr>
            <w:tcW w:w="1476" w:type="dxa"/>
            <w:tcBorders>
              <w:top w:val="nil"/>
              <w:left w:val="nil"/>
              <w:bottom w:val="nil"/>
              <w:right w:val="single" w:sz="8" w:space="0" w:color="auto"/>
            </w:tcBorders>
            <w:tcMar>
              <w:top w:w="0" w:type="dxa"/>
              <w:left w:w="108" w:type="dxa"/>
              <w:bottom w:w="0" w:type="dxa"/>
              <w:right w:w="108" w:type="dxa"/>
            </w:tcMar>
          </w:tcPr>
          <w:p w:rsidR="0048289A" w:rsidRPr="00576962" w14:paraId="6FD80F3B" w14:textId="00616622">
            <w:pPr>
              <w:adjustRightInd/>
              <w:jc w:val="center"/>
              <w:textAlignment w:val="auto"/>
              <w:rPr>
                <w:rFonts w:eastAsia="Calibri"/>
                <w:b/>
                <w:bCs/>
                <w:color w:val="000000"/>
              </w:rPr>
            </w:pPr>
            <w:r>
              <w:rPr>
                <w:rFonts w:eastAsia="Calibri"/>
                <w:b/>
                <w:bCs/>
                <w:color w:val="000000"/>
              </w:rPr>
              <w:t>1</w:t>
            </w:r>
          </w:p>
        </w:tc>
        <w:tc>
          <w:tcPr>
            <w:tcW w:w="1184" w:type="dxa"/>
            <w:tcBorders>
              <w:top w:val="nil"/>
              <w:left w:val="nil"/>
              <w:bottom w:val="nil"/>
              <w:right w:val="single" w:sz="8" w:space="0" w:color="auto"/>
            </w:tcBorders>
            <w:tcMar>
              <w:top w:w="0" w:type="dxa"/>
              <w:left w:w="108" w:type="dxa"/>
              <w:bottom w:w="0" w:type="dxa"/>
              <w:right w:w="108" w:type="dxa"/>
            </w:tcMar>
          </w:tcPr>
          <w:p w:rsidR="0048289A" w:rsidRPr="00576962" w14:paraId="4ECD39B4" w14:textId="3397CB24">
            <w:pPr>
              <w:adjustRightInd/>
              <w:jc w:val="center"/>
              <w:textAlignment w:val="auto"/>
              <w:rPr>
                <w:rFonts w:eastAsia="Calibri"/>
                <w:b/>
                <w:bCs/>
                <w:color w:val="000000"/>
              </w:rPr>
            </w:pPr>
            <w:r>
              <w:rPr>
                <w:rFonts w:eastAsia="Calibri"/>
                <w:b/>
                <w:bCs/>
                <w:color w:val="000000"/>
              </w:rPr>
              <w:t>1</w:t>
            </w:r>
          </w:p>
        </w:tc>
        <w:tc>
          <w:tcPr>
            <w:tcW w:w="1196" w:type="dxa"/>
            <w:tcBorders>
              <w:top w:val="nil"/>
              <w:left w:val="nil"/>
              <w:bottom w:val="nil"/>
              <w:right w:val="single" w:sz="8" w:space="0" w:color="auto"/>
            </w:tcBorders>
            <w:tcMar>
              <w:top w:w="0" w:type="dxa"/>
              <w:left w:w="108" w:type="dxa"/>
              <w:bottom w:w="0" w:type="dxa"/>
              <w:right w:w="108" w:type="dxa"/>
            </w:tcMar>
          </w:tcPr>
          <w:p w:rsidR="0048289A" w:rsidRPr="00576962" w14:paraId="322B7E31" w14:textId="6DB45646">
            <w:pPr>
              <w:adjustRightInd/>
              <w:jc w:val="center"/>
              <w:textAlignment w:val="auto"/>
              <w:rPr>
                <w:rFonts w:eastAsia="Calibri"/>
                <w:b/>
                <w:bCs/>
                <w:color w:val="000000"/>
              </w:rPr>
            </w:pPr>
            <w:r>
              <w:rPr>
                <w:rFonts w:eastAsia="Calibri"/>
                <w:b/>
                <w:bCs/>
                <w:color w:val="000000"/>
              </w:rPr>
              <w:t>.5</w:t>
            </w:r>
          </w:p>
        </w:tc>
        <w:tc>
          <w:tcPr>
            <w:tcW w:w="861" w:type="dxa"/>
            <w:tcBorders>
              <w:top w:val="nil"/>
              <w:left w:val="nil"/>
              <w:bottom w:val="nil"/>
              <w:right w:val="single" w:sz="8" w:space="0" w:color="auto"/>
            </w:tcBorders>
            <w:tcMar>
              <w:top w:w="0" w:type="dxa"/>
              <w:left w:w="108" w:type="dxa"/>
              <w:bottom w:w="0" w:type="dxa"/>
              <w:right w:w="108" w:type="dxa"/>
            </w:tcMar>
          </w:tcPr>
          <w:p w:rsidR="0048289A" w:rsidRPr="00576962" w14:paraId="4994E26F" w14:textId="4FA1AD91">
            <w:pPr>
              <w:adjustRightInd/>
              <w:jc w:val="center"/>
              <w:textAlignment w:val="auto"/>
              <w:rPr>
                <w:rFonts w:eastAsia="Calibri"/>
                <w:b/>
                <w:bCs/>
                <w:color w:val="000000"/>
              </w:rPr>
            </w:pPr>
            <w:r>
              <w:rPr>
                <w:rFonts w:eastAsia="Calibri"/>
                <w:b/>
                <w:bCs/>
                <w:color w:val="000000"/>
              </w:rPr>
              <w:t>25,</w:t>
            </w:r>
            <w:r w:rsidR="002D1023">
              <w:rPr>
                <w:rFonts w:eastAsia="Calibri"/>
                <w:b/>
                <w:bCs/>
                <w:color w:val="000000"/>
              </w:rPr>
              <w:t>721</w:t>
            </w:r>
          </w:p>
        </w:tc>
        <w:tc>
          <w:tcPr>
            <w:tcW w:w="1098" w:type="dxa"/>
            <w:tcBorders>
              <w:top w:val="nil"/>
              <w:left w:val="nil"/>
              <w:bottom w:val="nil"/>
              <w:right w:val="single" w:sz="8" w:space="0" w:color="auto"/>
            </w:tcBorders>
            <w:tcMar>
              <w:top w:w="0" w:type="dxa"/>
              <w:left w:w="108" w:type="dxa"/>
              <w:bottom w:w="0" w:type="dxa"/>
              <w:right w:w="108" w:type="dxa"/>
            </w:tcMar>
          </w:tcPr>
          <w:p w:rsidR="0048289A" w:rsidRPr="007E50D7" w:rsidP="00171097" w14:paraId="6FBFA4D9" w14:textId="17D42584">
            <w:pPr>
              <w:adjustRightInd/>
              <w:jc w:val="center"/>
              <w:textAlignment w:val="auto"/>
              <w:rPr>
                <w:rFonts w:eastAsia="Calibri"/>
                <w:b/>
                <w:bCs/>
                <w:color w:val="000000"/>
              </w:rPr>
            </w:pPr>
            <w:r>
              <w:rPr>
                <w:rFonts w:eastAsia="Calibri"/>
                <w:b/>
                <w:bCs/>
                <w:color w:val="000000"/>
              </w:rPr>
              <w:t>43.97</w:t>
            </w:r>
          </w:p>
        </w:tc>
        <w:tc>
          <w:tcPr>
            <w:tcW w:w="1037" w:type="dxa"/>
            <w:tcBorders>
              <w:top w:val="nil"/>
              <w:left w:val="nil"/>
              <w:bottom w:val="nil"/>
              <w:right w:val="single" w:sz="8" w:space="0" w:color="auto"/>
            </w:tcBorders>
            <w:tcMar>
              <w:top w:w="0" w:type="dxa"/>
              <w:left w:w="108" w:type="dxa"/>
              <w:bottom w:w="0" w:type="dxa"/>
              <w:right w:w="108" w:type="dxa"/>
            </w:tcMar>
          </w:tcPr>
          <w:p w:rsidR="0048289A" w:rsidRPr="007E50D7" w14:paraId="26240195" w14:textId="7290DADE">
            <w:pPr>
              <w:adjustRightInd/>
              <w:jc w:val="right"/>
              <w:textAlignment w:val="auto"/>
              <w:rPr>
                <w:rFonts w:eastAsia="Calibri"/>
                <w:b/>
                <w:bCs/>
                <w:color w:val="000000"/>
              </w:rPr>
            </w:pPr>
            <w:r>
              <w:rPr>
                <w:rFonts w:eastAsia="Calibri"/>
                <w:b/>
                <w:bCs/>
                <w:color w:val="000000"/>
              </w:rPr>
              <w:t>1,130,952.37</w:t>
            </w:r>
          </w:p>
        </w:tc>
      </w:tr>
      <w:tr w14:paraId="14E5423E" w14:textId="77777777" w:rsidTr="00366A61">
        <w:tblPrEx>
          <w:tblW w:w="9990" w:type="dxa"/>
          <w:tblInd w:w="80" w:type="dxa"/>
          <w:tblCellMar>
            <w:left w:w="0" w:type="dxa"/>
            <w:right w:w="0" w:type="dxa"/>
          </w:tblCellMar>
          <w:tblLook w:val="04A0"/>
        </w:tblPrEx>
        <w:tc>
          <w:tcPr>
            <w:tcW w:w="178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66A61" w:rsidRPr="00576962" w14:paraId="0D4A1664" w14:textId="77777777">
            <w:pPr>
              <w:adjustRightInd/>
              <w:textAlignment w:val="auto"/>
              <w:rPr>
                <w:rFonts w:eastAsia="Calibri"/>
                <w:b/>
                <w:bCs/>
                <w:color w:val="000000"/>
              </w:rPr>
            </w:pPr>
          </w:p>
        </w:tc>
        <w:tc>
          <w:tcPr>
            <w:tcW w:w="1349" w:type="dxa"/>
            <w:tcBorders>
              <w:top w:val="nil"/>
              <w:left w:val="nil"/>
              <w:bottom w:val="single" w:sz="8" w:space="0" w:color="auto"/>
              <w:right w:val="single" w:sz="8" w:space="0" w:color="auto"/>
            </w:tcBorders>
            <w:tcMar>
              <w:top w:w="0" w:type="dxa"/>
              <w:left w:w="108" w:type="dxa"/>
              <w:bottom w:w="0" w:type="dxa"/>
              <w:right w:w="108" w:type="dxa"/>
            </w:tcMar>
          </w:tcPr>
          <w:p w:rsidR="00366A61" w:rsidRPr="00576962" w14:paraId="6E49B080" w14:textId="77777777">
            <w:pPr>
              <w:adjustRightInd/>
              <w:jc w:val="center"/>
              <w:textAlignment w:val="auto"/>
              <w:rPr>
                <w:rFonts w:eastAsia="Calibri"/>
                <w:b/>
                <w:bCs/>
                <w:color w:val="000000"/>
              </w:rPr>
            </w:pPr>
          </w:p>
        </w:tc>
        <w:tc>
          <w:tcPr>
            <w:tcW w:w="1476" w:type="dxa"/>
            <w:tcBorders>
              <w:top w:val="nil"/>
              <w:left w:val="nil"/>
              <w:bottom w:val="single" w:sz="8" w:space="0" w:color="auto"/>
              <w:right w:val="single" w:sz="8" w:space="0" w:color="auto"/>
            </w:tcBorders>
            <w:tcMar>
              <w:top w:w="0" w:type="dxa"/>
              <w:left w:w="108" w:type="dxa"/>
              <w:bottom w:w="0" w:type="dxa"/>
              <w:right w:w="108" w:type="dxa"/>
            </w:tcMar>
          </w:tcPr>
          <w:p w:rsidR="00366A61" w:rsidRPr="00576962" w14:paraId="1C0504DB" w14:textId="77777777">
            <w:pPr>
              <w:adjustRightInd/>
              <w:jc w:val="center"/>
              <w:textAlignment w:val="auto"/>
              <w:rPr>
                <w:rFonts w:eastAsia="Calibri"/>
                <w:b/>
                <w:bCs/>
                <w:color w:val="000000"/>
              </w:rPr>
            </w:pPr>
          </w:p>
        </w:tc>
        <w:tc>
          <w:tcPr>
            <w:tcW w:w="1184" w:type="dxa"/>
            <w:tcBorders>
              <w:top w:val="nil"/>
              <w:left w:val="nil"/>
              <w:bottom w:val="single" w:sz="8" w:space="0" w:color="auto"/>
              <w:right w:val="single" w:sz="8" w:space="0" w:color="auto"/>
            </w:tcBorders>
            <w:tcMar>
              <w:top w:w="0" w:type="dxa"/>
              <w:left w:w="108" w:type="dxa"/>
              <w:bottom w:w="0" w:type="dxa"/>
              <w:right w:w="108" w:type="dxa"/>
            </w:tcMar>
          </w:tcPr>
          <w:p w:rsidR="00366A61" w:rsidRPr="00576962" w14:paraId="0797FDD5" w14:textId="77777777">
            <w:pPr>
              <w:adjustRightInd/>
              <w:jc w:val="center"/>
              <w:textAlignment w:val="auto"/>
              <w:rPr>
                <w:rFonts w:eastAsia="Calibri"/>
                <w:b/>
                <w:bCs/>
                <w:color w:val="000000"/>
              </w:rPr>
            </w:pPr>
          </w:p>
        </w:tc>
        <w:tc>
          <w:tcPr>
            <w:tcW w:w="1196" w:type="dxa"/>
            <w:tcBorders>
              <w:top w:val="nil"/>
              <w:left w:val="nil"/>
              <w:bottom w:val="single" w:sz="8" w:space="0" w:color="auto"/>
              <w:right w:val="single" w:sz="8" w:space="0" w:color="auto"/>
            </w:tcBorders>
            <w:tcMar>
              <w:top w:w="0" w:type="dxa"/>
              <w:left w:w="108" w:type="dxa"/>
              <w:bottom w:w="0" w:type="dxa"/>
              <w:right w:w="108" w:type="dxa"/>
            </w:tcMar>
          </w:tcPr>
          <w:p w:rsidR="00366A61" w:rsidRPr="00576962" w14:paraId="6CF197A9" w14:textId="77777777">
            <w:pPr>
              <w:adjustRightInd/>
              <w:jc w:val="center"/>
              <w:textAlignment w:val="auto"/>
              <w:rPr>
                <w:rFonts w:eastAsia="Calibri"/>
                <w:b/>
                <w:bCs/>
                <w:color w:val="000000"/>
              </w:rPr>
            </w:pPr>
          </w:p>
        </w:tc>
        <w:tc>
          <w:tcPr>
            <w:tcW w:w="861" w:type="dxa"/>
            <w:tcBorders>
              <w:top w:val="nil"/>
              <w:left w:val="nil"/>
              <w:bottom w:val="single" w:sz="8" w:space="0" w:color="auto"/>
              <w:right w:val="single" w:sz="8" w:space="0" w:color="auto"/>
            </w:tcBorders>
            <w:tcMar>
              <w:top w:w="0" w:type="dxa"/>
              <w:left w:w="108" w:type="dxa"/>
              <w:bottom w:w="0" w:type="dxa"/>
              <w:right w:w="108" w:type="dxa"/>
            </w:tcMar>
          </w:tcPr>
          <w:p w:rsidR="00366A61" w:rsidRPr="00576962" w14:paraId="0B5432F2" w14:textId="77777777">
            <w:pPr>
              <w:adjustRightInd/>
              <w:jc w:val="center"/>
              <w:textAlignment w:val="auto"/>
              <w:rPr>
                <w:rFonts w:eastAsia="Calibri"/>
                <w:b/>
                <w:bCs/>
                <w:color w:val="000000"/>
              </w:rPr>
            </w:pPr>
          </w:p>
        </w:tc>
        <w:tc>
          <w:tcPr>
            <w:tcW w:w="1098" w:type="dxa"/>
            <w:tcBorders>
              <w:top w:val="nil"/>
              <w:left w:val="nil"/>
              <w:bottom w:val="single" w:sz="8" w:space="0" w:color="auto"/>
              <w:right w:val="single" w:sz="8" w:space="0" w:color="auto"/>
            </w:tcBorders>
            <w:tcMar>
              <w:top w:w="0" w:type="dxa"/>
              <w:left w:w="108" w:type="dxa"/>
              <w:bottom w:w="0" w:type="dxa"/>
              <w:right w:w="108" w:type="dxa"/>
            </w:tcMar>
          </w:tcPr>
          <w:p w:rsidR="00366A61" w:rsidRPr="007E50D7" w14:paraId="38332DD4" w14:textId="77777777">
            <w:pPr>
              <w:adjustRightInd/>
              <w:jc w:val="right"/>
              <w:textAlignment w:val="auto"/>
              <w:rPr>
                <w:rFonts w:eastAsia="Calibri"/>
                <w:b/>
                <w:bCs/>
                <w:color w:val="000000"/>
              </w:rPr>
            </w:pPr>
          </w:p>
        </w:tc>
        <w:tc>
          <w:tcPr>
            <w:tcW w:w="1037" w:type="dxa"/>
            <w:tcBorders>
              <w:top w:val="nil"/>
              <w:left w:val="nil"/>
              <w:bottom w:val="single" w:sz="8" w:space="0" w:color="auto"/>
              <w:right w:val="single" w:sz="8" w:space="0" w:color="auto"/>
            </w:tcBorders>
            <w:tcMar>
              <w:top w:w="0" w:type="dxa"/>
              <w:left w:w="108" w:type="dxa"/>
              <w:bottom w:w="0" w:type="dxa"/>
              <w:right w:w="108" w:type="dxa"/>
            </w:tcMar>
          </w:tcPr>
          <w:p w:rsidR="00366A61" w:rsidRPr="007E50D7" w14:paraId="1E71F589" w14:textId="77777777">
            <w:pPr>
              <w:adjustRightInd/>
              <w:jc w:val="right"/>
              <w:textAlignment w:val="auto"/>
              <w:rPr>
                <w:rFonts w:eastAsia="Calibri"/>
                <w:b/>
                <w:bCs/>
                <w:color w:val="000000"/>
              </w:rPr>
            </w:pPr>
          </w:p>
        </w:tc>
      </w:tr>
    </w:tbl>
    <w:bookmarkEnd w:id="0"/>
    <w:p w:rsidR="00E11287" w:rsidP="00E11287" w14:paraId="24DE5824" w14:textId="1CE02474">
      <w:pPr>
        <w:keepLines/>
        <w:tabs>
          <w:tab w:val="left" w:pos="360"/>
          <w:tab w:val="left" w:pos="720"/>
        </w:tabs>
        <w:rPr>
          <w:sz w:val="18"/>
          <w:szCs w:val="18"/>
        </w:rPr>
      </w:pPr>
      <w:r>
        <w:rPr>
          <w:sz w:val="18"/>
          <w:szCs w:val="18"/>
        </w:rPr>
        <w:tab/>
      </w:r>
      <w:r>
        <w:rPr>
          <w:sz w:val="18"/>
          <w:szCs w:val="18"/>
        </w:rPr>
        <w:tab/>
      </w:r>
    </w:p>
    <w:p w:rsidR="00C24072" w:rsidRPr="006C7FAE" w14:paraId="2D500530" w14:textId="5EA7FC7C">
      <w:pPr>
        <w:tabs>
          <w:tab w:val="left" w:pos="360"/>
        </w:tabs>
        <w:ind w:left="360" w:hanging="360"/>
        <w:rPr>
          <w:sz w:val="24"/>
          <w:szCs w:val="24"/>
        </w:rPr>
      </w:pPr>
      <w:r>
        <w:rPr>
          <w:sz w:val="24"/>
          <w:szCs w:val="24"/>
        </w:rPr>
        <w:tab/>
      </w:r>
    </w:p>
    <w:p w:rsidR="009E13B1" w14:paraId="005FDD51" w14:textId="77777777">
      <w:pPr>
        <w:keepLines/>
        <w:tabs>
          <w:tab w:val="left" w:pos="360"/>
        </w:tabs>
        <w:spacing w:after="80"/>
        <w:ind w:left="360" w:hanging="360"/>
        <w:rPr>
          <w:sz w:val="24"/>
          <w:szCs w:val="24"/>
        </w:rPr>
      </w:pPr>
      <w:r w:rsidRPr="006C7FAE">
        <w:rPr>
          <w:sz w:val="24"/>
          <w:szCs w:val="24"/>
        </w:rPr>
        <w:t>15.</w:t>
      </w:r>
      <w:r w:rsidRPr="006C7FAE">
        <w:rPr>
          <w:sz w:val="24"/>
          <w:szCs w:val="24"/>
        </w:rPr>
        <w:tab/>
        <w:t>Explain the reasons for any program changes or adjustments reported in Items 1</w:t>
      </w:r>
      <w:r w:rsidR="000D5079">
        <w:rPr>
          <w:sz w:val="24"/>
          <w:szCs w:val="24"/>
        </w:rPr>
        <w:t>2</w:t>
      </w:r>
      <w:r w:rsidRPr="006C7FAE">
        <w:rPr>
          <w:sz w:val="24"/>
          <w:szCs w:val="24"/>
        </w:rPr>
        <w:t xml:space="preserve"> and 14 of the </w:t>
      </w:r>
      <w:r w:rsidR="00CA06CC">
        <w:rPr>
          <w:sz w:val="24"/>
          <w:szCs w:val="24"/>
        </w:rPr>
        <w:t>Supporting Statement</w:t>
      </w:r>
      <w:r w:rsidRPr="006C7FAE">
        <w:rPr>
          <w:sz w:val="24"/>
          <w:szCs w:val="24"/>
        </w:rPr>
        <w:t>.</w:t>
      </w:r>
    </w:p>
    <w:p w:rsidR="0032364E" w:rsidP="0032364E" w14:paraId="4B45D709" w14:textId="77777777">
      <w:pPr>
        <w:ind w:left="90"/>
        <w:rPr>
          <w:rFonts w:ascii="CG Times" w:hAnsi="CG Times"/>
          <w:sz w:val="24"/>
        </w:rPr>
      </w:pPr>
    </w:p>
    <w:p w:rsidR="004522B3" w:rsidRPr="00D27C40" w:rsidP="004522B3" w14:paraId="78C77288" w14:textId="77777777">
      <w:pPr>
        <w:ind w:left="90"/>
        <w:rPr>
          <w:rFonts w:ascii="CG Times" w:hAnsi="CG Times"/>
          <w:sz w:val="24"/>
        </w:rPr>
      </w:pPr>
      <w:r w:rsidRPr="00D27C40">
        <w:rPr>
          <w:rFonts w:ascii="CG Times" w:hAnsi="CG Times"/>
          <w:sz w:val="24"/>
        </w:rPr>
        <w:t>The information collected is used by FHEO staff to contact aggrieved persons; verify jurisdiction under the Fair Housing Act; notify respondents of alleged violations; and develop, perfect, and investigate complaints. It is also used to establish jurisdiction under Title VI of the Civil Rights Act of 1964 (42 U.S.C. §§ 2000d–2000d</w:t>
      </w:r>
      <w:r w:rsidRPr="00D27C40">
        <w:rPr>
          <w:rFonts w:ascii="CG Times" w:hAnsi="CG Times"/>
          <w:sz w:val="24"/>
        </w:rPr>
        <w:noBreakHyphen/>
        <w:t>7); Section 504 of the Rehabilitation Act (29 U.S.C. § 794); Title II of the Americans with Disabilities Act (42 U.S.C. §§ 12131–12134); Section 109 of the Housing and Community Development Act (42 U.S.C. § 5309); the Age Discrimination Act of 1975 (42 U.S.C. §§ 6101–6107); Title IX (20 U.S.C. §§ 1681–83, 85</w:t>
      </w:r>
      <w:r w:rsidRPr="00D27C40">
        <w:rPr>
          <w:rFonts w:ascii="CG Times" w:hAnsi="CG Times"/>
          <w:sz w:val="24"/>
        </w:rPr>
        <w:noBreakHyphen/>
        <w:t xml:space="preserve">88); and the Architectural Barriers Act (42 U.S.C. §§ 4151 et seq.). </w:t>
      </w:r>
    </w:p>
    <w:p w:rsidR="004522B3" w:rsidP="0032364E" w14:paraId="459169DA" w14:textId="77777777">
      <w:pPr>
        <w:ind w:left="90"/>
        <w:rPr>
          <w:rFonts w:ascii="CG Times" w:hAnsi="CG Times"/>
          <w:sz w:val="24"/>
        </w:rPr>
      </w:pPr>
    </w:p>
    <w:p w:rsidR="0032364E" w:rsidRPr="00D27C40" w:rsidP="0032364E" w14:paraId="26C59ECC" w14:textId="066803B4">
      <w:pPr>
        <w:ind w:left="90"/>
        <w:rPr>
          <w:rFonts w:ascii="CG Times" w:hAnsi="CG Times"/>
          <w:sz w:val="24"/>
        </w:rPr>
      </w:pPr>
      <w:r w:rsidRPr="00D27C40">
        <w:rPr>
          <w:rFonts w:ascii="CG Times" w:hAnsi="CG Times"/>
          <w:sz w:val="24"/>
        </w:rPr>
        <w:t xml:space="preserve">The revised Form </w:t>
      </w:r>
      <w:r w:rsidRPr="006B6CFD">
        <w:rPr>
          <w:rFonts w:ascii="CG Times" w:hAnsi="CG Times"/>
          <w:sz w:val="24"/>
        </w:rPr>
        <w:t>introduces updates, including the addition of Violence Against Women Act (VAWA) protections—covering survivors of domestic violence, dating violence, sexual assault, and stalking—as new bases for filing housing discrimination complaints, along with explicit protections against retaliation for exercising VAWA rights. The new version incorporates clearer question prompts, expanded respondent and witness fields, updated submission instructions directing complaints to a central HUD office, and a statement clarifying that HUD will use English as the official language for all business and services.</w:t>
      </w:r>
      <w:r>
        <w:rPr>
          <w:rFonts w:ascii="CG Times" w:hAnsi="CG Times"/>
          <w:sz w:val="24"/>
        </w:rPr>
        <w:t xml:space="preserve"> Additionally, the revised Form</w:t>
      </w:r>
      <w:r w:rsidRPr="00D27C40">
        <w:rPr>
          <w:rFonts w:ascii="CG Times" w:hAnsi="CG Times"/>
          <w:sz w:val="24"/>
        </w:rPr>
        <w:t xml:space="preserve"> adds a signature field that</w:t>
      </w:r>
      <w:r>
        <w:rPr>
          <w:rFonts w:ascii="CG Times" w:hAnsi="CG Times"/>
          <w:sz w:val="24"/>
        </w:rPr>
        <w:t xml:space="preserve"> will</w:t>
      </w:r>
      <w:r w:rsidRPr="00D27C40">
        <w:rPr>
          <w:rFonts w:ascii="CG Times" w:hAnsi="CG Times"/>
          <w:sz w:val="24"/>
        </w:rPr>
        <w:t xml:space="preserve"> reduce processing time</w:t>
      </w:r>
      <w:r>
        <w:rPr>
          <w:rFonts w:ascii="CG Times" w:hAnsi="CG Times"/>
          <w:sz w:val="24"/>
        </w:rPr>
        <w:t xml:space="preserve"> by getting a signature upfront.</w:t>
      </w:r>
      <w:r w:rsidRPr="00D27C40">
        <w:rPr>
          <w:rFonts w:ascii="CG Times" w:hAnsi="CG Times"/>
          <w:sz w:val="24"/>
        </w:rPr>
        <w:t xml:space="preserve"> </w:t>
      </w:r>
      <w:r>
        <w:rPr>
          <w:rFonts w:ascii="CG Times" w:hAnsi="CG Times"/>
          <w:sz w:val="24"/>
        </w:rPr>
        <w:t>The changes make the process clearer to the user and improve the speed by which the form can be processed by HUD/FHEO staff.</w:t>
      </w:r>
    </w:p>
    <w:p w:rsidR="001A168B" w14:paraId="5F678802" w14:textId="77777777">
      <w:pPr>
        <w:keepLines/>
        <w:tabs>
          <w:tab w:val="left" w:pos="360"/>
        </w:tabs>
        <w:spacing w:after="80"/>
        <w:ind w:left="360" w:hanging="360"/>
        <w:rPr>
          <w:sz w:val="24"/>
          <w:szCs w:val="24"/>
        </w:rPr>
      </w:pPr>
    </w:p>
    <w:p w:rsidR="001A168B" w:rsidRPr="001A168B" w:rsidP="001A168B" w14:paraId="1B5389B6" w14:textId="77777777">
      <w:pPr>
        <w:ind w:left="90"/>
        <w:rPr>
          <w:rFonts w:ascii="CG Times" w:hAnsi="CG Times"/>
          <w:sz w:val="24"/>
        </w:rPr>
      </w:pPr>
      <w:r w:rsidRPr="001A168B">
        <w:rPr>
          <w:rFonts w:ascii="CG Times" w:hAnsi="CG Times"/>
          <w:sz w:val="24"/>
        </w:rPr>
        <w:t>Any adjustments reflect updated submission volumes and current postage costs; no program changes affect the burden estimate.</w:t>
      </w:r>
    </w:p>
    <w:p w:rsidR="009E13B1" w:rsidP="001A168B" w14:paraId="78BA2B5D" w14:textId="0055BF9A">
      <w:pPr>
        <w:keepLines/>
        <w:tabs>
          <w:tab w:val="left" w:pos="360"/>
        </w:tabs>
        <w:spacing w:after="80"/>
        <w:rPr>
          <w:sz w:val="24"/>
          <w:szCs w:val="24"/>
        </w:rPr>
      </w:pPr>
    </w:p>
    <w:p w:rsidR="009E13B1" w14:paraId="191E7ECF" w14:textId="77777777">
      <w:pPr>
        <w:keepLines/>
        <w:tabs>
          <w:tab w:val="left" w:pos="360"/>
        </w:tabs>
        <w:spacing w:after="80"/>
        <w:ind w:left="360" w:hanging="360"/>
        <w:rPr>
          <w:sz w:val="24"/>
          <w:szCs w:val="24"/>
        </w:rPr>
      </w:pPr>
      <w:r w:rsidRPr="006C7FAE">
        <w:rPr>
          <w:sz w:val="24"/>
          <w:szCs w:val="24"/>
        </w:rPr>
        <w:t>16.</w:t>
      </w:r>
      <w:r w:rsidRPr="006C7FAE">
        <w:rPr>
          <w:sz w:val="24"/>
          <w:szCs w:val="24"/>
        </w:rPr>
        <w:tab/>
        <w:t>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AC6AFB" w14:paraId="25D3812D" w14:textId="77777777">
      <w:pPr>
        <w:keepLines/>
        <w:tabs>
          <w:tab w:val="left" w:pos="360"/>
        </w:tabs>
        <w:spacing w:after="80"/>
        <w:ind w:left="360" w:hanging="360"/>
        <w:rPr>
          <w:sz w:val="24"/>
          <w:szCs w:val="24"/>
        </w:rPr>
      </w:pPr>
    </w:p>
    <w:p w:rsidR="00AC6AFB" w:rsidRPr="00AC6AFB" w:rsidP="00AC6AFB" w14:paraId="74E1A2E0" w14:textId="77777777">
      <w:pPr>
        <w:ind w:left="90"/>
        <w:rPr>
          <w:rFonts w:ascii="CG Times" w:hAnsi="CG Times"/>
          <w:sz w:val="24"/>
        </w:rPr>
      </w:pPr>
      <w:r w:rsidRPr="00AC6AFB">
        <w:rPr>
          <w:rFonts w:ascii="CG Times" w:hAnsi="CG Times"/>
          <w:sz w:val="24"/>
        </w:rPr>
        <w:t>HUD does not publish the results of individual complaints collected through the Form.</w:t>
      </w:r>
    </w:p>
    <w:p w:rsidR="000F55EB" w:rsidP="00366A61" w14:paraId="4AC3DF2C" w14:textId="77777777">
      <w:pPr>
        <w:pStyle w:val="NoSpacing"/>
      </w:pPr>
      <w:r>
        <w:tab/>
      </w:r>
    </w:p>
    <w:p w:rsidR="009E13B1" w14:paraId="34E8092D" w14:textId="18F37B00">
      <w:pPr>
        <w:keepLines/>
        <w:tabs>
          <w:tab w:val="left" w:pos="360"/>
        </w:tabs>
        <w:spacing w:after="80"/>
        <w:ind w:left="360" w:hanging="360"/>
        <w:rPr>
          <w:sz w:val="24"/>
          <w:szCs w:val="24"/>
        </w:rPr>
      </w:pPr>
      <w:r w:rsidRPr="006C7FAE">
        <w:rPr>
          <w:sz w:val="24"/>
          <w:szCs w:val="24"/>
        </w:rPr>
        <w:t>17.</w:t>
      </w:r>
      <w:r w:rsidRPr="006C7FAE">
        <w:rPr>
          <w:sz w:val="24"/>
          <w:szCs w:val="24"/>
        </w:rPr>
        <w:tab/>
        <w:t>If seeking approval to not display the expiration date for OMB approval of the information collection, explain the reasons that display would be inappropriate.</w:t>
      </w:r>
    </w:p>
    <w:p w:rsidR="00AC6AFB" w14:paraId="2D52084A" w14:textId="77777777">
      <w:pPr>
        <w:keepLines/>
        <w:tabs>
          <w:tab w:val="left" w:pos="360"/>
        </w:tabs>
        <w:spacing w:after="80"/>
        <w:ind w:left="360" w:hanging="360"/>
        <w:rPr>
          <w:sz w:val="24"/>
          <w:szCs w:val="24"/>
        </w:rPr>
      </w:pPr>
    </w:p>
    <w:p w:rsidR="00AC6AFB" w:rsidRPr="00AC6AFB" w:rsidP="00AC6AFB" w14:paraId="65C38982" w14:textId="77777777">
      <w:pPr>
        <w:ind w:left="90"/>
        <w:rPr>
          <w:rFonts w:ascii="CG Times" w:hAnsi="CG Times"/>
          <w:sz w:val="24"/>
        </w:rPr>
      </w:pPr>
      <w:r w:rsidRPr="00AC6AFB">
        <w:rPr>
          <w:rFonts w:ascii="CG Times" w:hAnsi="CG Times"/>
          <w:sz w:val="24"/>
        </w:rPr>
        <w:t>HUD will display the OMB control number and expiration date on the Form.</w:t>
      </w:r>
    </w:p>
    <w:p w:rsidR="00326ECE" w14:paraId="59572BA8" w14:textId="77777777">
      <w:pPr>
        <w:keepLines/>
        <w:tabs>
          <w:tab w:val="left" w:pos="360"/>
        </w:tabs>
        <w:spacing w:after="80"/>
        <w:ind w:left="360" w:hanging="360"/>
        <w:rPr>
          <w:sz w:val="24"/>
          <w:szCs w:val="24"/>
        </w:rPr>
      </w:pPr>
    </w:p>
    <w:p w:rsidR="009E13B1" w:rsidP="00027E0E" w14:paraId="507CF194" w14:textId="70961020">
      <w:pPr>
        <w:keepNext/>
        <w:keepLines/>
        <w:tabs>
          <w:tab w:val="left" w:pos="360"/>
        </w:tabs>
        <w:spacing w:after="80"/>
        <w:ind w:left="360" w:hanging="360"/>
        <w:rPr>
          <w:sz w:val="24"/>
          <w:szCs w:val="24"/>
        </w:rPr>
      </w:pPr>
      <w:r w:rsidRPr="006C7FAE">
        <w:rPr>
          <w:sz w:val="24"/>
          <w:szCs w:val="24"/>
        </w:rPr>
        <w:t>18.</w:t>
      </w:r>
      <w:r w:rsidRPr="006C7FAE">
        <w:rPr>
          <w:sz w:val="24"/>
          <w:szCs w:val="24"/>
        </w:rPr>
        <w:tab/>
        <w:t>Explain each exception to the certification statement.</w:t>
      </w:r>
    </w:p>
    <w:p w:rsidR="00AC6AFB" w:rsidP="00027E0E" w14:paraId="1B6DA2E1" w14:textId="77777777">
      <w:pPr>
        <w:keepNext/>
        <w:keepLines/>
        <w:tabs>
          <w:tab w:val="left" w:pos="360"/>
        </w:tabs>
        <w:spacing w:after="80"/>
        <w:ind w:left="360" w:hanging="360"/>
        <w:rPr>
          <w:sz w:val="24"/>
          <w:szCs w:val="24"/>
        </w:rPr>
      </w:pPr>
    </w:p>
    <w:p w:rsidR="00AC6AFB" w:rsidRPr="00AC6AFB" w:rsidP="00027E0E" w14:paraId="63567BDE" w14:textId="77777777">
      <w:pPr>
        <w:keepNext/>
        <w:ind w:left="90"/>
        <w:rPr>
          <w:rFonts w:ascii="CG Times" w:hAnsi="CG Times"/>
          <w:sz w:val="24"/>
        </w:rPr>
      </w:pPr>
      <w:r w:rsidRPr="00AC6AFB">
        <w:rPr>
          <w:rFonts w:ascii="CG Times" w:hAnsi="CG Times"/>
          <w:sz w:val="24"/>
        </w:rPr>
        <w:t>HUD requests no exceptions to the certification requirements of the Paperwork Reduction Act.</w:t>
      </w:r>
    </w:p>
    <w:p w:rsidR="00AC6AFB" w:rsidRPr="006C7FAE" w:rsidP="00E90E8A" w14:paraId="3AC66F82" w14:textId="77777777">
      <w:pPr>
        <w:keepLines/>
        <w:tabs>
          <w:tab w:val="left" w:pos="360"/>
        </w:tabs>
        <w:spacing w:after="80"/>
        <w:ind w:left="360" w:hanging="360"/>
        <w:rPr>
          <w:sz w:val="24"/>
          <w:szCs w:val="24"/>
        </w:rPr>
      </w:pPr>
    </w:p>
    <w:sectPr w:rsidSect="006C7FAE">
      <w:headerReference w:type="default" r:id="rId13"/>
      <w:pgSz w:w="12240" w:h="15840"/>
      <w:pgMar w:top="1440" w:right="1440" w:bottom="1440" w:left="900" w:header="480" w:footer="480" w:gutter="0"/>
      <w:cols w:space="480" w:equalWidth="0">
        <w:col w:w="10080" w:space="0"/>
      </w:cols>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13B1" w14:paraId="7AC6377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B26EA4E0"/>
    <w:lvl w:ilvl="0">
      <w:start w:val="0"/>
      <w:numFmt w:val="decimal"/>
      <w:lvlText w:val="*"/>
      <w:lvlJc w:val="left"/>
    </w:lvl>
  </w:abstractNum>
  <w:abstractNum w:abstractNumId="1">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2">
    <w:nsid w:val="0E0B7D28"/>
    <w:multiLevelType w:val="singleLevel"/>
    <w:tmpl w:val="1B20EFFC"/>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abstractNum w:abstractNumId="3">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4">
    <w:nsid w:val="22C63940"/>
    <w:multiLevelType w:val="singleLevel"/>
    <w:tmpl w:val="1B20EFFC"/>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5">
    <w:nsid w:val="3B7248CD"/>
    <w:multiLevelType w:val="singleLevel"/>
    <w:tmpl w:val="389C343E"/>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6">
    <w:nsid w:val="409858BB"/>
    <w:multiLevelType w:val="singleLevel"/>
    <w:tmpl w:val="A8C62C48"/>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7">
    <w:nsid w:val="4B206095"/>
    <w:multiLevelType w:val="singleLevel"/>
    <w:tmpl w:val="2FA6477C"/>
    <w:lvl w:ilvl="0">
      <w:start w:val="7"/>
      <w:numFmt w:val="decimal"/>
      <w:lvlText w:val="%1. "/>
      <w:legacy w:legacy="1" w:legacySpace="0" w:legacyIndent="360"/>
      <w:lvlJc w:val="left"/>
      <w:pPr>
        <w:ind w:left="360" w:hanging="360"/>
      </w:pPr>
      <w:rPr>
        <w:rFonts w:ascii="Times New Roman" w:hAnsi="Times New Roman" w:hint="default"/>
        <w:b w:val="0"/>
        <w:i w:val="0"/>
        <w:sz w:val="24"/>
        <w:szCs w:val="24"/>
        <w:u w:val="none"/>
      </w:rPr>
    </w:lvl>
  </w:abstractNum>
  <w:abstractNum w:abstractNumId="8">
    <w:nsid w:val="5A220FD8"/>
    <w:multiLevelType w:val="singleLevel"/>
    <w:tmpl w:val="003EAA3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9">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0">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11">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num w:numId="1" w16cid:durableId="743601999">
    <w:abstractNumId w:val="4"/>
  </w:num>
  <w:num w:numId="2" w16cid:durableId="1939675396">
    <w:abstractNumId w:val="2"/>
  </w:num>
  <w:num w:numId="3" w16cid:durableId="1587377701">
    <w:abstractNumId w:val="8"/>
  </w:num>
  <w:num w:numId="4" w16cid:durableId="887451858">
    <w:abstractNumId w:val="5"/>
  </w:num>
  <w:num w:numId="5" w16cid:durableId="1830825219">
    <w:abstractNumId w:val="6"/>
  </w:num>
  <w:num w:numId="6" w16cid:durableId="2036811765">
    <w:abstractNumId w:val="6"/>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16cid:durableId="1017346939">
    <w:abstractNumId w:val="3"/>
  </w:num>
  <w:num w:numId="8" w16cid:durableId="1708868018">
    <w:abstractNumId w:val="11"/>
  </w:num>
  <w:num w:numId="9" w16cid:durableId="36247648">
    <w:abstractNumId w:val="1"/>
  </w:num>
  <w:num w:numId="10" w16cid:durableId="1269002932">
    <w:abstractNumId w:val="10"/>
  </w:num>
  <w:num w:numId="11" w16cid:durableId="804929379">
    <w:abstractNumId w:val="9"/>
  </w:num>
  <w:num w:numId="12" w16cid:durableId="1778601022">
    <w:abstractNumId w:val="9"/>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13" w16cid:durableId="962225968">
    <w:abstractNumId w:val="7"/>
  </w:num>
  <w:num w:numId="14" w16cid:durableId="1774594277">
    <w:abstractNumId w:val="0"/>
    <w:lvlOverride w:ilvl="0">
      <w:lvl w:ilvl="0">
        <w:start w:val="1"/>
        <w:numFmt w:val="bullet"/>
        <w:lvlText w:val=""/>
        <w:legacy w:legacy="1" w:legacySpace="0" w:legacyIndent="144"/>
        <w:lvlJc w:val="left"/>
        <w:pPr>
          <w:ind w:left="684" w:hanging="144"/>
        </w:pPr>
        <w:rPr>
          <w:rFonts w:ascii="Symbol" w:hAnsi="Symbol" w:hint="default"/>
          <w:sz w:val="16"/>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940"/>
    <w:rsid w:val="000053B4"/>
    <w:rsid w:val="00027E0E"/>
    <w:rsid w:val="000421BD"/>
    <w:rsid w:val="00046594"/>
    <w:rsid w:val="000515DF"/>
    <w:rsid w:val="000643EB"/>
    <w:rsid w:val="00064E8B"/>
    <w:rsid w:val="0007564D"/>
    <w:rsid w:val="000A1639"/>
    <w:rsid w:val="000A2F1F"/>
    <w:rsid w:val="000B2B15"/>
    <w:rsid w:val="000C117C"/>
    <w:rsid w:val="000C38FD"/>
    <w:rsid w:val="000D5079"/>
    <w:rsid w:val="000E00A8"/>
    <w:rsid w:val="000E2A89"/>
    <w:rsid w:val="000F55EB"/>
    <w:rsid w:val="000F569A"/>
    <w:rsid w:val="000F6283"/>
    <w:rsid w:val="001073E2"/>
    <w:rsid w:val="0011303E"/>
    <w:rsid w:val="00134D74"/>
    <w:rsid w:val="00142DE5"/>
    <w:rsid w:val="00160927"/>
    <w:rsid w:val="00164107"/>
    <w:rsid w:val="00167E53"/>
    <w:rsid w:val="00171097"/>
    <w:rsid w:val="00181D77"/>
    <w:rsid w:val="001A168B"/>
    <w:rsid w:val="00211848"/>
    <w:rsid w:val="00220E03"/>
    <w:rsid w:val="00222AEA"/>
    <w:rsid w:val="0023256B"/>
    <w:rsid w:val="0024132A"/>
    <w:rsid w:val="002629B5"/>
    <w:rsid w:val="002631DC"/>
    <w:rsid w:val="0028513A"/>
    <w:rsid w:val="002932A2"/>
    <w:rsid w:val="0029761B"/>
    <w:rsid w:val="002B120C"/>
    <w:rsid w:val="002B63EF"/>
    <w:rsid w:val="002C5BA8"/>
    <w:rsid w:val="002D1023"/>
    <w:rsid w:val="002F3878"/>
    <w:rsid w:val="002F6CE8"/>
    <w:rsid w:val="003035C0"/>
    <w:rsid w:val="00311911"/>
    <w:rsid w:val="00320A3A"/>
    <w:rsid w:val="0032364E"/>
    <w:rsid w:val="003267B8"/>
    <w:rsid w:val="00326ECE"/>
    <w:rsid w:val="003379B8"/>
    <w:rsid w:val="00357923"/>
    <w:rsid w:val="00360090"/>
    <w:rsid w:val="00366A61"/>
    <w:rsid w:val="003708D8"/>
    <w:rsid w:val="00376471"/>
    <w:rsid w:val="00393E38"/>
    <w:rsid w:val="003A1011"/>
    <w:rsid w:val="003A3280"/>
    <w:rsid w:val="003B7C7D"/>
    <w:rsid w:val="003E067D"/>
    <w:rsid w:val="003E78DE"/>
    <w:rsid w:val="00432E8A"/>
    <w:rsid w:val="00436BCD"/>
    <w:rsid w:val="00450591"/>
    <w:rsid w:val="004509D7"/>
    <w:rsid w:val="004522B3"/>
    <w:rsid w:val="00470015"/>
    <w:rsid w:val="0047232C"/>
    <w:rsid w:val="0048289A"/>
    <w:rsid w:val="004929B8"/>
    <w:rsid w:val="00495618"/>
    <w:rsid w:val="004A2B3F"/>
    <w:rsid w:val="004A7999"/>
    <w:rsid w:val="004B0713"/>
    <w:rsid w:val="004E2DD3"/>
    <w:rsid w:val="004E66A7"/>
    <w:rsid w:val="004E6D54"/>
    <w:rsid w:val="00524E1E"/>
    <w:rsid w:val="00532200"/>
    <w:rsid w:val="00533EEA"/>
    <w:rsid w:val="00534F75"/>
    <w:rsid w:val="00535B01"/>
    <w:rsid w:val="00536428"/>
    <w:rsid w:val="00550934"/>
    <w:rsid w:val="00557A3F"/>
    <w:rsid w:val="00557F54"/>
    <w:rsid w:val="00576962"/>
    <w:rsid w:val="00580974"/>
    <w:rsid w:val="00584348"/>
    <w:rsid w:val="00586281"/>
    <w:rsid w:val="0058747D"/>
    <w:rsid w:val="005955A1"/>
    <w:rsid w:val="005A1994"/>
    <w:rsid w:val="005A6333"/>
    <w:rsid w:val="005C52B1"/>
    <w:rsid w:val="005D7C9A"/>
    <w:rsid w:val="005E24C7"/>
    <w:rsid w:val="006000DB"/>
    <w:rsid w:val="006069E4"/>
    <w:rsid w:val="00632C8C"/>
    <w:rsid w:val="0064385C"/>
    <w:rsid w:val="006765AE"/>
    <w:rsid w:val="00685597"/>
    <w:rsid w:val="00694A12"/>
    <w:rsid w:val="006A158B"/>
    <w:rsid w:val="006A5C84"/>
    <w:rsid w:val="006B6CFD"/>
    <w:rsid w:val="006B7674"/>
    <w:rsid w:val="006C4830"/>
    <w:rsid w:val="006C7FAE"/>
    <w:rsid w:val="006F0441"/>
    <w:rsid w:val="006F0D67"/>
    <w:rsid w:val="006F6C2C"/>
    <w:rsid w:val="00707067"/>
    <w:rsid w:val="0074024B"/>
    <w:rsid w:val="00751D59"/>
    <w:rsid w:val="0079259A"/>
    <w:rsid w:val="007A0004"/>
    <w:rsid w:val="007B4A33"/>
    <w:rsid w:val="007D624A"/>
    <w:rsid w:val="007E35DA"/>
    <w:rsid w:val="007E50D7"/>
    <w:rsid w:val="007E600F"/>
    <w:rsid w:val="00806590"/>
    <w:rsid w:val="0082256C"/>
    <w:rsid w:val="008314BA"/>
    <w:rsid w:val="008423BD"/>
    <w:rsid w:val="00842B7E"/>
    <w:rsid w:val="00856B83"/>
    <w:rsid w:val="00867BA0"/>
    <w:rsid w:val="008859FE"/>
    <w:rsid w:val="008941D7"/>
    <w:rsid w:val="008A1787"/>
    <w:rsid w:val="008A2F44"/>
    <w:rsid w:val="008A34B6"/>
    <w:rsid w:val="008A7175"/>
    <w:rsid w:val="008C5869"/>
    <w:rsid w:val="008E0A84"/>
    <w:rsid w:val="008F4BF9"/>
    <w:rsid w:val="00902B9B"/>
    <w:rsid w:val="0090497C"/>
    <w:rsid w:val="00914E51"/>
    <w:rsid w:val="009167DB"/>
    <w:rsid w:val="009348CA"/>
    <w:rsid w:val="00953556"/>
    <w:rsid w:val="009A0575"/>
    <w:rsid w:val="009B0AA2"/>
    <w:rsid w:val="009D147C"/>
    <w:rsid w:val="009D5542"/>
    <w:rsid w:val="009E0C3E"/>
    <w:rsid w:val="009E13B1"/>
    <w:rsid w:val="009F35CA"/>
    <w:rsid w:val="009F637D"/>
    <w:rsid w:val="00A13BCD"/>
    <w:rsid w:val="00A15C64"/>
    <w:rsid w:val="00A16FA9"/>
    <w:rsid w:val="00A27059"/>
    <w:rsid w:val="00A312DA"/>
    <w:rsid w:val="00A4046B"/>
    <w:rsid w:val="00A508D2"/>
    <w:rsid w:val="00A50A2F"/>
    <w:rsid w:val="00A53FB9"/>
    <w:rsid w:val="00A60860"/>
    <w:rsid w:val="00A65F9E"/>
    <w:rsid w:val="00A703B4"/>
    <w:rsid w:val="00A83E46"/>
    <w:rsid w:val="00A94488"/>
    <w:rsid w:val="00A95F19"/>
    <w:rsid w:val="00AC6AFB"/>
    <w:rsid w:val="00AE08F1"/>
    <w:rsid w:val="00AE7147"/>
    <w:rsid w:val="00B01940"/>
    <w:rsid w:val="00B03398"/>
    <w:rsid w:val="00B04BA6"/>
    <w:rsid w:val="00B36479"/>
    <w:rsid w:val="00B51BEF"/>
    <w:rsid w:val="00B64C6A"/>
    <w:rsid w:val="00B66C4B"/>
    <w:rsid w:val="00B71058"/>
    <w:rsid w:val="00B8279C"/>
    <w:rsid w:val="00B83BC4"/>
    <w:rsid w:val="00B94401"/>
    <w:rsid w:val="00BA24E2"/>
    <w:rsid w:val="00BB2518"/>
    <w:rsid w:val="00BC10AF"/>
    <w:rsid w:val="00BC50C0"/>
    <w:rsid w:val="00BE06CE"/>
    <w:rsid w:val="00BE3502"/>
    <w:rsid w:val="00BF1641"/>
    <w:rsid w:val="00C06B8A"/>
    <w:rsid w:val="00C17E0E"/>
    <w:rsid w:val="00C24072"/>
    <w:rsid w:val="00C255E0"/>
    <w:rsid w:val="00C5345E"/>
    <w:rsid w:val="00C57FA3"/>
    <w:rsid w:val="00C650EC"/>
    <w:rsid w:val="00C92A41"/>
    <w:rsid w:val="00CA06CC"/>
    <w:rsid w:val="00CB0E01"/>
    <w:rsid w:val="00CC17A0"/>
    <w:rsid w:val="00CC3389"/>
    <w:rsid w:val="00CE1567"/>
    <w:rsid w:val="00CF7DF3"/>
    <w:rsid w:val="00D039FD"/>
    <w:rsid w:val="00D041C7"/>
    <w:rsid w:val="00D074F4"/>
    <w:rsid w:val="00D12FD4"/>
    <w:rsid w:val="00D2127C"/>
    <w:rsid w:val="00D21E70"/>
    <w:rsid w:val="00D277F6"/>
    <w:rsid w:val="00D27C40"/>
    <w:rsid w:val="00D30F2F"/>
    <w:rsid w:val="00D32A83"/>
    <w:rsid w:val="00D372AD"/>
    <w:rsid w:val="00D44E46"/>
    <w:rsid w:val="00D62BB3"/>
    <w:rsid w:val="00D63550"/>
    <w:rsid w:val="00D717DB"/>
    <w:rsid w:val="00D74136"/>
    <w:rsid w:val="00D81406"/>
    <w:rsid w:val="00D9303A"/>
    <w:rsid w:val="00DA0D32"/>
    <w:rsid w:val="00DA1658"/>
    <w:rsid w:val="00DA56F4"/>
    <w:rsid w:val="00DB053E"/>
    <w:rsid w:val="00DB6438"/>
    <w:rsid w:val="00DB7024"/>
    <w:rsid w:val="00DB7D22"/>
    <w:rsid w:val="00DD0B5E"/>
    <w:rsid w:val="00DD3286"/>
    <w:rsid w:val="00DD414A"/>
    <w:rsid w:val="00DE1ED6"/>
    <w:rsid w:val="00DE6BAB"/>
    <w:rsid w:val="00E00D88"/>
    <w:rsid w:val="00E01140"/>
    <w:rsid w:val="00E11287"/>
    <w:rsid w:val="00E37272"/>
    <w:rsid w:val="00E46DCE"/>
    <w:rsid w:val="00E50746"/>
    <w:rsid w:val="00E55926"/>
    <w:rsid w:val="00E63017"/>
    <w:rsid w:val="00E63555"/>
    <w:rsid w:val="00E63DE1"/>
    <w:rsid w:val="00E63E8C"/>
    <w:rsid w:val="00E80999"/>
    <w:rsid w:val="00E80EDE"/>
    <w:rsid w:val="00E853DD"/>
    <w:rsid w:val="00E90E8A"/>
    <w:rsid w:val="00EA03D0"/>
    <w:rsid w:val="00EA08FD"/>
    <w:rsid w:val="00EA4868"/>
    <w:rsid w:val="00EB4D4B"/>
    <w:rsid w:val="00EB50E5"/>
    <w:rsid w:val="00EE02BF"/>
    <w:rsid w:val="00EE51F6"/>
    <w:rsid w:val="00EF7F12"/>
    <w:rsid w:val="00F035D5"/>
    <w:rsid w:val="00F04583"/>
    <w:rsid w:val="00F131B4"/>
    <w:rsid w:val="00F26173"/>
    <w:rsid w:val="00F27C8F"/>
    <w:rsid w:val="00F5145B"/>
    <w:rsid w:val="00F65B1D"/>
    <w:rsid w:val="00F823AA"/>
    <w:rsid w:val="00F85018"/>
    <w:rsid w:val="00F91C93"/>
    <w:rsid w:val="00F97F57"/>
    <w:rsid w:val="00FD4572"/>
    <w:rsid w:val="00FD4F4C"/>
    <w:rsid w:val="00FE1B08"/>
    <w:rsid w:val="00FF0085"/>
    <w:rsid w:val="00FF397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D20CF03"/>
  <w15:chartTrackingRefBased/>
  <w15:docId w15:val="{F1889141-8BCA-4ADE-895A-0FD013705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22B3"/>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6C7FAE"/>
    <w:rPr>
      <w:rFonts w:ascii="Segoe UI" w:hAnsi="Segoe UI" w:cs="Segoe UI"/>
      <w:sz w:val="18"/>
      <w:szCs w:val="18"/>
    </w:rPr>
  </w:style>
  <w:style w:type="character" w:customStyle="1" w:styleId="BalloonTextChar">
    <w:name w:val="Balloon Text Char"/>
    <w:link w:val="BalloonText"/>
    <w:uiPriority w:val="99"/>
    <w:semiHidden/>
    <w:rsid w:val="006C7FAE"/>
    <w:rPr>
      <w:rFonts w:ascii="Segoe UI" w:hAnsi="Segoe UI" w:cs="Segoe UI"/>
      <w:sz w:val="18"/>
      <w:szCs w:val="18"/>
    </w:rPr>
  </w:style>
  <w:style w:type="paragraph" w:styleId="ListParagraph">
    <w:name w:val="List Paragraph"/>
    <w:basedOn w:val="Normal"/>
    <w:uiPriority w:val="34"/>
    <w:qFormat/>
    <w:rsid w:val="00A65F9E"/>
    <w:pPr>
      <w:ind w:left="720"/>
    </w:pPr>
  </w:style>
  <w:style w:type="paragraph" w:styleId="NoSpacing">
    <w:name w:val="No Spacing"/>
    <w:uiPriority w:val="1"/>
    <w:qFormat/>
    <w:rsid w:val="000B2B15"/>
    <w:pPr>
      <w:overflowPunct w:val="0"/>
      <w:autoSpaceDE w:val="0"/>
      <w:autoSpaceDN w:val="0"/>
      <w:adjustRightInd w:val="0"/>
      <w:textAlignment w:val="baseline"/>
    </w:pPr>
  </w:style>
  <w:style w:type="character" w:styleId="Hyperlink">
    <w:name w:val="Hyperlink"/>
    <w:basedOn w:val="DefaultParagraphFont"/>
    <w:uiPriority w:val="99"/>
    <w:unhideWhenUsed/>
    <w:rsid w:val="00E46DCE"/>
    <w:rPr>
      <w:color w:val="467886" w:themeColor="hyperlink"/>
      <w:u w:val="single"/>
    </w:rPr>
  </w:style>
  <w:style w:type="character" w:styleId="UnresolvedMention">
    <w:name w:val="Unresolved Mention"/>
    <w:basedOn w:val="DefaultParagraphFont"/>
    <w:uiPriority w:val="99"/>
    <w:semiHidden/>
    <w:unhideWhenUsed/>
    <w:rsid w:val="00E46DCE"/>
    <w:rPr>
      <w:color w:val="605E5C"/>
      <w:shd w:val="clear" w:color="auto" w:fill="E1DFDD"/>
    </w:rPr>
  </w:style>
  <w:style w:type="character" w:styleId="CommentReference">
    <w:name w:val="annotation reference"/>
    <w:basedOn w:val="DefaultParagraphFont"/>
    <w:uiPriority w:val="99"/>
    <w:semiHidden/>
    <w:unhideWhenUsed/>
    <w:rsid w:val="000421BD"/>
    <w:rPr>
      <w:sz w:val="16"/>
      <w:szCs w:val="16"/>
    </w:rPr>
  </w:style>
  <w:style w:type="paragraph" w:styleId="CommentText">
    <w:name w:val="annotation text"/>
    <w:basedOn w:val="Normal"/>
    <w:link w:val="CommentTextChar"/>
    <w:uiPriority w:val="99"/>
    <w:unhideWhenUsed/>
    <w:rsid w:val="000421BD"/>
  </w:style>
  <w:style w:type="character" w:customStyle="1" w:styleId="CommentTextChar">
    <w:name w:val="Comment Text Char"/>
    <w:basedOn w:val="DefaultParagraphFont"/>
    <w:link w:val="CommentText"/>
    <w:uiPriority w:val="99"/>
    <w:rsid w:val="000421BD"/>
  </w:style>
  <w:style w:type="paragraph" w:styleId="CommentSubject">
    <w:name w:val="annotation subject"/>
    <w:basedOn w:val="CommentText"/>
    <w:next w:val="CommentText"/>
    <w:link w:val="CommentSubjectChar"/>
    <w:uiPriority w:val="99"/>
    <w:semiHidden/>
    <w:unhideWhenUsed/>
    <w:rsid w:val="000421BD"/>
    <w:rPr>
      <w:b/>
      <w:bCs/>
    </w:rPr>
  </w:style>
  <w:style w:type="character" w:customStyle="1" w:styleId="CommentSubjectChar">
    <w:name w:val="Comment Subject Char"/>
    <w:basedOn w:val="CommentTextChar"/>
    <w:link w:val="CommentSubject"/>
    <w:uiPriority w:val="99"/>
    <w:semiHidden/>
    <w:rsid w:val="000421BD"/>
    <w:rPr>
      <w:b/>
      <w:bCs/>
    </w:rPr>
  </w:style>
  <w:style w:type="character" w:styleId="FollowedHyperlink">
    <w:name w:val="FollowedHyperlink"/>
    <w:basedOn w:val="DefaultParagraphFont"/>
    <w:uiPriority w:val="99"/>
    <w:semiHidden/>
    <w:unhideWhenUsed/>
    <w:rsid w:val="008F4BF9"/>
    <w:rPr>
      <w:color w:val="96607D" w:themeColor="followedHyperlink"/>
      <w:u w:val="single"/>
    </w:rPr>
  </w:style>
  <w:style w:type="paragraph" w:styleId="Revision">
    <w:name w:val="Revision"/>
    <w:hidden/>
    <w:uiPriority w:val="99"/>
    <w:semiHidden/>
    <w:rsid w:val="009348CA"/>
  </w:style>
  <w:style w:type="character" w:customStyle="1" w:styleId="cf01">
    <w:name w:val="cf01"/>
    <w:basedOn w:val="DefaultParagraphFont"/>
    <w:rsid w:val="00E6301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portalapps.hud.gov/FHEO903/Form903/Form903Start.action" TargetMode="External" /><Relationship Id="rId11" Type="http://schemas.openxmlformats.org/officeDocument/2006/relationships/hyperlink" Target="tel:1-800-669-9777" TargetMode="External" /><Relationship Id="rId12" Type="http://schemas.openxmlformats.org/officeDocument/2006/relationships/hyperlink" Target="https://www.govinfo.gov/content/pkg/FR-2023-12-14/pdf/2023-27443.pdf" TargetMode="External" /><Relationship Id="rId13" Type="http://schemas.openxmlformats.org/officeDocument/2006/relationships/header" Target="head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law.cornell.edu/uscode/text/42/chapter-45" TargetMode="External" /><Relationship Id="rId9" Type="http://schemas.openxmlformats.org/officeDocument/2006/relationships/hyperlink" Target="https://www.ecfr.gov/current/title-24/subtitle-B/chapter-I/part-10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2A00A75FB2BD469FC5BABC27835FFD" ma:contentTypeVersion="9" ma:contentTypeDescription="Create a new document." ma:contentTypeScope="" ma:versionID="d90dfa2cff6cfb46cb55e09fff85b58f">
  <xsd:schema xmlns:xsd="http://www.w3.org/2001/XMLSchema" xmlns:xs="http://www.w3.org/2001/XMLSchema" xmlns:p="http://schemas.microsoft.com/office/2006/metadata/properties" xmlns:ns1="http://schemas.microsoft.com/sharepoint/v3" xmlns:ns3="c6d93d11-28f8-4e6d-ae4f-5893c68de00b" targetNamespace="http://schemas.microsoft.com/office/2006/metadata/properties" ma:root="true" ma:fieldsID="ff2878398517a6040330cde16783e480" ns1:_="" ns3:_="">
    <xsd:import namespace="http://schemas.microsoft.com/sharepoint/v3"/>
    <xsd:import namespace="c6d93d11-28f8-4e6d-ae4f-5893c68de00b"/>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OCR"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93d11-28f8-4e6d-ae4f-5893c68de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B7782-02BD-4EFC-ABDD-E5EB6B32463E}">
  <ds:schemaRefs>
    <ds:schemaRef ds:uri="http://schemas.microsoft.com/sharepoint/v3/contenttype/forms"/>
  </ds:schemaRefs>
</ds:datastoreItem>
</file>

<file path=customXml/itemProps2.xml><?xml version="1.0" encoding="utf-8"?>
<ds:datastoreItem xmlns:ds="http://schemas.openxmlformats.org/officeDocument/2006/customXml" ds:itemID="{C6F01091-BF72-4B3E-88B9-34BB13B5C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d93d11-28f8-4e6d-ae4f-5893c68de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EC86D7-B7B0-45C9-94ED-DEB24A9249F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4D3A08EC-CC06-402F-B2DB-F86D22D1BB53}">
  <ds:schemaRefs>
    <ds:schemaRef ds:uri="http://schemas.openxmlformats.org/officeDocument/2006/bibliography"/>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8</Pages>
  <Words>3474</Words>
  <Characters>19807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Paperwork Reduction Act Submission</vt:lpstr>
    </vt:vector>
  </TitlesOfParts>
  <Company>HUD</Company>
  <LinksUpToDate>false</LinksUpToDate>
  <CharactersWithSpaces>23235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 Submission</dc:title>
  <dc:creator>HUDWARE II</dc:creator>
  <cp:lastModifiedBy>McNally, Charles E.</cp:lastModifiedBy>
  <cp:revision>4</cp:revision>
  <cp:lastPrinted>2026-05-18T16:14:00Z</cp:lastPrinted>
  <dcterms:created xsi:type="dcterms:W3CDTF">2026-05-28T14:14:00Z</dcterms:created>
  <dcterms:modified xsi:type="dcterms:W3CDTF">2026-05-28T14:16:00Z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0x0101001A2A00A75FB2BD469FC5BABC27835FFD</vt:lpwstr>
  </property>
  <property fmtid="{D5CDD505-2E9C-101B-9397-08002B2CF9AE}" pid="3" name="_NewReviewCycle">
    <vt:lpwstr/>
  </property>
</Properties>
</file>