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90EE8" w:rsidRPr="00716F81" w:rsidP="001C29CD" w14:paraId="32BC973A" w14:textId="77777777">
      <w:pPr>
        <w:ind w:left="5040" w:firstLine="720"/>
        <w:jc w:val="right"/>
        <w:rPr>
          <w:szCs w:val="24"/>
        </w:rPr>
      </w:pPr>
      <w:r w:rsidRPr="00716F81">
        <w:rPr>
          <w:szCs w:val="24"/>
        </w:rPr>
        <w:t xml:space="preserve"> </w:t>
      </w:r>
      <w:r w:rsidRPr="00716F81" w:rsidR="002C1857">
        <w:rPr>
          <w:szCs w:val="24"/>
        </w:rPr>
        <w:t xml:space="preserve"> </w:t>
      </w:r>
    </w:p>
    <w:p w:rsidR="00190EE8" w:rsidRPr="004A540D" w:rsidP="00190EE8" w14:paraId="4A072D26" w14:textId="77777777">
      <w:pPr>
        <w:jc w:val="center"/>
        <w:rPr>
          <w:b/>
          <w:bCs/>
          <w:szCs w:val="24"/>
        </w:rPr>
      </w:pPr>
      <w:r w:rsidRPr="004A540D">
        <w:rPr>
          <w:b/>
          <w:bCs/>
          <w:szCs w:val="24"/>
        </w:rPr>
        <w:t>SUPPORTING STATEMENT</w:t>
      </w:r>
    </w:p>
    <w:p w:rsidR="00326DAE" w:rsidRPr="00716F81" w:rsidP="007323E1" w14:paraId="43EC131A" w14:textId="77777777">
      <w:pPr>
        <w:rPr>
          <w:b/>
          <w:szCs w:val="24"/>
          <w:u w:val="single"/>
        </w:rPr>
      </w:pPr>
    </w:p>
    <w:p w:rsidR="007323E1" w:rsidRPr="00716F81" w:rsidP="007323E1" w14:paraId="52A5A562" w14:textId="3B988379">
      <w:pPr>
        <w:rPr>
          <w:b/>
          <w:szCs w:val="24"/>
          <w:u w:val="single"/>
        </w:rPr>
      </w:pPr>
      <w:r w:rsidRPr="004A540D">
        <w:rPr>
          <w:b/>
          <w:szCs w:val="24"/>
        </w:rPr>
        <w:t>A.</w:t>
      </w:r>
      <w:r w:rsidRPr="004A540D" w:rsidR="00FF4F93">
        <w:rPr>
          <w:b/>
          <w:szCs w:val="24"/>
        </w:rPr>
        <w:tab/>
      </w:r>
      <w:r w:rsidRPr="004A540D">
        <w:rPr>
          <w:b/>
          <w:szCs w:val="24"/>
        </w:rPr>
        <w:t>Justification</w:t>
      </w:r>
      <w:r w:rsidRPr="00716F81">
        <w:rPr>
          <w:b/>
          <w:szCs w:val="24"/>
        </w:rPr>
        <w:t>:</w:t>
      </w:r>
    </w:p>
    <w:p w:rsidR="007323E1" w:rsidRPr="00716F81" w:rsidP="007323E1" w14:paraId="37C691BE" w14:textId="77777777">
      <w:pPr>
        <w:rPr>
          <w:b/>
          <w:szCs w:val="24"/>
        </w:rPr>
      </w:pPr>
    </w:p>
    <w:p w:rsidR="001C29CD" w:rsidRPr="00716F81" w:rsidP="004A540D" w14:paraId="57D20A80" w14:textId="2EA74050">
      <w:pPr>
        <w:numPr>
          <w:ilvl w:val="0"/>
          <w:numId w:val="1"/>
        </w:numPr>
        <w:ind w:left="540" w:hanging="540"/>
        <w:rPr>
          <w:szCs w:val="24"/>
        </w:rPr>
      </w:pPr>
      <w:r w:rsidRPr="00716F81">
        <w:rPr>
          <w:szCs w:val="24"/>
          <w:u w:val="single"/>
        </w:rPr>
        <w:t>Public Disclosure of Network Information by Bell Operating Companies (BOCs)</w:t>
      </w:r>
      <w:r w:rsidRPr="00716F81">
        <w:rPr>
          <w:szCs w:val="24"/>
        </w:rPr>
        <w:t xml:space="preserve">.  Section 276(b)(1)(C) </w:t>
      </w:r>
      <w:r w:rsidRPr="00716F81" w:rsidR="004A511E">
        <w:rPr>
          <w:szCs w:val="24"/>
        </w:rPr>
        <w:t>of the Communications Act of 1934, as Amended (Act)</w:t>
      </w:r>
      <w:r w:rsidR="00371BFC">
        <w:rPr>
          <w:szCs w:val="24"/>
        </w:rPr>
        <w:t>,</w:t>
      </w:r>
      <w:r w:rsidRPr="00716F81" w:rsidR="004A511E">
        <w:rPr>
          <w:szCs w:val="24"/>
        </w:rPr>
        <w:t xml:space="preserve"> </w:t>
      </w:r>
      <w:r w:rsidRPr="00716F81">
        <w:rPr>
          <w:szCs w:val="24"/>
        </w:rPr>
        <w:t xml:space="preserve">directs the </w:t>
      </w:r>
      <w:r w:rsidR="004F4A9A">
        <w:rPr>
          <w:szCs w:val="24"/>
        </w:rPr>
        <w:t xml:space="preserve">Federal Communications Commission (FCC or </w:t>
      </w:r>
      <w:r w:rsidRPr="00716F81">
        <w:rPr>
          <w:szCs w:val="24"/>
        </w:rPr>
        <w:t>Commission</w:t>
      </w:r>
      <w:r w:rsidR="004F4A9A">
        <w:rPr>
          <w:szCs w:val="24"/>
        </w:rPr>
        <w:t>)</w:t>
      </w:r>
      <w:r w:rsidRPr="00716F81">
        <w:rPr>
          <w:szCs w:val="24"/>
        </w:rPr>
        <w:t xml:space="preserve"> to “prescribe a set of nonstructural safeguards for </w:t>
      </w:r>
      <w:r w:rsidRPr="00716F81" w:rsidR="00455D82">
        <w:rPr>
          <w:szCs w:val="24"/>
        </w:rPr>
        <w:t>BOC</w:t>
      </w:r>
      <w:r w:rsidRPr="00716F81">
        <w:rPr>
          <w:szCs w:val="24"/>
        </w:rPr>
        <w:t xml:space="preserve"> payphone service to implement the provisions of paragraphs (1) and (2) of subsection (a), which safeguards shall, at a minimum, include the nonstructural safeguards equal to those adopted in the </w:t>
      </w:r>
      <w:r w:rsidRPr="004A540D">
        <w:rPr>
          <w:i/>
          <w:iCs/>
          <w:szCs w:val="24"/>
        </w:rPr>
        <w:t>Computer Inquiry – III</w:t>
      </w:r>
      <w:r w:rsidRPr="00716F81">
        <w:rPr>
          <w:szCs w:val="24"/>
        </w:rPr>
        <w:t xml:space="preserve"> (CC Docket No. 90-623) proceeding”, 47 U.S.C. </w:t>
      </w:r>
      <w:r w:rsidRPr="00716F81" w:rsidR="00604A9B">
        <w:rPr>
          <w:szCs w:val="24"/>
        </w:rPr>
        <w:t>§ </w:t>
      </w:r>
      <w:r w:rsidRPr="00716F81">
        <w:rPr>
          <w:szCs w:val="24"/>
        </w:rPr>
        <w:t>276 (</w:t>
      </w:r>
      <w:r w:rsidRPr="00716F81" w:rsidR="00C624D5">
        <w:rPr>
          <w:szCs w:val="24"/>
        </w:rPr>
        <w:t>b</w:t>
      </w:r>
      <w:r w:rsidRPr="00716F81">
        <w:rPr>
          <w:szCs w:val="24"/>
        </w:rPr>
        <w:t>)(</w:t>
      </w:r>
      <w:r w:rsidRPr="00716F81" w:rsidR="00C624D5">
        <w:rPr>
          <w:szCs w:val="24"/>
        </w:rPr>
        <w:t>1</w:t>
      </w:r>
      <w:r w:rsidRPr="00716F81">
        <w:rPr>
          <w:szCs w:val="24"/>
        </w:rPr>
        <w:t>)(C)</w:t>
      </w:r>
      <w:r w:rsidRPr="00716F81" w:rsidR="00B01AF9">
        <w:rPr>
          <w:szCs w:val="24"/>
        </w:rPr>
        <w:t xml:space="preserve">; Report and Order, FCC 96-388, 11 FCC </w:t>
      </w:r>
      <w:r w:rsidRPr="00716F81" w:rsidR="00B01AF9">
        <w:rPr>
          <w:szCs w:val="24"/>
        </w:rPr>
        <w:t>Rcd</w:t>
      </w:r>
      <w:r w:rsidRPr="00716F81" w:rsidR="00B01AF9">
        <w:rPr>
          <w:szCs w:val="24"/>
        </w:rPr>
        <w:t xml:space="preserve"> 20541 (1996)</w:t>
      </w:r>
      <w:r w:rsidRPr="00716F81" w:rsidR="00455D82">
        <w:rPr>
          <w:szCs w:val="24"/>
        </w:rPr>
        <w:t>.  The</w:t>
      </w:r>
      <w:r w:rsidRPr="00716F81" w:rsidR="00C8498B">
        <w:rPr>
          <w:szCs w:val="24"/>
        </w:rPr>
        <w:t xml:space="preserve"> </w:t>
      </w:r>
      <w:r w:rsidRPr="00716F81">
        <w:rPr>
          <w:szCs w:val="24"/>
        </w:rPr>
        <w:t>BOCs are required to publicly disclose changes in their networks or new network services</w:t>
      </w:r>
      <w:r w:rsidRPr="00716F81" w:rsidR="00B01AF9">
        <w:rPr>
          <w:szCs w:val="24"/>
        </w:rPr>
        <w:t xml:space="preserve"> to ensure that they do not discriminate in favor of their own payphones</w:t>
      </w:r>
      <w:r w:rsidRPr="00716F81" w:rsidR="00C624D5">
        <w:rPr>
          <w:szCs w:val="24"/>
        </w:rPr>
        <w:t xml:space="preserve">.  </w:t>
      </w:r>
    </w:p>
    <w:p w:rsidR="001C29CD" w:rsidRPr="00716F81" w:rsidP="007323E1" w14:paraId="2FE9C098" w14:textId="77777777">
      <w:pPr>
        <w:rPr>
          <w:szCs w:val="24"/>
        </w:rPr>
      </w:pPr>
    </w:p>
    <w:p w:rsidR="001C29CD" w:rsidRPr="00716F81" w:rsidP="00255AF2" w14:paraId="358E56DE" w14:textId="77777777">
      <w:pPr>
        <w:ind w:left="540"/>
        <w:rPr>
          <w:szCs w:val="24"/>
        </w:rPr>
      </w:pPr>
      <w:r w:rsidRPr="00716F81">
        <w:rPr>
          <w:szCs w:val="24"/>
        </w:rPr>
        <w:t xml:space="preserve">The </w:t>
      </w:r>
      <w:r w:rsidRPr="00716F81">
        <w:rPr>
          <w:i/>
          <w:iCs/>
          <w:szCs w:val="24"/>
        </w:rPr>
        <w:t>Computer III</w:t>
      </w:r>
      <w:r w:rsidRPr="00716F81">
        <w:rPr>
          <w:szCs w:val="24"/>
        </w:rPr>
        <w:t xml:space="preserve"> network information disclosure requirements specifically </w:t>
      </w:r>
      <w:r w:rsidRPr="00716F81" w:rsidR="00B45244">
        <w:rPr>
          <w:szCs w:val="24"/>
        </w:rPr>
        <w:t xml:space="preserve">state that </w:t>
      </w:r>
      <w:r w:rsidRPr="00716F81">
        <w:rPr>
          <w:szCs w:val="24"/>
        </w:rPr>
        <w:t xml:space="preserve">the disclosure </w:t>
      </w:r>
      <w:r w:rsidRPr="00716F81" w:rsidR="00B45244">
        <w:rPr>
          <w:szCs w:val="24"/>
        </w:rPr>
        <w:t xml:space="preserve">would </w:t>
      </w:r>
      <w:r w:rsidRPr="00716F81">
        <w:rPr>
          <w:szCs w:val="24"/>
        </w:rPr>
        <w:t>occur</w:t>
      </w:r>
      <w:r w:rsidRPr="00716F81" w:rsidR="007323E1">
        <w:rPr>
          <w:szCs w:val="24"/>
        </w:rPr>
        <w:t xml:space="preserve"> at two different points in time.  First, disclosure would occur at the make/buy point: when a BOC decides t</w:t>
      </w:r>
      <w:r w:rsidRPr="00716F81" w:rsidR="00C93967">
        <w:rPr>
          <w:szCs w:val="24"/>
        </w:rPr>
        <w:t xml:space="preserve">o </w:t>
      </w:r>
      <w:r w:rsidRPr="00716F81" w:rsidR="007323E1">
        <w:rPr>
          <w:szCs w:val="24"/>
        </w:rPr>
        <w:t>make for itself, or procure fr</w:t>
      </w:r>
      <w:r w:rsidRPr="00716F81" w:rsidR="006A5246">
        <w:rPr>
          <w:szCs w:val="24"/>
        </w:rPr>
        <w:t>o</w:t>
      </w:r>
      <w:r w:rsidRPr="00716F81" w:rsidR="007323E1">
        <w:rPr>
          <w:szCs w:val="24"/>
        </w:rPr>
        <w:t xml:space="preserve">m an unaffiliated entity, any product whose design affects or relies on the network interface.  Second, a BOC would publicly disclose technical information about a new service 12 months before it is introduced.  If the BOC could introduce the service within 12 months of the make/buy point, it would make a public disclosure at the make/buy point.  In no event, however, would the public disclosure occur less than six months before the introduction of the service.  </w:t>
      </w:r>
    </w:p>
    <w:p w:rsidR="001C29CD" w:rsidRPr="00716F81" w:rsidP="007323E1" w14:paraId="30A75FB6" w14:textId="77777777">
      <w:pPr>
        <w:rPr>
          <w:szCs w:val="24"/>
        </w:rPr>
      </w:pPr>
    </w:p>
    <w:p w:rsidR="007323E1" w:rsidRPr="00716F81" w:rsidP="004A540D" w14:paraId="200F9386" w14:textId="53483176">
      <w:pPr>
        <w:ind w:left="540"/>
        <w:rPr>
          <w:szCs w:val="24"/>
        </w:rPr>
      </w:pPr>
      <w:r w:rsidRPr="00716F81">
        <w:rPr>
          <w:szCs w:val="24"/>
          <w:shd w:val="clear" w:color="auto" w:fill="FFFFFF"/>
        </w:rPr>
        <w:t xml:space="preserve">While the scope and applicability of the </w:t>
      </w:r>
      <w:r w:rsidRPr="00716F81">
        <w:rPr>
          <w:i/>
          <w:iCs/>
          <w:szCs w:val="24"/>
          <w:shd w:val="clear" w:color="auto" w:fill="FFFFFF"/>
        </w:rPr>
        <w:t>Computer III</w:t>
      </w:r>
      <w:r w:rsidRPr="00716F81">
        <w:rPr>
          <w:szCs w:val="24"/>
          <w:shd w:val="clear" w:color="auto" w:fill="FFFFFF"/>
        </w:rPr>
        <w:t xml:space="preserve"> safeguards ha</w:t>
      </w:r>
      <w:r w:rsidRPr="00716F81" w:rsidR="004A511E">
        <w:rPr>
          <w:szCs w:val="24"/>
          <w:shd w:val="clear" w:color="auto" w:fill="FFFFFF"/>
        </w:rPr>
        <w:t>ve</w:t>
      </w:r>
      <w:r w:rsidRPr="00716F81">
        <w:rPr>
          <w:szCs w:val="24"/>
          <w:shd w:val="clear" w:color="auto" w:fill="FFFFFF"/>
        </w:rPr>
        <w:t xml:space="preserve"> changed with the </w:t>
      </w:r>
      <w:r w:rsidRPr="004A540D">
        <w:rPr>
          <w:szCs w:val="24"/>
        </w:rPr>
        <w:t>Commission’s</w:t>
      </w:r>
      <w:r w:rsidRPr="00716F81">
        <w:rPr>
          <w:szCs w:val="24"/>
          <w:shd w:val="clear" w:color="auto" w:fill="FFFFFF"/>
        </w:rPr>
        <w:t xml:space="preserve"> 2015 decision regarding forbearance from enforcement of the </w:t>
      </w:r>
      <w:r w:rsidRPr="00716F81">
        <w:rPr>
          <w:i/>
          <w:iCs/>
          <w:szCs w:val="24"/>
          <w:shd w:val="clear" w:color="auto" w:fill="FFFFFF"/>
        </w:rPr>
        <w:t>Computer III</w:t>
      </w:r>
      <w:r w:rsidRPr="00716F81">
        <w:rPr>
          <w:szCs w:val="24"/>
          <w:shd w:val="clear" w:color="auto" w:fill="FFFFFF"/>
        </w:rPr>
        <w:t xml:space="preserve"> requirements (</w:t>
      </w:r>
      <w:r w:rsidRPr="00716F81">
        <w:rPr>
          <w:i/>
          <w:iCs/>
          <w:szCs w:val="24"/>
          <w:shd w:val="clear" w:color="auto" w:fill="FFFFFF"/>
        </w:rPr>
        <w:t xml:space="preserve">Petition of </w:t>
      </w:r>
      <w:r w:rsidRPr="00716F81">
        <w:rPr>
          <w:i/>
          <w:iCs/>
          <w:szCs w:val="24"/>
          <w:shd w:val="clear" w:color="auto" w:fill="FFFFFF"/>
        </w:rPr>
        <w:t>USTelecom</w:t>
      </w:r>
      <w:r w:rsidRPr="00716F81">
        <w:rPr>
          <w:i/>
          <w:iCs/>
          <w:szCs w:val="24"/>
          <w:shd w:val="clear" w:color="auto" w:fill="FFFFFF"/>
        </w:rPr>
        <w:t xml:space="preserve"> for Forbearance Pursuant to 47 U.S.C. Section 160(c) from Enforcement of Obsolete ILEC Regulations that Inhibit Deployment of Next Generation Networks</w:t>
      </w:r>
      <w:r w:rsidR="00D1656E">
        <w:rPr>
          <w:i/>
          <w:iCs/>
          <w:szCs w:val="24"/>
          <w:shd w:val="clear" w:color="auto" w:fill="FFFFFF"/>
        </w:rPr>
        <w:t xml:space="preserve"> et al.</w:t>
      </w:r>
      <w:r w:rsidRPr="00716F81">
        <w:rPr>
          <w:szCs w:val="24"/>
          <w:shd w:val="clear" w:color="auto" w:fill="FFFFFF"/>
        </w:rPr>
        <w:t xml:space="preserve">, Memorandum Opinion and Order, </w:t>
      </w:r>
      <w:r w:rsidR="00D1656E">
        <w:rPr>
          <w:szCs w:val="24"/>
          <w:shd w:val="clear" w:color="auto" w:fill="FFFFFF"/>
        </w:rPr>
        <w:t xml:space="preserve">31 FCC </w:t>
      </w:r>
      <w:r w:rsidR="00D1656E">
        <w:rPr>
          <w:szCs w:val="24"/>
          <w:shd w:val="clear" w:color="auto" w:fill="FFFFFF"/>
        </w:rPr>
        <w:t>Rcd</w:t>
      </w:r>
      <w:r w:rsidR="00D1656E">
        <w:rPr>
          <w:szCs w:val="24"/>
          <w:shd w:val="clear" w:color="auto" w:fill="FFFFFF"/>
        </w:rPr>
        <w:t xml:space="preserve"> 6157</w:t>
      </w:r>
      <w:r w:rsidRPr="00716F81" w:rsidR="00CD5046">
        <w:rPr>
          <w:szCs w:val="24"/>
          <w:shd w:val="clear" w:color="auto" w:fill="FFFFFF"/>
        </w:rPr>
        <w:t xml:space="preserve"> </w:t>
      </w:r>
      <w:r w:rsidRPr="00716F81">
        <w:rPr>
          <w:szCs w:val="24"/>
          <w:shd w:val="clear" w:color="auto" w:fill="FFFFFF"/>
        </w:rPr>
        <w:t>(2015)), these are minimum requirements under section 276(b)(1)(C)</w:t>
      </w:r>
      <w:r w:rsidRPr="00716F81" w:rsidR="004A511E">
        <w:rPr>
          <w:szCs w:val="24"/>
          <w:shd w:val="clear" w:color="auto" w:fill="FFFFFF"/>
        </w:rPr>
        <w:t xml:space="preserve"> of the Act</w:t>
      </w:r>
      <w:r w:rsidRPr="00716F81">
        <w:rPr>
          <w:szCs w:val="24"/>
          <w:shd w:val="clear" w:color="auto" w:fill="FFFFFF"/>
        </w:rPr>
        <w:t xml:space="preserve">.  </w:t>
      </w:r>
      <w:r w:rsidRPr="00716F81">
        <w:rPr>
          <w:szCs w:val="24"/>
        </w:rPr>
        <w:t xml:space="preserve">Without information disclosures, the industry would be unable to ascertain whether the BOCs </w:t>
      </w:r>
      <w:r w:rsidRPr="00716F81" w:rsidR="00B01AF9">
        <w:rPr>
          <w:szCs w:val="24"/>
        </w:rPr>
        <w:t xml:space="preserve">are </w:t>
      </w:r>
      <w:r w:rsidRPr="00716F81">
        <w:rPr>
          <w:szCs w:val="24"/>
        </w:rPr>
        <w:t xml:space="preserve">designing new network services or changing network technical specifications to the advantage of their own payphones, or </w:t>
      </w:r>
      <w:r w:rsidRPr="00716F81" w:rsidR="00B01AF9">
        <w:rPr>
          <w:szCs w:val="24"/>
        </w:rPr>
        <w:t xml:space="preserve">in a manner that </w:t>
      </w:r>
      <w:r w:rsidRPr="00716F81">
        <w:rPr>
          <w:szCs w:val="24"/>
        </w:rPr>
        <w:t>might disadvantage BOC payphone competitors.</w:t>
      </w:r>
    </w:p>
    <w:p w:rsidR="00F63742" w:rsidRPr="00716F81" w:rsidP="007323E1" w14:paraId="109B3D52" w14:textId="77777777">
      <w:pPr>
        <w:rPr>
          <w:szCs w:val="24"/>
        </w:rPr>
      </w:pPr>
    </w:p>
    <w:p w:rsidR="00F63742" w:rsidRPr="00716F81" w:rsidP="004A540D" w14:paraId="2E8C2AC3" w14:textId="77777777">
      <w:pPr>
        <w:ind w:left="540"/>
        <w:rPr>
          <w:bCs/>
          <w:szCs w:val="24"/>
        </w:rPr>
      </w:pPr>
      <w:r w:rsidRPr="00716F81">
        <w:rPr>
          <w:bCs/>
          <w:szCs w:val="24"/>
        </w:rPr>
        <w:t xml:space="preserve">This </w:t>
      </w:r>
      <w:r w:rsidRPr="00C20C96">
        <w:rPr>
          <w:szCs w:val="24"/>
        </w:rPr>
        <w:t>information</w:t>
      </w:r>
      <w:r w:rsidRPr="00716F81">
        <w:rPr>
          <w:bCs/>
          <w:szCs w:val="24"/>
        </w:rPr>
        <w:t xml:space="preserve"> collection does not affect individuals or households; thus, there are no impacts under the Privacy Act.</w:t>
      </w:r>
    </w:p>
    <w:p w:rsidR="00F63742" w:rsidRPr="00716F81" w:rsidP="00F63742" w14:paraId="5251489D" w14:textId="77777777">
      <w:pPr>
        <w:rPr>
          <w:szCs w:val="24"/>
        </w:rPr>
      </w:pPr>
    </w:p>
    <w:p w:rsidR="00F63742" w:rsidRPr="00716F81" w:rsidP="004A540D" w14:paraId="135B9DB5" w14:textId="4515C4A7">
      <w:pPr>
        <w:ind w:left="540"/>
        <w:rPr>
          <w:szCs w:val="24"/>
        </w:rPr>
      </w:pPr>
      <w:r w:rsidRPr="00716F81">
        <w:rPr>
          <w:szCs w:val="24"/>
        </w:rPr>
        <w:t>This submission is being made pursuant to</w:t>
      </w:r>
      <w:r w:rsidRPr="00716F81" w:rsidR="00C8498B">
        <w:rPr>
          <w:szCs w:val="24"/>
        </w:rPr>
        <w:t xml:space="preserve"> authority contained in </w:t>
      </w:r>
      <w:hyperlink r:id="rId5" w:tgtFrame="_blank" w:history="1">
        <w:r w:rsidR="00D1656E">
          <w:rPr>
            <w:szCs w:val="24"/>
          </w:rPr>
          <w:t>section</w:t>
        </w:r>
        <w:r w:rsidR="004F4A9A">
          <w:rPr>
            <w:szCs w:val="24"/>
          </w:rPr>
          <w:t xml:space="preserve"> </w:t>
        </w:r>
        <w:r w:rsidRPr="004F4A9A" w:rsidR="004F4A9A">
          <w:rPr>
            <w:szCs w:val="24"/>
          </w:rPr>
          <w:t>276</w:t>
        </w:r>
      </w:hyperlink>
      <w:r w:rsidRPr="000C6F89" w:rsidR="004F4A9A">
        <w:rPr>
          <w:szCs w:val="24"/>
        </w:rPr>
        <w:t xml:space="preserve"> of the </w:t>
      </w:r>
      <w:r w:rsidR="004F4A9A">
        <w:rPr>
          <w:szCs w:val="24"/>
        </w:rPr>
        <w:t>Act</w:t>
      </w:r>
      <w:r w:rsidRPr="00716F81">
        <w:rPr>
          <w:szCs w:val="24"/>
        </w:rPr>
        <w:t>.</w:t>
      </w:r>
    </w:p>
    <w:p w:rsidR="007323E1" w:rsidRPr="00716F81" w:rsidP="004A540D" w14:paraId="3CBDE718" w14:textId="77777777">
      <w:pPr>
        <w:ind w:left="360"/>
        <w:rPr>
          <w:szCs w:val="24"/>
        </w:rPr>
      </w:pPr>
    </w:p>
    <w:p w:rsidR="007323E1" w:rsidRPr="00716F81" w:rsidP="004A540D" w14:paraId="5C57625A" w14:textId="6F2626C9">
      <w:pPr>
        <w:numPr>
          <w:ilvl w:val="0"/>
          <w:numId w:val="1"/>
        </w:numPr>
        <w:ind w:left="540" w:hanging="540"/>
        <w:rPr>
          <w:szCs w:val="24"/>
        </w:rPr>
      </w:pPr>
      <w:r w:rsidRPr="00716F81">
        <w:rPr>
          <w:szCs w:val="24"/>
        </w:rPr>
        <w:t>The information required by the Public Disclosure of Network Information by BOCs must be provided to third par</w:t>
      </w:r>
      <w:r w:rsidRPr="00716F81" w:rsidR="00600ED4">
        <w:rPr>
          <w:szCs w:val="24"/>
        </w:rPr>
        <w:t>ties.  All of the requirements would be used to ensure that BOCs comply with their obligations under the Act.</w:t>
      </w:r>
    </w:p>
    <w:p w:rsidR="00600ED4" w:rsidRPr="00716F81" w:rsidP="007323E1" w14:paraId="1F650059" w14:textId="77777777">
      <w:pPr>
        <w:rPr>
          <w:szCs w:val="24"/>
        </w:rPr>
      </w:pPr>
    </w:p>
    <w:p w:rsidR="00600ED4" w:rsidRPr="00716F81" w:rsidP="004A540D" w14:paraId="00CB0E28" w14:textId="59624AE3">
      <w:pPr>
        <w:numPr>
          <w:ilvl w:val="0"/>
          <w:numId w:val="1"/>
        </w:numPr>
        <w:ind w:left="540" w:hanging="540"/>
        <w:rPr>
          <w:szCs w:val="24"/>
        </w:rPr>
      </w:pPr>
      <w:r w:rsidRPr="00716F81">
        <w:rPr>
          <w:szCs w:val="24"/>
        </w:rPr>
        <w:t>Generally, there is no improved technology identified by the Commission to reduce the burden of this collection.  However, the Commission does not prohibit the use of improved technology where appropriate.</w:t>
      </w:r>
    </w:p>
    <w:p w:rsidR="00600ED4" w:rsidRPr="00716F81" w:rsidP="007323E1" w14:paraId="08EAD460" w14:textId="77777777">
      <w:pPr>
        <w:rPr>
          <w:szCs w:val="24"/>
        </w:rPr>
      </w:pPr>
    </w:p>
    <w:p w:rsidR="00600ED4" w:rsidRPr="00716F81" w:rsidP="004A540D" w14:paraId="33E21110" w14:textId="46115955">
      <w:pPr>
        <w:numPr>
          <w:ilvl w:val="0"/>
          <w:numId w:val="1"/>
        </w:numPr>
        <w:ind w:left="540" w:hanging="540"/>
        <w:rPr>
          <w:szCs w:val="24"/>
        </w:rPr>
      </w:pPr>
      <w:r w:rsidRPr="00716F81">
        <w:rPr>
          <w:szCs w:val="24"/>
        </w:rPr>
        <w:t>There is no duplication of information.  In most instances, the information sought is unique to each carrier.</w:t>
      </w:r>
    </w:p>
    <w:p w:rsidR="00600ED4" w:rsidRPr="00716F81" w:rsidP="007323E1" w14:paraId="02B55BE9" w14:textId="77777777">
      <w:pPr>
        <w:rPr>
          <w:szCs w:val="24"/>
        </w:rPr>
      </w:pPr>
    </w:p>
    <w:p w:rsidR="00600ED4" w:rsidRPr="00716F81" w:rsidP="004A540D" w14:paraId="0293A140" w14:textId="013C0FF9">
      <w:pPr>
        <w:numPr>
          <w:ilvl w:val="0"/>
          <w:numId w:val="1"/>
        </w:numPr>
        <w:ind w:left="540" w:hanging="540"/>
        <w:rPr>
          <w:szCs w:val="24"/>
        </w:rPr>
      </w:pPr>
      <w:r w:rsidRPr="00716F81">
        <w:rPr>
          <w:szCs w:val="24"/>
        </w:rPr>
        <w:t>The collection of information will not significantly impact small businesses or other small entities.</w:t>
      </w:r>
    </w:p>
    <w:p w:rsidR="00600ED4" w:rsidRPr="00716F81" w:rsidP="007323E1" w14:paraId="749DB46E" w14:textId="77777777">
      <w:pPr>
        <w:rPr>
          <w:szCs w:val="24"/>
        </w:rPr>
      </w:pPr>
    </w:p>
    <w:p w:rsidR="00600ED4" w:rsidRPr="00716F81" w:rsidP="004A540D" w14:paraId="611FE48A" w14:textId="25AAF158">
      <w:pPr>
        <w:numPr>
          <w:ilvl w:val="0"/>
          <w:numId w:val="1"/>
        </w:numPr>
        <w:ind w:left="540" w:hanging="540"/>
        <w:rPr>
          <w:szCs w:val="24"/>
        </w:rPr>
      </w:pPr>
      <w:r w:rsidRPr="00716F81">
        <w:rPr>
          <w:szCs w:val="24"/>
        </w:rPr>
        <w:t>Failing to collect the information, or collecting it less frequently</w:t>
      </w:r>
      <w:r w:rsidRPr="00716F81" w:rsidR="006A5246">
        <w:rPr>
          <w:szCs w:val="24"/>
        </w:rPr>
        <w:t>, would</w:t>
      </w:r>
      <w:r w:rsidRPr="00716F81">
        <w:rPr>
          <w:szCs w:val="24"/>
        </w:rPr>
        <w:t xml:space="preserve"> violate the language and/or intent of the Act to “promote competition among payphone service providers and promote the widespread deployment of payphone services to the benefit of t</w:t>
      </w:r>
      <w:r w:rsidRPr="00716F81" w:rsidR="00C8498B">
        <w:rPr>
          <w:szCs w:val="24"/>
        </w:rPr>
        <w:t xml:space="preserve">he general public.”  47 U.S.C. </w:t>
      </w:r>
      <w:r w:rsidRPr="00716F81" w:rsidR="00604A9B">
        <w:rPr>
          <w:szCs w:val="24"/>
        </w:rPr>
        <w:t>§ </w:t>
      </w:r>
      <w:r w:rsidRPr="00716F81">
        <w:rPr>
          <w:szCs w:val="24"/>
        </w:rPr>
        <w:t>276.</w:t>
      </w:r>
    </w:p>
    <w:p w:rsidR="00600ED4" w:rsidRPr="00716F81" w:rsidP="007323E1" w14:paraId="1F8F7766" w14:textId="77777777">
      <w:pPr>
        <w:rPr>
          <w:szCs w:val="24"/>
        </w:rPr>
      </w:pPr>
    </w:p>
    <w:p w:rsidR="00600ED4" w:rsidRPr="00716F81" w:rsidP="004A540D" w14:paraId="5DE441CB" w14:textId="3D68CC4C">
      <w:pPr>
        <w:numPr>
          <w:ilvl w:val="0"/>
          <w:numId w:val="1"/>
        </w:numPr>
        <w:ind w:left="540" w:hanging="540"/>
        <w:rPr>
          <w:szCs w:val="24"/>
        </w:rPr>
      </w:pPr>
      <w:r w:rsidRPr="00716F81">
        <w:rPr>
          <w:szCs w:val="24"/>
        </w:rPr>
        <w:t>This is a third party disclosure.  Generally, FCC requirements do not impose any obligations that would require parties to report information to the FCC more often than quarterly, nor will requirements impose any other special circumstances.</w:t>
      </w:r>
    </w:p>
    <w:p w:rsidR="00600ED4" w:rsidRPr="00716F81" w:rsidP="007323E1" w14:paraId="18BCFC5D" w14:textId="77777777">
      <w:pPr>
        <w:rPr>
          <w:szCs w:val="24"/>
        </w:rPr>
      </w:pPr>
    </w:p>
    <w:p w:rsidR="00600ED4" w:rsidRPr="00716F81" w:rsidP="004A540D" w14:paraId="5FF37D09" w14:textId="5434A03C">
      <w:pPr>
        <w:numPr>
          <w:ilvl w:val="0"/>
          <w:numId w:val="1"/>
        </w:numPr>
        <w:ind w:left="540" w:hanging="540"/>
        <w:rPr>
          <w:szCs w:val="24"/>
        </w:rPr>
      </w:pPr>
      <w:r w:rsidRPr="00716F81">
        <w:rPr>
          <w:szCs w:val="24"/>
        </w:rPr>
        <w:t xml:space="preserve">Pursuant to 5 CFR </w:t>
      </w:r>
      <w:r w:rsidRPr="00716F81" w:rsidR="00604A9B">
        <w:rPr>
          <w:szCs w:val="24"/>
        </w:rPr>
        <w:t>§ </w:t>
      </w:r>
      <w:r w:rsidRPr="00716F81">
        <w:rPr>
          <w:szCs w:val="24"/>
        </w:rPr>
        <w:t xml:space="preserve">1320.8, the Commission </w:t>
      </w:r>
      <w:r w:rsidRPr="00716F81" w:rsidR="00C8498B">
        <w:rPr>
          <w:szCs w:val="24"/>
        </w:rPr>
        <w:t>published a</w:t>
      </w:r>
      <w:r w:rsidRPr="00716F81" w:rsidR="00F63742">
        <w:rPr>
          <w:szCs w:val="24"/>
        </w:rPr>
        <w:t xml:space="preserve"> notice in the F</w:t>
      </w:r>
      <w:r w:rsidRPr="00716F81" w:rsidR="001C29CD">
        <w:rPr>
          <w:szCs w:val="24"/>
        </w:rPr>
        <w:t xml:space="preserve">ederal </w:t>
      </w:r>
      <w:r w:rsidRPr="00716F81" w:rsidR="00F63742">
        <w:rPr>
          <w:szCs w:val="24"/>
        </w:rPr>
        <w:t>R</w:t>
      </w:r>
      <w:r w:rsidRPr="00716F81" w:rsidR="001C29CD">
        <w:rPr>
          <w:szCs w:val="24"/>
        </w:rPr>
        <w:t>egister soliciting public comment on this information collection</w:t>
      </w:r>
      <w:r w:rsidRPr="00716F81" w:rsidR="00C8498B">
        <w:rPr>
          <w:szCs w:val="24"/>
        </w:rPr>
        <w:t xml:space="preserve"> on</w:t>
      </w:r>
      <w:r w:rsidRPr="00716F81" w:rsidR="002B5455">
        <w:rPr>
          <w:szCs w:val="24"/>
        </w:rPr>
        <w:t xml:space="preserve"> </w:t>
      </w:r>
      <w:r w:rsidR="00EA4112">
        <w:rPr>
          <w:szCs w:val="24"/>
        </w:rPr>
        <w:t>April 16,</w:t>
      </w:r>
      <w:r w:rsidR="00B16C41">
        <w:rPr>
          <w:szCs w:val="24"/>
        </w:rPr>
        <w:t xml:space="preserve"> 2026 </w:t>
      </w:r>
      <w:r w:rsidRPr="00716F81" w:rsidR="00774AE3">
        <w:rPr>
          <w:szCs w:val="24"/>
        </w:rPr>
        <w:t xml:space="preserve"> (</w:t>
      </w:r>
      <w:r w:rsidR="00EA4112">
        <w:rPr>
          <w:szCs w:val="24"/>
        </w:rPr>
        <w:t>91</w:t>
      </w:r>
      <w:r w:rsidRPr="00716F81" w:rsidR="00774AE3">
        <w:rPr>
          <w:szCs w:val="24"/>
        </w:rPr>
        <w:t xml:space="preserve"> FR </w:t>
      </w:r>
      <w:r w:rsidR="00EA4112">
        <w:rPr>
          <w:szCs w:val="24"/>
        </w:rPr>
        <w:t>20431</w:t>
      </w:r>
      <w:r w:rsidRPr="00716F81" w:rsidR="00774AE3">
        <w:rPr>
          <w:szCs w:val="24"/>
        </w:rPr>
        <w:t>)</w:t>
      </w:r>
      <w:r w:rsidRPr="00716F81" w:rsidR="00C8498B">
        <w:rPr>
          <w:szCs w:val="24"/>
        </w:rPr>
        <w:t xml:space="preserve">. </w:t>
      </w:r>
      <w:r w:rsidRPr="00716F81" w:rsidR="0067106E">
        <w:rPr>
          <w:szCs w:val="24"/>
        </w:rPr>
        <w:t xml:space="preserve"> No </w:t>
      </w:r>
      <w:r w:rsidRPr="00716F81" w:rsidR="00C8498B">
        <w:rPr>
          <w:szCs w:val="24"/>
        </w:rPr>
        <w:t xml:space="preserve">PRA </w:t>
      </w:r>
      <w:r w:rsidRPr="00716F81" w:rsidR="0067106E">
        <w:rPr>
          <w:szCs w:val="24"/>
        </w:rPr>
        <w:t>comments were received.</w:t>
      </w:r>
    </w:p>
    <w:p w:rsidR="0067106E" w:rsidRPr="00716F81" w:rsidP="007323E1" w14:paraId="1B109E49" w14:textId="77777777">
      <w:pPr>
        <w:rPr>
          <w:szCs w:val="24"/>
        </w:rPr>
      </w:pPr>
    </w:p>
    <w:p w:rsidR="0067106E" w:rsidRPr="00716F81" w:rsidP="004A540D" w14:paraId="67950C17" w14:textId="6083069A">
      <w:pPr>
        <w:numPr>
          <w:ilvl w:val="0"/>
          <w:numId w:val="1"/>
        </w:numPr>
        <w:ind w:left="540" w:hanging="540"/>
        <w:rPr>
          <w:szCs w:val="24"/>
        </w:rPr>
      </w:pPr>
      <w:r w:rsidRPr="00716F81">
        <w:rPr>
          <w:szCs w:val="24"/>
        </w:rPr>
        <w:t>The Commission does not anticipate</w:t>
      </w:r>
      <w:r w:rsidRPr="00716F81" w:rsidR="00B92B40">
        <w:rPr>
          <w:szCs w:val="24"/>
        </w:rPr>
        <w:t xml:space="preserve"> providing any payment or gift to respondents.</w:t>
      </w:r>
    </w:p>
    <w:p w:rsidR="00B92B40" w:rsidRPr="00716F81" w:rsidP="007323E1" w14:paraId="5BFDC9B0" w14:textId="77777777">
      <w:pPr>
        <w:rPr>
          <w:szCs w:val="24"/>
        </w:rPr>
      </w:pPr>
    </w:p>
    <w:p w:rsidR="00B92B40" w:rsidRPr="00716F81" w:rsidP="004A540D" w14:paraId="322F3E07" w14:textId="1314C462">
      <w:pPr>
        <w:numPr>
          <w:ilvl w:val="0"/>
          <w:numId w:val="1"/>
        </w:numPr>
        <w:ind w:left="540" w:hanging="540"/>
        <w:rPr>
          <w:szCs w:val="24"/>
        </w:rPr>
      </w:pPr>
      <w:r w:rsidRPr="00716F81">
        <w:rPr>
          <w:szCs w:val="24"/>
        </w:rPr>
        <w:t>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B92B40" w:rsidRPr="00716F81" w:rsidP="007323E1" w14:paraId="596B6B42" w14:textId="77777777">
      <w:pPr>
        <w:rPr>
          <w:szCs w:val="24"/>
        </w:rPr>
      </w:pPr>
    </w:p>
    <w:p w:rsidR="00B92B40" w:rsidRPr="00716F81" w:rsidP="004A540D" w14:paraId="08FE9F38" w14:textId="6062F558">
      <w:pPr>
        <w:numPr>
          <w:ilvl w:val="0"/>
          <w:numId w:val="1"/>
        </w:numPr>
        <w:ind w:left="540" w:hanging="540"/>
        <w:rPr>
          <w:szCs w:val="24"/>
        </w:rPr>
      </w:pPr>
      <w:r w:rsidRPr="00716F81">
        <w:rPr>
          <w:szCs w:val="24"/>
        </w:rPr>
        <w:t>There are no questions of a sensitive nature with respect to the information collected.</w:t>
      </w:r>
    </w:p>
    <w:p w:rsidR="00B92B40" w:rsidRPr="00716F81" w:rsidP="007323E1" w14:paraId="2B2ECB76" w14:textId="77777777">
      <w:pPr>
        <w:rPr>
          <w:szCs w:val="24"/>
        </w:rPr>
      </w:pPr>
    </w:p>
    <w:p w:rsidR="00B92B40" w:rsidP="004A540D" w14:paraId="3D403679" w14:textId="4D5A0FE7">
      <w:pPr>
        <w:numPr>
          <w:ilvl w:val="0"/>
          <w:numId w:val="1"/>
        </w:numPr>
        <w:ind w:left="540" w:hanging="540"/>
        <w:rPr>
          <w:szCs w:val="24"/>
        </w:rPr>
      </w:pPr>
      <w:r w:rsidRPr="00716F81">
        <w:rPr>
          <w:szCs w:val="24"/>
        </w:rPr>
        <w:t>The following represents the estimate of hour burden of the collection of information:</w:t>
      </w:r>
    </w:p>
    <w:p w:rsidR="001B2690" w:rsidRPr="00716F81" w:rsidP="001B2690" w14:paraId="49016BE3" w14:textId="77777777">
      <w:pPr>
        <w:rPr>
          <w:szCs w:val="24"/>
        </w:rPr>
      </w:pPr>
    </w:p>
    <w:p w:rsidR="007B5D11" w:rsidP="007323E1" w14:paraId="2BC4ABA1" w14:textId="2EE250C2">
      <w:pPr>
        <w:rPr>
          <w:b/>
          <w:szCs w:val="24"/>
        </w:rPr>
      </w:pPr>
      <w:r w:rsidRPr="00716F81">
        <w:rPr>
          <w:szCs w:val="24"/>
        </w:rPr>
        <w:tab/>
      </w:r>
      <w:r w:rsidRPr="004A540D" w:rsidR="006A5246">
        <w:rPr>
          <w:szCs w:val="24"/>
          <w:u w:val="single"/>
        </w:rPr>
        <w:t>Number of respondents</w:t>
      </w:r>
      <w:r w:rsidRPr="00004780" w:rsidR="006A5246">
        <w:rPr>
          <w:szCs w:val="24"/>
        </w:rPr>
        <w:t>:</w:t>
      </w:r>
      <w:r w:rsidRPr="00716F81" w:rsidR="006A5246">
        <w:rPr>
          <w:szCs w:val="24"/>
        </w:rPr>
        <w:t xml:space="preserve"> </w:t>
      </w:r>
      <w:r w:rsidRPr="00004780" w:rsidR="006A5246">
        <w:rPr>
          <w:b/>
          <w:szCs w:val="24"/>
        </w:rPr>
        <w:t>3</w:t>
      </w:r>
      <w:r w:rsidRPr="00716F81" w:rsidR="00C8498B">
        <w:rPr>
          <w:b/>
          <w:szCs w:val="24"/>
        </w:rPr>
        <w:t xml:space="preserve">    </w:t>
      </w:r>
    </w:p>
    <w:p w:rsidR="00B92B40" w:rsidRPr="00716F81" w:rsidP="004A540D" w14:paraId="63769A2B" w14:textId="3B40E790">
      <w:pPr>
        <w:ind w:firstLine="720"/>
        <w:rPr>
          <w:b/>
          <w:szCs w:val="24"/>
        </w:rPr>
      </w:pPr>
      <w:r w:rsidRPr="004A540D">
        <w:rPr>
          <w:szCs w:val="24"/>
          <w:u w:val="single"/>
        </w:rPr>
        <w:t>Number of responses</w:t>
      </w:r>
      <w:r w:rsidRPr="00004780">
        <w:rPr>
          <w:szCs w:val="24"/>
        </w:rPr>
        <w:t>:</w:t>
      </w:r>
      <w:r w:rsidRPr="00716F81">
        <w:rPr>
          <w:szCs w:val="24"/>
        </w:rPr>
        <w:t xml:space="preserve">  </w:t>
      </w:r>
      <w:r w:rsidRPr="00004780">
        <w:rPr>
          <w:b/>
          <w:szCs w:val="24"/>
        </w:rPr>
        <w:t>3</w:t>
      </w:r>
    </w:p>
    <w:p w:rsidR="00B92B40" w:rsidRPr="00716F81" w:rsidP="004A540D" w14:paraId="58055822" w14:textId="0257E12F">
      <w:pPr>
        <w:ind w:left="720" w:hanging="450"/>
        <w:rPr>
          <w:szCs w:val="24"/>
        </w:rPr>
      </w:pPr>
      <w:r w:rsidRPr="00716F81">
        <w:rPr>
          <w:szCs w:val="24"/>
        </w:rPr>
        <w:tab/>
      </w:r>
      <w:r w:rsidRPr="004A540D">
        <w:rPr>
          <w:szCs w:val="24"/>
          <w:u w:val="single"/>
        </w:rPr>
        <w:t>Frequency of response</w:t>
      </w:r>
      <w:r w:rsidRPr="00716F81">
        <w:rPr>
          <w:szCs w:val="24"/>
        </w:rPr>
        <w:t>:</w:t>
      </w:r>
      <w:r w:rsidRPr="00716F81" w:rsidR="0081316C">
        <w:rPr>
          <w:szCs w:val="24"/>
        </w:rPr>
        <w:t xml:space="preserve"> </w:t>
      </w:r>
      <w:r w:rsidRPr="00716F81">
        <w:rPr>
          <w:szCs w:val="24"/>
        </w:rPr>
        <w:t xml:space="preserve"> On occasion</w:t>
      </w:r>
      <w:r w:rsidRPr="00716F81" w:rsidR="001C29CD">
        <w:rPr>
          <w:szCs w:val="24"/>
        </w:rPr>
        <w:t xml:space="preserve"> reporting requirement</w:t>
      </w:r>
      <w:r w:rsidRPr="00716F81" w:rsidR="00502BF5">
        <w:rPr>
          <w:szCs w:val="24"/>
        </w:rPr>
        <w:t xml:space="preserve"> and t</w:t>
      </w:r>
      <w:r w:rsidRPr="00716F81">
        <w:rPr>
          <w:szCs w:val="24"/>
        </w:rPr>
        <w:t>hird party disclosure</w:t>
      </w:r>
      <w:r w:rsidRPr="00716F81" w:rsidR="00502BF5">
        <w:rPr>
          <w:szCs w:val="24"/>
        </w:rPr>
        <w:t xml:space="preserve"> requirement</w:t>
      </w:r>
      <w:r w:rsidRPr="00716F81">
        <w:rPr>
          <w:szCs w:val="24"/>
        </w:rPr>
        <w:t>.</w:t>
      </w:r>
    </w:p>
    <w:p w:rsidR="007B5D11" w:rsidP="007323E1" w14:paraId="603D30DF" w14:textId="440044EC">
      <w:pPr>
        <w:rPr>
          <w:szCs w:val="24"/>
        </w:rPr>
      </w:pPr>
      <w:r w:rsidRPr="00716F81">
        <w:rPr>
          <w:szCs w:val="24"/>
        </w:rPr>
        <w:tab/>
      </w:r>
      <w:r w:rsidRPr="004A540D" w:rsidR="006A5246">
        <w:rPr>
          <w:szCs w:val="24"/>
          <w:u w:val="single"/>
        </w:rPr>
        <w:t>Annual</w:t>
      </w:r>
      <w:r w:rsidRPr="004A540D" w:rsidR="00B92B40">
        <w:rPr>
          <w:szCs w:val="24"/>
          <w:u w:val="single"/>
        </w:rPr>
        <w:t xml:space="preserve"> burden per respondent</w:t>
      </w:r>
      <w:r w:rsidRPr="00716F81" w:rsidR="00B92B40">
        <w:rPr>
          <w:szCs w:val="24"/>
        </w:rPr>
        <w:t xml:space="preserve">:  </w:t>
      </w:r>
      <w:r w:rsidRPr="004A540D" w:rsidR="001E2FEF">
        <w:rPr>
          <w:b/>
          <w:bCs/>
          <w:szCs w:val="24"/>
        </w:rPr>
        <w:t>20</w:t>
      </w:r>
      <w:r w:rsidRPr="004A540D" w:rsidR="00B92B40">
        <w:rPr>
          <w:b/>
          <w:bCs/>
          <w:szCs w:val="24"/>
        </w:rPr>
        <w:t xml:space="preserve"> hours</w:t>
      </w:r>
      <w:r w:rsidRPr="00716F81" w:rsidR="00B92B40">
        <w:rPr>
          <w:szCs w:val="24"/>
        </w:rPr>
        <w:t xml:space="preserve">  </w:t>
      </w:r>
    </w:p>
    <w:p w:rsidR="00B92B40" w:rsidRPr="00716F81" w:rsidP="004A540D" w14:paraId="6012FB7F" w14:textId="74C1A903">
      <w:pPr>
        <w:ind w:firstLine="720"/>
        <w:rPr>
          <w:szCs w:val="24"/>
        </w:rPr>
      </w:pPr>
      <w:r w:rsidRPr="004A540D">
        <w:rPr>
          <w:szCs w:val="24"/>
          <w:u w:val="single"/>
        </w:rPr>
        <w:t>Total annual hour burden</w:t>
      </w:r>
      <w:r w:rsidR="00004780">
        <w:rPr>
          <w:szCs w:val="24"/>
        </w:rPr>
        <w:t xml:space="preserve">: </w:t>
      </w:r>
      <w:r w:rsidRPr="00716F81">
        <w:rPr>
          <w:szCs w:val="24"/>
        </w:rPr>
        <w:t xml:space="preserve"> </w:t>
      </w:r>
      <w:r w:rsidRPr="00716F81" w:rsidR="001E2FEF">
        <w:rPr>
          <w:b/>
          <w:bCs/>
          <w:szCs w:val="24"/>
        </w:rPr>
        <w:t>60</w:t>
      </w:r>
      <w:r w:rsidRPr="00716F81" w:rsidR="00502BF5">
        <w:rPr>
          <w:b/>
          <w:szCs w:val="24"/>
        </w:rPr>
        <w:t xml:space="preserve"> hours</w:t>
      </w:r>
    </w:p>
    <w:p w:rsidR="00B92B40" w:rsidRPr="00716F81" w:rsidP="007323E1" w14:paraId="53472D99" w14:textId="01F3F2C5">
      <w:pPr>
        <w:rPr>
          <w:szCs w:val="24"/>
        </w:rPr>
      </w:pPr>
      <w:r w:rsidRPr="00716F81">
        <w:rPr>
          <w:szCs w:val="24"/>
        </w:rPr>
        <w:tab/>
      </w:r>
      <w:r w:rsidRPr="004A540D">
        <w:rPr>
          <w:szCs w:val="24"/>
          <w:u w:val="single"/>
        </w:rPr>
        <w:t xml:space="preserve">Total estimate of </w:t>
      </w:r>
      <w:r w:rsidRPr="004A540D" w:rsidR="00ED4A80">
        <w:rPr>
          <w:szCs w:val="24"/>
          <w:u w:val="single"/>
        </w:rPr>
        <w:t xml:space="preserve">in-house </w:t>
      </w:r>
      <w:r w:rsidRPr="004A540D">
        <w:rPr>
          <w:szCs w:val="24"/>
          <w:u w:val="single"/>
        </w:rPr>
        <w:t>cost to respondents</w:t>
      </w:r>
      <w:r w:rsidR="00004780">
        <w:rPr>
          <w:szCs w:val="24"/>
        </w:rPr>
        <w:t>:</w:t>
      </w:r>
      <w:r w:rsidRPr="00716F81">
        <w:rPr>
          <w:szCs w:val="24"/>
        </w:rPr>
        <w:t xml:space="preserve"> </w:t>
      </w:r>
      <w:r w:rsidR="00AE1D37">
        <w:rPr>
          <w:szCs w:val="24"/>
        </w:rPr>
        <w:t xml:space="preserve"> </w:t>
      </w:r>
      <w:r w:rsidRPr="00716F81" w:rsidR="004A511E">
        <w:rPr>
          <w:b/>
          <w:bCs/>
          <w:szCs w:val="24"/>
        </w:rPr>
        <w:t>$</w:t>
      </w:r>
      <w:r w:rsidR="00675DCA">
        <w:rPr>
          <w:b/>
          <w:bCs/>
          <w:szCs w:val="24"/>
        </w:rPr>
        <w:t>2,</w:t>
      </w:r>
      <w:r w:rsidR="00884A3E">
        <w:rPr>
          <w:b/>
          <w:bCs/>
          <w:szCs w:val="24"/>
        </w:rPr>
        <w:t>743</w:t>
      </w:r>
      <w:r w:rsidRPr="00716F81">
        <w:rPr>
          <w:szCs w:val="24"/>
        </w:rPr>
        <w:t>.</w:t>
      </w:r>
    </w:p>
    <w:p w:rsidR="00D91337" w:rsidP="007323E1" w14:paraId="08267343" w14:textId="77777777">
      <w:pPr>
        <w:rPr>
          <w:szCs w:val="24"/>
        </w:rPr>
      </w:pPr>
      <w:r w:rsidRPr="00716F81">
        <w:rPr>
          <w:szCs w:val="24"/>
        </w:rPr>
        <w:tab/>
      </w:r>
    </w:p>
    <w:p w:rsidR="00D961CD" w:rsidP="007323E1" w14:paraId="3E878C0F" w14:textId="62612399">
      <w:pPr>
        <w:rPr>
          <w:szCs w:val="24"/>
        </w:rPr>
      </w:pPr>
      <w:r w:rsidRPr="004A540D">
        <w:rPr>
          <w:b/>
          <w:bCs/>
          <w:szCs w:val="24"/>
        </w:rPr>
        <w:t>Explanation of calculation:</w:t>
      </w:r>
      <w:r w:rsidRPr="00716F81">
        <w:rPr>
          <w:szCs w:val="24"/>
        </w:rPr>
        <w:t xml:space="preserve">  We estimate that this </w:t>
      </w:r>
      <w:r w:rsidRPr="00716F81" w:rsidR="004A511E">
        <w:rPr>
          <w:szCs w:val="24"/>
        </w:rPr>
        <w:t>occasion</w:t>
      </w:r>
      <w:r w:rsidR="004F4A9A">
        <w:rPr>
          <w:szCs w:val="24"/>
        </w:rPr>
        <w:t>al</w:t>
      </w:r>
      <w:r w:rsidRPr="00716F81" w:rsidR="004A511E">
        <w:rPr>
          <w:szCs w:val="24"/>
        </w:rPr>
        <w:t xml:space="preserve"> and infrequent </w:t>
      </w:r>
      <w:r w:rsidRPr="00716F81">
        <w:rPr>
          <w:szCs w:val="24"/>
        </w:rPr>
        <w:t xml:space="preserve">obligation will take approximately </w:t>
      </w:r>
      <w:r w:rsidRPr="00716F81" w:rsidR="00836743">
        <w:rPr>
          <w:szCs w:val="24"/>
        </w:rPr>
        <w:t>10</w:t>
      </w:r>
      <w:r w:rsidRPr="00716F81">
        <w:rPr>
          <w:szCs w:val="24"/>
        </w:rPr>
        <w:t xml:space="preserve"> hours of clerical time</w:t>
      </w:r>
      <w:r w:rsidRPr="00716F81" w:rsidR="000A2FB0">
        <w:rPr>
          <w:szCs w:val="24"/>
        </w:rPr>
        <w:t xml:space="preserve">, using personnel comparable in pay to a </w:t>
      </w:r>
      <w:r w:rsidRPr="00716F81" w:rsidR="00BE1F98">
        <w:rPr>
          <w:szCs w:val="24"/>
        </w:rPr>
        <w:t>GS</w:t>
      </w:r>
      <w:r w:rsidR="005E4B54">
        <w:rPr>
          <w:szCs w:val="24"/>
        </w:rPr>
        <w:t>-</w:t>
      </w:r>
      <w:r w:rsidRPr="00716F81" w:rsidR="00BE1F98">
        <w:rPr>
          <w:szCs w:val="24"/>
        </w:rPr>
        <w:t>5/</w:t>
      </w:r>
      <w:r w:rsidR="005E4B54">
        <w:rPr>
          <w:szCs w:val="24"/>
        </w:rPr>
        <w:t xml:space="preserve">Step </w:t>
      </w:r>
      <w:r w:rsidRPr="00716F81" w:rsidR="00BE1F98">
        <w:rPr>
          <w:szCs w:val="24"/>
        </w:rPr>
        <w:t>5</w:t>
      </w:r>
      <w:r w:rsidRPr="00716F81" w:rsidR="000A2FB0">
        <w:rPr>
          <w:szCs w:val="24"/>
        </w:rPr>
        <w:t xml:space="preserve"> Federal employee</w:t>
      </w:r>
      <w:r w:rsidR="005E4B54">
        <w:rPr>
          <w:szCs w:val="24"/>
        </w:rPr>
        <w:t>,</w:t>
      </w:r>
      <w:r w:rsidRPr="00716F81">
        <w:rPr>
          <w:szCs w:val="24"/>
        </w:rPr>
        <w:t xml:space="preserve"> at </w:t>
      </w:r>
      <w:r w:rsidRPr="004A540D">
        <w:rPr>
          <w:b/>
          <w:bCs/>
          <w:szCs w:val="24"/>
        </w:rPr>
        <w:t>$</w:t>
      </w:r>
      <w:r w:rsidR="00D35F29">
        <w:rPr>
          <w:b/>
          <w:bCs/>
          <w:szCs w:val="24"/>
        </w:rPr>
        <w:t>25.31</w:t>
      </w:r>
      <w:r w:rsidRPr="00EA4112" w:rsidR="00D35F29">
        <w:rPr>
          <w:b/>
        </w:rPr>
        <w:t xml:space="preserve"> </w:t>
      </w:r>
      <w:r w:rsidRPr="00716F81">
        <w:rPr>
          <w:szCs w:val="24"/>
        </w:rPr>
        <w:t>per hour</w:t>
      </w:r>
      <w:r w:rsidR="005E4B54">
        <w:rPr>
          <w:szCs w:val="24"/>
        </w:rPr>
        <w:t>;</w:t>
      </w:r>
      <w:r w:rsidRPr="00716F81" w:rsidR="008F4EC7">
        <w:rPr>
          <w:szCs w:val="24"/>
        </w:rPr>
        <w:t xml:space="preserve"> </w:t>
      </w:r>
      <w:r w:rsidRPr="00716F81">
        <w:rPr>
          <w:szCs w:val="24"/>
        </w:rPr>
        <w:t xml:space="preserve">and </w:t>
      </w:r>
      <w:r w:rsidRPr="00716F81" w:rsidR="00836743">
        <w:rPr>
          <w:szCs w:val="24"/>
        </w:rPr>
        <w:t>10</w:t>
      </w:r>
      <w:r w:rsidRPr="00716F81">
        <w:rPr>
          <w:szCs w:val="24"/>
        </w:rPr>
        <w:t xml:space="preserve"> hours of professional time</w:t>
      </w:r>
      <w:r w:rsidRPr="00716F81" w:rsidR="000A2FB0">
        <w:rPr>
          <w:szCs w:val="24"/>
        </w:rPr>
        <w:t xml:space="preserve">, using personnel </w:t>
      </w:r>
      <w:r w:rsidRPr="00716F81" w:rsidR="000A2FB0">
        <w:rPr>
          <w:szCs w:val="24"/>
        </w:rPr>
        <w:t xml:space="preserve">comparable in </w:t>
      </w:r>
      <w:r w:rsidRPr="00716F81" w:rsidR="008F4EC7">
        <w:rPr>
          <w:szCs w:val="24"/>
        </w:rPr>
        <w:t>pay to a</w:t>
      </w:r>
      <w:r w:rsidRPr="00716F81" w:rsidR="00BE1F98">
        <w:rPr>
          <w:szCs w:val="24"/>
        </w:rPr>
        <w:t xml:space="preserve"> </w:t>
      </w:r>
      <w:r w:rsidRPr="009A0A29" w:rsidR="007F591C">
        <w:rPr>
          <w:spacing w:val="-3"/>
          <w:szCs w:val="24"/>
          <w:shd w:val="clear" w:color="auto" w:fill="FFFFFF"/>
        </w:rPr>
        <w:t>GS-1</w:t>
      </w:r>
      <w:r w:rsidR="005E4B54">
        <w:rPr>
          <w:spacing w:val="-3"/>
          <w:szCs w:val="24"/>
          <w:shd w:val="clear" w:color="auto" w:fill="FFFFFF"/>
        </w:rPr>
        <w:t>3</w:t>
      </w:r>
      <w:r w:rsidRPr="009A0A29" w:rsidR="007F591C">
        <w:rPr>
          <w:spacing w:val="-3"/>
          <w:szCs w:val="24"/>
          <w:shd w:val="clear" w:color="auto" w:fill="FFFFFF"/>
        </w:rPr>
        <w:t xml:space="preserve">/Step </w:t>
      </w:r>
      <w:r w:rsidR="007F591C">
        <w:rPr>
          <w:spacing w:val="-3"/>
          <w:szCs w:val="24"/>
          <w:shd w:val="clear" w:color="auto" w:fill="FFFFFF"/>
        </w:rPr>
        <w:t xml:space="preserve">5 </w:t>
      </w:r>
      <w:r w:rsidRPr="00716F81" w:rsidR="008F4EC7">
        <w:rPr>
          <w:szCs w:val="24"/>
        </w:rPr>
        <w:t>Federal employee</w:t>
      </w:r>
      <w:r w:rsidR="005E4B54">
        <w:rPr>
          <w:szCs w:val="24"/>
        </w:rPr>
        <w:t>,</w:t>
      </w:r>
      <w:r w:rsidRPr="00716F81" w:rsidR="008F4EC7">
        <w:rPr>
          <w:szCs w:val="24"/>
        </w:rPr>
        <w:t xml:space="preserve"> </w:t>
      </w:r>
      <w:r w:rsidRPr="00716F81">
        <w:rPr>
          <w:szCs w:val="24"/>
        </w:rPr>
        <w:t xml:space="preserve">at </w:t>
      </w:r>
      <w:r w:rsidRPr="004A540D">
        <w:rPr>
          <w:b/>
          <w:bCs/>
          <w:szCs w:val="24"/>
        </w:rPr>
        <w:t>$</w:t>
      </w:r>
      <w:r w:rsidRPr="004A540D" w:rsidR="00B40444">
        <w:rPr>
          <w:b/>
          <w:bCs/>
          <w:szCs w:val="24"/>
        </w:rPr>
        <w:t>6</w:t>
      </w:r>
      <w:r w:rsidR="00D35F29">
        <w:rPr>
          <w:b/>
          <w:bCs/>
          <w:szCs w:val="24"/>
        </w:rPr>
        <w:t>6.14</w:t>
      </w:r>
      <w:r w:rsidRPr="00716F81">
        <w:rPr>
          <w:szCs w:val="24"/>
        </w:rPr>
        <w:t xml:space="preserve"> per hour</w:t>
      </w:r>
      <w:r w:rsidR="00D102B8">
        <w:rPr>
          <w:szCs w:val="24"/>
        </w:rPr>
        <w:t>;</w:t>
      </w:r>
      <w:r w:rsidRPr="00716F81">
        <w:rPr>
          <w:szCs w:val="24"/>
        </w:rPr>
        <w:t xml:space="preserve"> and will occur occasionally for </w:t>
      </w:r>
      <w:r w:rsidRPr="00716F81" w:rsidR="006A5246">
        <w:rPr>
          <w:szCs w:val="24"/>
        </w:rPr>
        <w:t>3</w:t>
      </w:r>
      <w:r w:rsidRPr="00716F81">
        <w:rPr>
          <w:szCs w:val="24"/>
        </w:rPr>
        <w:t xml:space="preserve"> respondents.  </w:t>
      </w:r>
    </w:p>
    <w:p w:rsidR="005E4B54" w:rsidP="007323E1" w14:paraId="4D22AAFC" w14:textId="77777777">
      <w:pPr>
        <w:rPr>
          <w:szCs w:val="24"/>
        </w:rPr>
      </w:pPr>
    </w:p>
    <w:p w:rsidR="007B5D11" w:rsidP="007323E1" w14:paraId="03EA1EFF" w14:textId="69EE1E52">
      <w:pPr>
        <w:rPr>
          <w:szCs w:val="24"/>
        </w:rPr>
      </w:pPr>
      <w:r w:rsidRPr="00716F81">
        <w:rPr>
          <w:szCs w:val="24"/>
        </w:rPr>
        <w:t>3</w:t>
      </w:r>
      <w:r w:rsidRPr="00716F81" w:rsidR="00B92B40">
        <w:rPr>
          <w:szCs w:val="24"/>
        </w:rPr>
        <w:t xml:space="preserve"> (number of respondents) x 1 (number of submissions required) x </w:t>
      </w:r>
      <w:r w:rsidRPr="00716F81" w:rsidR="00836743">
        <w:rPr>
          <w:szCs w:val="24"/>
        </w:rPr>
        <w:t>10</w:t>
      </w:r>
      <w:r w:rsidRPr="00716F81" w:rsidR="00B92B40">
        <w:rPr>
          <w:szCs w:val="24"/>
        </w:rPr>
        <w:t xml:space="preserve"> (hours of professional time) x $</w:t>
      </w:r>
      <w:r w:rsidR="00B40444">
        <w:rPr>
          <w:szCs w:val="24"/>
        </w:rPr>
        <w:t>6</w:t>
      </w:r>
      <w:r w:rsidR="00D35F29">
        <w:rPr>
          <w:szCs w:val="24"/>
        </w:rPr>
        <w:t>6.14</w:t>
      </w:r>
      <w:r w:rsidRPr="00716F81" w:rsidR="00B92B40">
        <w:rPr>
          <w:szCs w:val="24"/>
        </w:rPr>
        <w:t xml:space="preserve"> = </w:t>
      </w:r>
      <w:r w:rsidRPr="00716F81" w:rsidR="00836743">
        <w:rPr>
          <w:szCs w:val="24"/>
        </w:rPr>
        <w:t>$</w:t>
      </w:r>
      <w:r w:rsidR="00B40444">
        <w:rPr>
          <w:szCs w:val="24"/>
        </w:rPr>
        <w:t>1,</w:t>
      </w:r>
      <w:r w:rsidR="00884A3E">
        <w:rPr>
          <w:szCs w:val="24"/>
        </w:rPr>
        <w:t>984</w:t>
      </w:r>
      <w:r w:rsidRPr="00716F81" w:rsidR="00B92B40">
        <w:rPr>
          <w:szCs w:val="24"/>
        </w:rPr>
        <w:t xml:space="preserve"> + </w:t>
      </w:r>
      <w:r w:rsidRPr="00716F81">
        <w:rPr>
          <w:szCs w:val="24"/>
        </w:rPr>
        <w:t>3</w:t>
      </w:r>
      <w:r w:rsidRPr="00716F81" w:rsidR="00B92B40">
        <w:rPr>
          <w:szCs w:val="24"/>
        </w:rPr>
        <w:t xml:space="preserve"> (number of respondents) x 1 (number of submissions required) x </w:t>
      </w:r>
      <w:r w:rsidRPr="00716F81" w:rsidR="00836743">
        <w:rPr>
          <w:szCs w:val="24"/>
        </w:rPr>
        <w:t>10</w:t>
      </w:r>
      <w:r w:rsidRPr="00716F81" w:rsidR="00B92B40">
        <w:rPr>
          <w:szCs w:val="24"/>
        </w:rPr>
        <w:t xml:space="preserve"> (hours of clerical time) x $</w:t>
      </w:r>
      <w:r w:rsidR="00B40444">
        <w:rPr>
          <w:szCs w:val="24"/>
        </w:rPr>
        <w:t>2</w:t>
      </w:r>
      <w:r w:rsidR="00D35F29">
        <w:rPr>
          <w:szCs w:val="24"/>
        </w:rPr>
        <w:t>5.31</w:t>
      </w:r>
      <w:r w:rsidRPr="00716F81" w:rsidR="00B92B40">
        <w:rPr>
          <w:szCs w:val="24"/>
        </w:rPr>
        <w:t xml:space="preserve"> =</w:t>
      </w:r>
      <w:r w:rsidRPr="00716F81" w:rsidR="00A21AC9">
        <w:rPr>
          <w:szCs w:val="24"/>
        </w:rPr>
        <w:t xml:space="preserve"> </w:t>
      </w:r>
      <w:r w:rsidRPr="00716F81" w:rsidR="00836743">
        <w:rPr>
          <w:szCs w:val="24"/>
        </w:rPr>
        <w:t>$</w:t>
      </w:r>
      <w:r w:rsidR="00884A3E">
        <w:rPr>
          <w:szCs w:val="24"/>
        </w:rPr>
        <w:t>759</w:t>
      </w:r>
      <w:r w:rsidRPr="00716F81" w:rsidR="00A21AC9">
        <w:rPr>
          <w:szCs w:val="24"/>
        </w:rPr>
        <w:t xml:space="preserve">. </w:t>
      </w:r>
    </w:p>
    <w:p w:rsidR="007B5D11" w:rsidP="007323E1" w14:paraId="7082B98F" w14:textId="77777777">
      <w:pPr>
        <w:rPr>
          <w:szCs w:val="24"/>
        </w:rPr>
      </w:pPr>
    </w:p>
    <w:p w:rsidR="00B92B40" w:rsidRPr="00716F81" w:rsidP="007323E1" w14:paraId="6CAD2716" w14:textId="5245693D">
      <w:pPr>
        <w:rPr>
          <w:szCs w:val="24"/>
        </w:rPr>
      </w:pPr>
      <w:r w:rsidRPr="004A540D">
        <w:rPr>
          <w:b/>
          <w:bCs/>
          <w:szCs w:val="24"/>
        </w:rPr>
        <w:t>T</w:t>
      </w:r>
      <w:r w:rsidRPr="004A540D" w:rsidR="006A5246">
        <w:rPr>
          <w:b/>
          <w:bCs/>
          <w:szCs w:val="24"/>
        </w:rPr>
        <w:t>otal annual cost</w:t>
      </w:r>
      <w:r w:rsidRPr="00716F81" w:rsidR="006A5246">
        <w:rPr>
          <w:szCs w:val="24"/>
        </w:rPr>
        <w:t xml:space="preserve"> = </w:t>
      </w:r>
      <w:r w:rsidRPr="00716F81" w:rsidR="00836743">
        <w:rPr>
          <w:szCs w:val="24"/>
        </w:rPr>
        <w:t>$</w:t>
      </w:r>
      <w:r w:rsidR="00B40444">
        <w:rPr>
          <w:szCs w:val="24"/>
        </w:rPr>
        <w:t>1,</w:t>
      </w:r>
      <w:r w:rsidR="00884A3E">
        <w:rPr>
          <w:szCs w:val="24"/>
        </w:rPr>
        <w:t>984</w:t>
      </w:r>
      <w:r w:rsidRPr="00716F81" w:rsidR="00836743">
        <w:rPr>
          <w:szCs w:val="24"/>
        </w:rPr>
        <w:t xml:space="preserve"> + $</w:t>
      </w:r>
      <w:r w:rsidR="00884A3E">
        <w:rPr>
          <w:szCs w:val="24"/>
        </w:rPr>
        <w:t>759</w:t>
      </w:r>
      <w:r w:rsidR="003803D5">
        <w:rPr>
          <w:szCs w:val="24"/>
        </w:rPr>
        <w:t xml:space="preserve"> </w:t>
      </w:r>
      <w:r w:rsidRPr="00716F81" w:rsidR="00836743">
        <w:rPr>
          <w:b/>
          <w:bCs/>
          <w:szCs w:val="24"/>
        </w:rPr>
        <w:t>=</w:t>
      </w:r>
      <w:r w:rsidR="003803D5">
        <w:rPr>
          <w:b/>
          <w:bCs/>
          <w:szCs w:val="24"/>
        </w:rPr>
        <w:t xml:space="preserve"> </w:t>
      </w:r>
      <w:r w:rsidRPr="00716F81" w:rsidR="00836743">
        <w:rPr>
          <w:b/>
          <w:bCs/>
          <w:szCs w:val="24"/>
        </w:rPr>
        <w:t>$</w:t>
      </w:r>
      <w:r w:rsidR="00884A3E">
        <w:rPr>
          <w:b/>
          <w:bCs/>
          <w:szCs w:val="24"/>
        </w:rPr>
        <w:t>2,743</w:t>
      </w:r>
      <w:r w:rsidRPr="00716F81">
        <w:rPr>
          <w:szCs w:val="24"/>
        </w:rPr>
        <w:t>.</w:t>
      </w:r>
    </w:p>
    <w:p w:rsidR="005E6F67" w:rsidRPr="00716F81" w:rsidP="007323E1" w14:paraId="49C17565" w14:textId="77777777">
      <w:pPr>
        <w:rPr>
          <w:szCs w:val="24"/>
        </w:rPr>
      </w:pPr>
    </w:p>
    <w:p w:rsidR="005E6F67" w:rsidRPr="00716F81" w:rsidP="005E6F67" w14:paraId="1DC18E04" w14:textId="6E9C36B8">
      <w:pPr>
        <w:ind w:right="-900"/>
        <w:rPr>
          <w:b/>
          <w:szCs w:val="24"/>
        </w:rPr>
      </w:pPr>
      <w:r w:rsidRPr="00716F81">
        <w:rPr>
          <w:b/>
          <w:szCs w:val="24"/>
        </w:rPr>
        <w:t xml:space="preserve">Total Respondents:  3  </w:t>
      </w:r>
    </w:p>
    <w:p w:rsidR="005E6F67" w:rsidRPr="00716F81" w:rsidP="005E6F67" w14:paraId="2571FFA1" w14:textId="77777777">
      <w:pPr>
        <w:ind w:right="-900"/>
        <w:rPr>
          <w:b/>
          <w:szCs w:val="24"/>
        </w:rPr>
      </w:pPr>
      <w:r w:rsidRPr="00716F81">
        <w:rPr>
          <w:b/>
          <w:szCs w:val="24"/>
        </w:rPr>
        <w:t xml:space="preserve">Total Annual Number of Responses:  3 </w:t>
      </w:r>
    </w:p>
    <w:p w:rsidR="005E6F67" w:rsidRPr="00716F81" w:rsidP="005E6F67" w14:paraId="2168849A" w14:textId="00E934B3">
      <w:pPr>
        <w:ind w:right="-900"/>
        <w:rPr>
          <w:b/>
          <w:szCs w:val="24"/>
        </w:rPr>
      </w:pPr>
      <w:r w:rsidRPr="00716F81">
        <w:rPr>
          <w:b/>
          <w:szCs w:val="24"/>
        </w:rPr>
        <w:t xml:space="preserve">Total Annual Burden Hours:  </w:t>
      </w:r>
      <w:r w:rsidRPr="00716F81" w:rsidR="00836743">
        <w:rPr>
          <w:b/>
          <w:szCs w:val="24"/>
        </w:rPr>
        <w:t>30 + 30</w:t>
      </w:r>
      <w:r w:rsidR="005F0806">
        <w:rPr>
          <w:b/>
          <w:szCs w:val="24"/>
        </w:rPr>
        <w:t xml:space="preserve"> </w:t>
      </w:r>
      <w:r w:rsidRPr="00716F81" w:rsidR="00836743">
        <w:rPr>
          <w:b/>
          <w:szCs w:val="24"/>
        </w:rPr>
        <w:t>=</w:t>
      </w:r>
      <w:r w:rsidR="005F0806">
        <w:rPr>
          <w:b/>
          <w:szCs w:val="24"/>
        </w:rPr>
        <w:t xml:space="preserve"> </w:t>
      </w:r>
      <w:r w:rsidRPr="00716F81" w:rsidR="00836743">
        <w:rPr>
          <w:b/>
          <w:szCs w:val="24"/>
        </w:rPr>
        <w:t>60 hours</w:t>
      </w:r>
    </w:p>
    <w:p w:rsidR="005E6F67" w:rsidRPr="00716F81" w:rsidP="005E6F67" w14:paraId="41B3DBDD" w14:textId="790D4075">
      <w:pPr>
        <w:ind w:right="-900"/>
        <w:rPr>
          <w:b/>
          <w:szCs w:val="24"/>
        </w:rPr>
      </w:pPr>
      <w:r w:rsidRPr="00716F81">
        <w:rPr>
          <w:b/>
          <w:szCs w:val="24"/>
        </w:rPr>
        <w:t>Total Annual “in-house” cost to the respondent:</w:t>
      </w:r>
      <w:r w:rsidRPr="00716F81" w:rsidR="00836743">
        <w:rPr>
          <w:b/>
          <w:szCs w:val="24"/>
        </w:rPr>
        <w:t xml:space="preserve"> </w:t>
      </w:r>
      <w:r w:rsidR="00B40444">
        <w:rPr>
          <w:b/>
          <w:szCs w:val="24"/>
        </w:rPr>
        <w:t xml:space="preserve"> </w:t>
      </w:r>
      <w:r w:rsidRPr="00716F81" w:rsidR="00836743">
        <w:rPr>
          <w:b/>
          <w:szCs w:val="24"/>
        </w:rPr>
        <w:t>$</w:t>
      </w:r>
      <w:r w:rsidR="00B40444">
        <w:rPr>
          <w:b/>
          <w:szCs w:val="24"/>
        </w:rPr>
        <w:t>1,</w:t>
      </w:r>
      <w:r w:rsidR="00884A3E">
        <w:rPr>
          <w:b/>
          <w:szCs w:val="24"/>
        </w:rPr>
        <w:t>984</w:t>
      </w:r>
      <w:r w:rsidRPr="00716F81" w:rsidR="00836743">
        <w:rPr>
          <w:b/>
          <w:szCs w:val="24"/>
        </w:rPr>
        <w:t xml:space="preserve"> + $</w:t>
      </w:r>
      <w:r w:rsidR="00884A3E">
        <w:rPr>
          <w:b/>
          <w:szCs w:val="24"/>
        </w:rPr>
        <w:t>759</w:t>
      </w:r>
      <w:r w:rsidR="00B40444">
        <w:rPr>
          <w:b/>
          <w:szCs w:val="24"/>
        </w:rPr>
        <w:t xml:space="preserve"> </w:t>
      </w:r>
      <w:r w:rsidRPr="00716F81" w:rsidR="00836743">
        <w:rPr>
          <w:b/>
          <w:szCs w:val="24"/>
        </w:rPr>
        <w:t>=</w:t>
      </w:r>
      <w:r w:rsidR="00B40444">
        <w:rPr>
          <w:b/>
          <w:szCs w:val="24"/>
        </w:rPr>
        <w:t xml:space="preserve"> </w:t>
      </w:r>
      <w:r w:rsidRPr="00716F81" w:rsidR="00836743">
        <w:rPr>
          <w:b/>
          <w:szCs w:val="24"/>
        </w:rPr>
        <w:t>$</w:t>
      </w:r>
      <w:r w:rsidR="00B40444">
        <w:rPr>
          <w:b/>
          <w:szCs w:val="24"/>
        </w:rPr>
        <w:t>2,</w:t>
      </w:r>
      <w:r w:rsidR="00884A3E">
        <w:rPr>
          <w:b/>
          <w:szCs w:val="24"/>
        </w:rPr>
        <w:t>743.</w:t>
      </w:r>
      <w:r w:rsidRPr="00716F81">
        <w:rPr>
          <w:b/>
          <w:szCs w:val="24"/>
        </w:rPr>
        <w:t xml:space="preserve"> </w:t>
      </w:r>
    </w:p>
    <w:p w:rsidR="00A21AC9" w:rsidRPr="00716F81" w:rsidP="007323E1" w14:paraId="13FE8B55" w14:textId="77777777">
      <w:pPr>
        <w:rPr>
          <w:szCs w:val="24"/>
        </w:rPr>
      </w:pPr>
    </w:p>
    <w:p w:rsidR="00ED4A80" w:rsidRPr="00716F81" w:rsidP="004A540D" w14:paraId="2733EC82" w14:textId="3720CB80">
      <w:pPr>
        <w:numPr>
          <w:ilvl w:val="0"/>
          <w:numId w:val="1"/>
        </w:numPr>
        <w:ind w:left="540" w:hanging="540"/>
        <w:rPr>
          <w:szCs w:val="24"/>
        </w:rPr>
      </w:pPr>
      <w:r w:rsidRPr="00716F81">
        <w:rPr>
          <w:szCs w:val="24"/>
        </w:rPr>
        <w:t>The following represents the Commission’s estimate of the annual cost burden to respondents</w:t>
      </w:r>
      <w:r w:rsidRPr="00716F81" w:rsidR="001C29CD">
        <w:rPr>
          <w:szCs w:val="24"/>
        </w:rPr>
        <w:t xml:space="preserve"> </w:t>
      </w:r>
      <w:r w:rsidRPr="00716F81">
        <w:rPr>
          <w:szCs w:val="24"/>
        </w:rPr>
        <w:t>resulting f</w:t>
      </w:r>
      <w:r w:rsidRPr="00716F81" w:rsidR="00FA53F8">
        <w:rPr>
          <w:szCs w:val="24"/>
        </w:rPr>
        <w:t>ro</w:t>
      </w:r>
      <w:r w:rsidRPr="00716F81">
        <w:rPr>
          <w:szCs w:val="24"/>
        </w:rPr>
        <w:t xml:space="preserve">m the collection </w:t>
      </w:r>
      <w:r w:rsidRPr="00716F81" w:rsidR="00B01AF9">
        <w:rPr>
          <w:szCs w:val="24"/>
        </w:rPr>
        <w:t>o</w:t>
      </w:r>
      <w:r w:rsidRPr="00716F81">
        <w:rPr>
          <w:szCs w:val="24"/>
        </w:rPr>
        <w:t xml:space="preserve">f information:  </w:t>
      </w:r>
    </w:p>
    <w:p w:rsidR="00ED4A80" w:rsidRPr="00716F81" w:rsidP="007323E1" w14:paraId="0E050CA6" w14:textId="77777777">
      <w:pPr>
        <w:rPr>
          <w:szCs w:val="24"/>
        </w:rPr>
      </w:pPr>
    </w:p>
    <w:p w:rsidR="00ED4A80" w:rsidRPr="00716F81" w:rsidP="004A540D" w14:paraId="72C2F27A" w14:textId="4FC765F3">
      <w:pPr>
        <w:ind w:firstLine="720"/>
        <w:rPr>
          <w:szCs w:val="24"/>
        </w:rPr>
      </w:pPr>
      <w:r w:rsidRPr="00716F81">
        <w:rPr>
          <w:szCs w:val="24"/>
        </w:rPr>
        <w:t>(a) Total capital and start-up cost component:  $0.00</w:t>
      </w:r>
    </w:p>
    <w:p w:rsidR="00A21AC9" w:rsidRPr="00716F81" w:rsidP="004A540D" w14:paraId="3BDD18AC" w14:textId="2F9F0B85">
      <w:pPr>
        <w:ind w:firstLine="720"/>
        <w:rPr>
          <w:szCs w:val="24"/>
        </w:rPr>
      </w:pPr>
      <w:r w:rsidRPr="00716F81">
        <w:rPr>
          <w:szCs w:val="24"/>
        </w:rPr>
        <w:t xml:space="preserve">(b) </w:t>
      </w:r>
      <w:r w:rsidRPr="00716F81" w:rsidR="00ED4A80">
        <w:rPr>
          <w:szCs w:val="24"/>
        </w:rPr>
        <w:t>T</w:t>
      </w:r>
      <w:r w:rsidRPr="00716F81">
        <w:rPr>
          <w:szCs w:val="24"/>
        </w:rPr>
        <w:t xml:space="preserve">otal operation and maintenance and purchase of services: </w:t>
      </w:r>
      <w:r w:rsidR="005F0806">
        <w:rPr>
          <w:szCs w:val="24"/>
        </w:rPr>
        <w:t xml:space="preserve"> </w:t>
      </w:r>
      <w:r w:rsidRPr="00716F81">
        <w:rPr>
          <w:szCs w:val="24"/>
        </w:rPr>
        <w:t>$0.00</w:t>
      </w:r>
    </w:p>
    <w:p w:rsidR="00A21AC9" w:rsidRPr="00716F81" w:rsidP="007323E1" w14:paraId="2C085D1F" w14:textId="77777777">
      <w:pPr>
        <w:rPr>
          <w:szCs w:val="24"/>
        </w:rPr>
      </w:pPr>
    </w:p>
    <w:p w:rsidR="000115BD" w:rsidP="004A540D" w14:paraId="08D36018" w14:textId="0389CAE8">
      <w:pPr>
        <w:numPr>
          <w:ilvl w:val="0"/>
          <w:numId w:val="1"/>
        </w:numPr>
        <w:ind w:left="540" w:hanging="540"/>
        <w:rPr>
          <w:szCs w:val="24"/>
        </w:rPr>
      </w:pPr>
      <w:r w:rsidRPr="00716F81">
        <w:rPr>
          <w:szCs w:val="24"/>
        </w:rPr>
        <w:t>There is no cost to the Federal government.</w:t>
      </w:r>
    </w:p>
    <w:p w:rsidR="000115BD" w:rsidRPr="00716F81" w:rsidP="004A540D" w14:paraId="11712208" w14:textId="77777777">
      <w:pPr>
        <w:ind w:left="360"/>
        <w:rPr>
          <w:szCs w:val="24"/>
        </w:rPr>
      </w:pPr>
    </w:p>
    <w:p w:rsidR="00774AE3" w:rsidRPr="00716F81" w:rsidP="004A540D" w14:paraId="16045C5D" w14:textId="5017839D">
      <w:pPr>
        <w:numPr>
          <w:ilvl w:val="0"/>
          <w:numId w:val="1"/>
        </w:numPr>
        <w:ind w:left="540" w:hanging="540"/>
        <w:rPr>
          <w:szCs w:val="24"/>
        </w:rPr>
      </w:pPr>
      <w:r w:rsidRPr="000115BD">
        <w:rPr>
          <w:spacing w:val="-3"/>
          <w:szCs w:val="24"/>
        </w:rPr>
        <w:t xml:space="preserve">There are no program changes or adjustments to this information collection.  </w:t>
      </w:r>
      <w:r w:rsidRPr="00716F81">
        <w:rPr>
          <w:szCs w:val="24"/>
        </w:rPr>
        <w:t xml:space="preserve"> </w:t>
      </w:r>
    </w:p>
    <w:p w:rsidR="00774AE3" w:rsidRPr="00716F81" w:rsidP="007323E1" w14:paraId="2F53F306" w14:textId="77777777">
      <w:pPr>
        <w:rPr>
          <w:szCs w:val="24"/>
        </w:rPr>
      </w:pPr>
    </w:p>
    <w:p w:rsidR="00A21AC9" w:rsidRPr="00716F81" w:rsidP="004A540D" w14:paraId="424C445E" w14:textId="1957B067">
      <w:pPr>
        <w:numPr>
          <w:ilvl w:val="0"/>
          <w:numId w:val="1"/>
        </w:numPr>
        <w:ind w:left="540" w:hanging="540"/>
        <w:rPr>
          <w:szCs w:val="24"/>
        </w:rPr>
      </w:pPr>
      <w:r w:rsidRPr="00716F81">
        <w:rPr>
          <w:szCs w:val="24"/>
        </w:rPr>
        <w:t>The Commission does not anticipate that it will publish the results of these collections of information.</w:t>
      </w:r>
    </w:p>
    <w:p w:rsidR="00A21AC9" w:rsidRPr="00716F81" w:rsidP="007323E1" w14:paraId="02E7AB8F" w14:textId="77777777">
      <w:pPr>
        <w:rPr>
          <w:szCs w:val="24"/>
        </w:rPr>
      </w:pPr>
    </w:p>
    <w:p w:rsidR="00A21AC9" w:rsidRPr="00716F81" w:rsidP="004A540D" w14:paraId="0CAD4586" w14:textId="0998D1EE">
      <w:pPr>
        <w:numPr>
          <w:ilvl w:val="0"/>
          <w:numId w:val="1"/>
        </w:numPr>
        <w:ind w:left="540" w:hanging="540"/>
        <w:rPr>
          <w:szCs w:val="24"/>
        </w:rPr>
      </w:pPr>
      <w:r w:rsidRPr="00716F81">
        <w:rPr>
          <w:szCs w:val="24"/>
        </w:rPr>
        <w:t>The Commission does not intend to seek approval not to display the expiration date for OMB approval of the information collections.</w:t>
      </w:r>
    </w:p>
    <w:p w:rsidR="00A21AC9" w:rsidRPr="00716F81" w:rsidP="007323E1" w14:paraId="6E50DE7A" w14:textId="77777777">
      <w:pPr>
        <w:rPr>
          <w:szCs w:val="24"/>
        </w:rPr>
      </w:pPr>
    </w:p>
    <w:p w:rsidR="00A21AC9" w:rsidRPr="00716F81" w:rsidP="004A540D" w14:paraId="2F73D304" w14:textId="79FDEF0F">
      <w:pPr>
        <w:numPr>
          <w:ilvl w:val="0"/>
          <w:numId w:val="1"/>
        </w:numPr>
        <w:ind w:left="540" w:hanging="540"/>
        <w:rPr>
          <w:szCs w:val="24"/>
        </w:rPr>
      </w:pPr>
      <w:r w:rsidRPr="00716F81">
        <w:rPr>
          <w:szCs w:val="24"/>
        </w:rPr>
        <w:t xml:space="preserve">There are no exceptions </w:t>
      </w:r>
      <w:r w:rsidRPr="00716F81" w:rsidR="008F4EC7">
        <w:rPr>
          <w:szCs w:val="24"/>
        </w:rPr>
        <w:t>to the Certification Statement</w:t>
      </w:r>
      <w:r w:rsidRPr="00716F81">
        <w:rPr>
          <w:szCs w:val="24"/>
        </w:rPr>
        <w:t>.</w:t>
      </w:r>
    </w:p>
    <w:p w:rsidR="00A21AC9" w:rsidRPr="00716F81" w:rsidP="007323E1" w14:paraId="09730FF5" w14:textId="77777777">
      <w:pPr>
        <w:rPr>
          <w:szCs w:val="24"/>
        </w:rPr>
      </w:pPr>
    </w:p>
    <w:p w:rsidR="00A21AC9" w:rsidRPr="004A540D" w:rsidP="001C29CD" w14:paraId="1E37D2C4" w14:textId="3120F747">
      <w:pPr>
        <w:rPr>
          <w:b/>
          <w:szCs w:val="24"/>
        </w:rPr>
      </w:pPr>
      <w:r w:rsidRPr="004A540D">
        <w:rPr>
          <w:b/>
          <w:szCs w:val="24"/>
        </w:rPr>
        <w:t>B.</w:t>
      </w:r>
      <w:r w:rsidR="000115BD">
        <w:rPr>
          <w:b/>
          <w:szCs w:val="24"/>
        </w:rPr>
        <w:tab/>
      </w:r>
      <w:r w:rsidRPr="004A540D">
        <w:rPr>
          <w:b/>
          <w:szCs w:val="24"/>
        </w:rPr>
        <w:t>Collections of information Employing Statistical Methods</w:t>
      </w:r>
      <w:r w:rsidRPr="004A540D" w:rsidR="001C29CD">
        <w:rPr>
          <w:b/>
          <w:szCs w:val="24"/>
        </w:rPr>
        <w:t>:</w:t>
      </w:r>
    </w:p>
    <w:p w:rsidR="00A21AC9" w:rsidRPr="00716F81" w:rsidP="007323E1" w14:paraId="5E9D7BD9" w14:textId="77777777">
      <w:pPr>
        <w:rPr>
          <w:szCs w:val="24"/>
        </w:rPr>
      </w:pPr>
      <w:r w:rsidRPr="00716F81">
        <w:rPr>
          <w:szCs w:val="24"/>
        </w:rPr>
        <w:tab/>
      </w:r>
      <w:r w:rsidRPr="00716F81">
        <w:rPr>
          <w:szCs w:val="24"/>
        </w:rPr>
        <w:tab/>
      </w:r>
    </w:p>
    <w:p w:rsidR="00A21AC9" w:rsidRPr="00716F81" w:rsidP="007323E1" w14:paraId="5AA51B15" w14:textId="222F2B55">
      <w:pPr>
        <w:rPr>
          <w:szCs w:val="24"/>
        </w:rPr>
      </w:pPr>
      <w:r w:rsidRPr="00716F81">
        <w:rPr>
          <w:szCs w:val="24"/>
        </w:rPr>
        <w:tab/>
        <w:t>No</w:t>
      </w:r>
      <w:r w:rsidRPr="00716F81" w:rsidR="00326DAE">
        <w:rPr>
          <w:szCs w:val="24"/>
        </w:rPr>
        <w:t xml:space="preserve"> statistical methods will be employed. </w:t>
      </w:r>
    </w:p>
    <w:sectPr w:rsidSect="004A540D">
      <w:headerReference w:type="default" r:id="rI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D58" w:rsidRPr="00C76FA8" w:rsidP="00366D58" w14:paraId="27378439" w14:textId="125E4AC3">
    <w:pPr>
      <w:rPr>
        <w:b/>
        <w:sz w:val="22"/>
        <w:szCs w:val="22"/>
      </w:rPr>
    </w:pPr>
    <w:r w:rsidRPr="00C76FA8">
      <w:rPr>
        <w:b/>
        <w:sz w:val="22"/>
        <w:szCs w:val="22"/>
      </w:rPr>
      <w:t>47 U.S.C. Section 276, Public Disclosure of Network</w:t>
    </w:r>
    <w:r w:rsidRPr="00C76FA8">
      <w:rPr>
        <w:b/>
        <w:sz w:val="22"/>
        <w:szCs w:val="22"/>
      </w:rPr>
      <w:tab/>
    </w:r>
    <w:r w:rsidRPr="00C76FA8">
      <w:rPr>
        <w:b/>
        <w:sz w:val="22"/>
        <w:szCs w:val="22"/>
      </w:rPr>
      <w:tab/>
    </w:r>
    <w:r w:rsidRPr="00C76FA8">
      <w:rPr>
        <w:b/>
        <w:sz w:val="22"/>
        <w:szCs w:val="22"/>
      </w:rPr>
      <w:tab/>
    </w:r>
    <w:r>
      <w:rPr>
        <w:b/>
        <w:sz w:val="22"/>
        <w:szCs w:val="22"/>
      </w:rPr>
      <w:tab/>
    </w:r>
    <w:r>
      <w:rPr>
        <w:b/>
        <w:sz w:val="22"/>
        <w:szCs w:val="22"/>
      </w:rPr>
      <w:tab/>
    </w:r>
    <w:r w:rsidR="004F4A9A">
      <w:rPr>
        <w:b/>
        <w:sz w:val="22"/>
        <w:szCs w:val="22"/>
      </w:rPr>
      <w:t xml:space="preserve"> </w:t>
    </w:r>
    <w:r w:rsidRPr="00C76FA8">
      <w:rPr>
        <w:b/>
        <w:sz w:val="22"/>
        <w:szCs w:val="22"/>
      </w:rPr>
      <w:t>3060-0723</w:t>
    </w:r>
  </w:p>
  <w:p w:rsidR="00366D58" w:rsidRPr="00C76FA8" w:rsidP="00366D58" w14:paraId="17D8407F" w14:textId="399335BD">
    <w:pPr>
      <w:rPr>
        <w:b/>
        <w:sz w:val="22"/>
        <w:szCs w:val="22"/>
      </w:rPr>
    </w:pPr>
    <w:r w:rsidRPr="00C76FA8">
      <w:rPr>
        <w:b/>
        <w:sz w:val="22"/>
        <w:szCs w:val="22"/>
      </w:rPr>
      <w:t xml:space="preserve">Information by Bell Operating Companies  </w:t>
    </w:r>
    <w:r w:rsidRPr="00C76FA8">
      <w:rPr>
        <w:b/>
        <w:sz w:val="22"/>
        <w:szCs w:val="22"/>
      </w:rPr>
      <w:tab/>
    </w:r>
    <w:r w:rsidRPr="00C76FA8">
      <w:rPr>
        <w:b/>
        <w:sz w:val="22"/>
        <w:szCs w:val="22"/>
      </w:rPr>
      <w:tab/>
    </w:r>
    <w:r>
      <w:rPr>
        <w:b/>
        <w:sz w:val="22"/>
        <w:szCs w:val="22"/>
      </w:rPr>
      <w:tab/>
    </w:r>
    <w:r>
      <w:rPr>
        <w:b/>
        <w:sz w:val="22"/>
        <w:szCs w:val="22"/>
      </w:rPr>
      <w:tab/>
    </w:r>
    <w:r>
      <w:rPr>
        <w:b/>
        <w:sz w:val="22"/>
        <w:szCs w:val="22"/>
      </w:rPr>
      <w:tab/>
    </w:r>
    <w:r w:rsidR="004A540D">
      <w:rPr>
        <w:b/>
        <w:sz w:val="22"/>
        <w:szCs w:val="22"/>
      </w:rPr>
      <w:t xml:space="preserve">           </w:t>
    </w:r>
    <w:r w:rsidR="004F4A9A">
      <w:rPr>
        <w:b/>
        <w:sz w:val="22"/>
        <w:szCs w:val="22"/>
      </w:rPr>
      <w:tab/>
    </w:r>
    <w:r w:rsidR="00EA4112">
      <w:rPr>
        <w:b/>
        <w:sz w:val="22"/>
        <w:szCs w:val="22"/>
      </w:rPr>
      <w:t xml:space="preserve"> June</w:t>
    </w:r>
    <w:r w:rsidR="004F4A9A">
      <w:rPr>
        <w:b/>
        <w:sz w:val="22"/>
        <w:szCs w:val="22"/>
      </w:rPr>
      <w:t xml:space="preserve"> 2026</w:t>
    </w:r>
  </w:p>
  <w:p w:rsidR="00366D58" w:rsidP="00366D58" w14:paraId="73892D2D" w14:textId="77777777">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9590261"/>
    <w:multiLevelType w:val="hybridMultilevel"/>
    <w:tmpl w:val="D144D8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8380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4780"/>
    <w:rsid w:val="000115BD"/>
    <w:rsid w:val="00032FB7"/>
    <w:rsid w:val="0003493B"/>
    <w:rsid w:val="00055451"/>
    <w:rsid w:val="00063229"/>
    <w:rsid w:val="00070418"/>
    <w:rsid w:val="00086C6D"/>
    <w:rsid w:val="000A2FB0"/>
    <w:rsid w:val="000B43DA"/>
    <w:rsid w:val="000C6F89"/>
    <w:rsid w:val="000E1508"/>
    <w:rsid w:val="000E1D7A"/>
    <w:rsid w:val="000E2582"/>
    <w:rsid w:val="000E40FD"/>
    <w:rsid w:val="000E582B"/>
    <w:rsid w:val="000E5CF4"/>
    <w:rsid w:val="00190EE8"/>
    <w:rsid w:val="001910F3"/>
    <w:rsid w:val="00191875"/>
    <w:rsid w:val="001B2690"/>
    <w:rsid w:val="001B772C"/>
    <w:rsid w:val="001C0633"/>
    <w:rsid w:val="001C29CD"/>
    <w:rsid w:val="001E2FEF"/>
    <w:rsid w:val="002070DF"/>
    <w:rsid w:val="00255AF2"/>
    <w:rsid w:val="00271332"/>
    <w:rsid w:val="00281752"/>
    <w:rsid w:val="00284212"/>
    <w:rsid w:val="002A6C5B"/>
    <w:rsid w:val="002B5455"/>
    <w:rsid w:val="002B56BF"/>
    <w:rsid w:val="002C1857"/>
    <w:rsid w:val="00326DAE"/>
    <w:rsid w:val="00366D58"/>
    <w:rsid w:val="00371BFC"/>
    <w:rsid w:val="003803D5"/>
    <w:rsid w:val="003B2A17"/>
    <w:rsid w:val="003D29D4"/>
    <w:rsid w:val="003E05CC"/>
    <w:rsid w:val="00455D82"/>
    <w:rsid w:val="0047698B"/>
    <w:rsid w:val="004A511E"/>
    <w:rsid w:val="004A540D"/>
    <w:rsid w:val="004F4A9A"/>
    <w:rsid w:val="00502BF5"/>
    <w:rsid w:val="00507AA2"/>
    <w:rsid w:val="00532EFD"/>
    <w:rsid w:val="0058647D"/>
    <w:rsid w:val="005B6E35"/>
    <w:rsid w:val="005E0498"/>
    <w:rsid w:val="005E357F"/>
    <w:rsid w:val="005E4B54"/>
    <w:rsid w:val="005E6F67"/>
    <w:rsid w:val="005F0806"/>
    <w:rsid w:val="00600ED4"/>
    <w:rsid w:val="00604A9B"/>
    <w:rsid w:val="00620C18"/>
    <w:rsid w:val="00621F8D"/>
    <w:rsid w:val="00623365"/>
    <w:rsid w:val="00634FC4"/>
    <w:rsid w:val="00643CD9"/>
    <w:rsid w:val="0067106E"/>
    <w:rsid w:val="00675DCA"/>
    <w:rsid w:val="006953F9"/>
    <w:rsid w:val="006A5246"/>
    <w:rsid w:val="006B6AFA"/>
    <w:rsid w:val="006C4238"/>
    <w:rsid w:val="006C6F58"/>
    <w:rsid w:val="006F070E"/>
    <w:rsid w:val="00701A97"/>
    <w:rsid w:val="00713A1F"/>
    <w:rsid w:val="00716F81"/>
    <w:rsid w:val="007323E1"/>
    <w:rsid w:val="00740D1C"/>
    <w:rsid w:val="007632ED"/>
    <w:rsid w:val="0077237A"/>
    <w:rsid w:val="00774AE3"/>
    <w:rsid w:val="007910F5"/>
    <w:rsid w:val="007A034C"/>
    <w:rsid w:val="007B5D11"/>
    <w:rsid w:val="007C52C4"/>
    <w:rsid w:val="007E358D"/>
    <w:rsid w:val="007F591C"/>
    <w:rsid w:val="0081316C"/>
    <w:rsid w:val="00836743"/>
    <w:rsid w:val="00873876"/>
    <w:rsid w:val="00883EA7"/>
    <w:rsid w:val="00884A3E"/>
    <w:rsid w:val="008B48D6"/>
    <w:rsid w:val="008C7860"/>
    <w:rsid w:val="008C79BB"/>
    <w:rsid w:val="008E7654"/>
    <w:rsid w:val="008F4EC7"/>
    <w:rsid w:val="009239DC"/>
    <w:rsid w:val="009A0A29"/>
    <w:rsid w:val="009A2679"/>
    <w:rsid w:val="009D3419"/>
    <w:rsid w:val="009D7A1A"/>
    <w:rsid w:val="00A01B34"/>
    <w:rsid w:val="00A21AC9"/>
    <w:rsid w:val="00A35D8F"/>
    <w:rsid w:val="00A378EC"/>
    <w:rsid w:val="00A60A19"/>
    <w:rsid w:val="00A87A96"/>
    <w:rsid w:val="00AA6F94"/>
    <w:rsid w:val="00AE1D37"/>
    <w:rsid w:val="00B01AF9"/>
    <w:rsid w:val="00B16BF3"/>
    <w:rsid w:val="00B16C41"/>
    <w:rsid w:val="00B17AB8"/>
    <w:rsid w:val="00B40444"/>
    <w:rsid w:val="00B45244"/>
    <w:rsid w:val="00B56F20"/>
    <w:rsid w:val="00B64DD9"/>
    <w:rsid w:val="00B92B40"/>
    <w:rsid w:val="00BB5181"/>
    <w:rsid w:val="00BE1F98"/>
    <w:rsid w:val="00BE625F"/>
    <w:rsid w:val="00C10116"/>
    <w:rsid w:val="00C20C96"/>
    <w:rsid w:val="00C6121C"/>
    <w:rsid w:val="00C624D5"/>
    <w:rsid w:val="00C76FA8"/>
    <w:rsid w:val="00C8498B"/>
    <w:rsid w:val="00C93967"/>
    <w:rsid w:val="00CB5365"/>
    <w:rsid w:val="00CD5046"/>
    <w:rsid w:val="00D102B8"/>
    <w:rsid w:val="00D1656E"/>
    <w:rsid w:val="00D35F29"/>
    <w:rsid w:val="00D7162F"/>
    <w:rsid w:val="00D76312"/>
    <w:rsid w:val="00D91337"/>
    <w:rsid w:val="00D961CD"/>
    <w:rsid w:val="00DB5055"/>
    <w:rsid w:val="00DF4979"/>
    <w:rsid w:val="00E01E69"/>
    <w:rsid w:val="00E06085"/>
    <w:rsid w:val="00E14DEA"/>
    <w:rsid w:val="00E55224"/>
    <w:rsid w:val="00E55DB3"/>
    <w:rsid w:val="00E859CD"/>
    <w:rsid w:val="00EA4112"/>
    <w:rsid w:val="00EB3E7A"/>
    <w:rsid w:val="00EC421B"/>
    <w:rsid w:val="00ED4A80"/>
    <w:rsid w:val="00ED4AC3"/>
    <w:rsid w:val="00F63742"/>
    <w:rsid w:val="00F70A2B"/>
    <w:rsid w:val="00FA53F8"/>
    <w:rsid w:val="00FB2564"/>
    <w:rsid w:val="00FF4F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8CDBFE"/>
  <w15:chartTrackingRefBased/>
  <w15:docId w15:val="{35886A77-B19A-4DEE-B0BE-97B8622E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B56BF"/>
    <w:rPr>
      <w:rFonts w:ascii="Tahoma" w:hAnsi="Tahoma" w:cs="Tahoma"/>
      <w:sz w:val="16"/>
      <w:szCs w:val="16"/>
    </w:rPr>
  </w:style>
  <w:style w:type="paragraph" w:styleId="FootnoteText">
    <w:name w:val="footnote text"/>
    <w:basedOn w:val="Normal"/>
    <w:link w:val="FootnoteTextChar"/>
    <w:rsid w:val="00ED4A80"/>
    <w:rPr>
      <w:sz w:val="20"/>
    </w:rPr>
  </w:style>
  <w:style w:type="character" w:customStyle="1" w:styleId="FootnoteTextChar">
    <w:name w:val="Footnote Text Char"/>
    <w:basedOn w:val="DefaultParagraphFont"/>
    <w:link w:val="FootnoteText"/>
    <w:rsid w:val="00ED4A80"/>
  </w:style>
  <w:style w:type="character" w:styleId="FootnoteReference">
    <w:name w:val="footnote reference"/>
    <w:rsid w:val="00ED4A80"/>
    <w:rPr>
      <w:vertAlign w:val="superscript"/>
    </w:rPr>
  </w:style>
  <w:style w:type="character" w:styleId="CommentReference">
    <w:name w:val="annotation reference"/>
    <w:rsid w:val="002A6C5B"/>
    <w:rPr>
      <w:sz w:val="16"/>
      <w:szCs w:val="16"/>
    </w:rPr>
  </w:style>
  <w:style w:type="paragraph" w:styleId="CommentText">
    <w:name w:val="annotation text"/>
    <w:basedOn w:val="Normal"/>
    <w:link w:val="CommentTextChar"/>
    <w:rsid w:val="002A6C5B"/>
    <w:rPr>
      <w:sz w:val="20"/>
    </w:rPr>
  </w:style>
  <w:style w:type="character" w:customStyle="1" w:styleId="CommentTextChar">
    <w:name w:val="Comment Text Char"/>
    <w:basedOn w:val="DefaultParagraphFont"/>
    <w:link w:val="CommentText"/>
    <w:rsid w:val="002A6C5B"/>
  </w:style>
  <w:style w:type="paragraph" w:styleId="CommentSubject">
    <w:name w:val="annotation subject"/>
    <w:basedOn w:val="CommentText"/>
    <w:next w:val="CommentText"/>
    <w:link w:val="CommentSubjectChar"/>
    <w:rsid w:val="002A6C5B"/>
    <w:rPr>
      <w:b/>
      <w:bCs/>
    </w:rPr>
  </w:style>
  <w:style w:type="character" w:customStyle="1" w:styleId="CommentSubjectChar">
    <w:name w:val="Comment Subject Char"/>
    <w:link w:val="CommentSubject"/>
    <w:rsid w:val="002A6C5B"/>
    <w:rPr>
      <w:b/>
      <w:bCs/>
    </w:rPr>
  </w:style>
  <w:style w:type="paragraph" w:styleId="Revision">
    <w:name w:val="Revision"/>
    <w:hidden/>
    <w:uiPriority w:val="99"/>
    <w:semiHidden/>
    <w:rsid w:val="00883EA7"/>
    <w:rPr>
      <w:sz w:val="24"/>
    </w:rPr>
  </w:style>
  <w:style w:type="paragraph" w:styleId="ListParagraph">
    <w:name w:val="List Paragraph"/>
    <w:basedOn w:val="Normal"/>
    <w:uiPriority w:val="34"/>
    <w:qFormat/>
    <w:rsid w:val="001B2690"/>
    <w:pPr>
      <w:ind w:left="720"/>
    </w:pPr>
  </w:style>
  <w:style w:type="paragraph" w:styleId="Header">
    <w:name w:val="header"/>
    <w:basedOn w:val="Normal"/>
    <w:link w:val="HeaderChar"/>
    <w:rsid w:val="00366D58"/>
    <w:pPr>
      <w:tabs>
        <w:tab w:val="center" w:pos="4680"/>
        <w:tab w:val="right" w:pos="9360"/>
      </w:tabs>
    </w:pPr>
  </w:style>
  <w:style w:type="character" w:customStyle="1" w:styleId="HeaderChar">
    <w:name w:val="Header Char"/>
    <w:basedOn w:val="DefaultParagraphFont"/>
    <w:link w:val="Header"/>
    <w:rsid w:val="00366D58"/>
    <w:rPr>
      <w:sz w:val="24"/>
    </w:rPr>
  </w:style>
  <w:style w:type="paragraph" w:styleId="Footer">
    <w:name w:val="footer"/>
    <w:basedOn w:val="Normal"/>
    <w:link w:val="FooterChar"/>
    <w:rsid w:val="00366D58"/>
    <w:pPr>
      <w:tabs>
        <w:tab w:val="center" w:pos="4680"/>
        <w:tab w:val="right" w:pos="9360"/>
      </w:tabs>
    </w:pPr>
  </w:style>
  <w:style w:type="character" w:customStyle="1" w:styleId="FooterChar">
    <w:name w:val="Footer Char"/>
    <w:basedOn w:val="DefaultParagraphFont"/>
    <w:link w:val="Footer"/>
    <w:rsid w:val="00366D5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link/uscode/47/276"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DDC5B-9834-41D9-B8A3-E713CF2D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3060-0723</vt:lpstr>
    </vt:vector>
  </TitlesOfParts>
  <Company>Federal Communications Commission</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3060-0723</dc:title>
  <dc:creator>Paul.Laurenzano</dc:creator>
  <cp:lastModifiedBy>Nicole Ongele</cp:lastModifiedBy>
  <cp:revision>2</cp:revision>
  <cp:lastPrinted>2018-01-03T22:51:00Z</cp:lastPrinted>
  <dcterms:created xsi:type="dcterms:W3CDTF">2026-05-12T18:18:00Z</dcterms:created>
  <dcterms:modified xsi:type="dcterms:W3CDTF">2026-05-12T18:18:00Z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4AAAUmLmXdMZevQp+tdFu6HkpP+KMq0JEVkjaviT/bacBt6hfItQL0BvLw==</vt:lpwstr>
  </property>
  <property fmtid="{D5CDD505-2E9C-101B-9397-08002B2CF9AE}" pid="3" name="MAIL_MSG_ID1">
    <vt:lpwstr>oFAAspTNh41gn7Db1YyXXUjMzCy6fcZwJd9jp7T9AX/7tviMwzrAgxNIO6Isp9aZ9dRiWdVSMQnHHUs3
IscGeaogYfxRko/TmShF6g+F8asCFCxsK0ZeWBTFzhh3Bt05BhHypXRZ/HeUDjgDCM+hQhTK7Jh5
qc4t7gFHeKmiB4yeOs3cLzP4Jq+8vQa5ZHfhwrIhyklyEkn/KuuelCApxpM4kSQKWBxKP3FKE+Qh
b0OGJPqxTfCPkqKMK</vt:lpwstr>
  </property>
  <property fmtid="{D5CDD505-2E9C-101B-9397-08002B2CF9AE}" pid="4" name="MAIL_MSG_ID2">
    <vt:lpwstr>x5YZoifgCuUXeJsfQzcAeksTyPtRsOl7iT2CccNuW9DSpNW3cRIHI4h6+Q5
/h2XaEAi44Bx87lywHNI0+yMQ7qlcoqsNgFbY906pHx/1TR3</vt:lpwstr>
  </property>
  <property fmtid="{D5CDD505-2E9C-101B-9397-08002B2CF9AE}" pid="5" name="RESPONSE_SENDER_NAME">
    <vt:lpwstr>sAAAGYoQX4c3X/KoacEZEJKvPFV/OiYXdIgwpm/SYoLpSFM=</vt:lpwstr>
  </property>
</Properties>
</file>