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32B" w:rsidP="002F3C90" w14:paraId="346DFD10" w14:textId="0FBB428D">
      <w:pPr>
        <w:spacing w:after="0" w:line="240" w:lineRule="auto"/>
        <w:jc w:val="center"/>
        <w:rPr>
          <w:rFonts w:ascii="Arial" w:hAnsi="Arial" w:cs="Arial"/>
          <w:b/>
          <w:bCs/>
          <w:caps/>
          <w:sz w:val="32"/>
          <w:szCs w:val="32"/>
        </w:rPr>
      </w:pPr>
      <w:r>
        <w:rPr>
          <w:rFonts w:ascii="Arial" w:hAnsi="Arial" w:cs="Arial"/>
          <w:b/>
          <w:bCs/>
          <w:caps/>
          <w:sz w:val="32"/>
          <w:szCs w:val="32"/>
        </w:rPr>
        <w:t>Technology-Inclusive Identification of Licensing Events for Commercial Nuclear Plants</w:t>
      </w:r>
    </w:p>
    <w:p w:rsidR="007E2734" w:rsidP="002F3C90" w14:paraId="25BB71C3" w14:textId="77777777">
      <w:pPr>
        <w:spacing w:after="0" w:line="240" w:lineRule="auto"/>
        <w:rPr>
          <w:rFonts w:ascii="Arial" w:hAnsi="Arial" w:cs="Arial"/>
        </w:rPr>
      </w:pPr>
    </w:p>
    <w:p w:rsidR="00671E27" w:rsidRPr="007C79DA" w:rsidP="002F3C90" w14:paraId="61068EFD" w14:textId="244534CE">
      <w:pPr>
        <w:pStyle w:val="Heading1"/>
        <w:spacing w:after="280" w:line="240" w:lineRule="auto"/>
      </w:pPr>
      <w:r w:rsidRPr="00C53546">
        <w:t xml:space="preserve">A. </w:t>
      </w:r>
      <w:r w:rsidR="00064630">
        <w:t xml:space="preserve"> </w:t>
      </w:r>
      <w:r w:rsidRPr="00C53546">
        <w:t>INTRODUCTION</w:t>
      </w:r>
      <w:r w:rsidR="00D3057F">
        <w:t xml:space="preserve"> </w:t>
      </w:r>
    </w:p>
    <w:p w:rsidR="00107D6B" w:rsidRPr="00210C4E" w:rsidP="002F3C90" w14:paraId="4BABDE3A" w14:textId="6E9F08B7">
      <w:pPr>
        <w:pStyle w:val="Heading2"/>
        <w:spacing w:line="240" w:lineRule="auto"/>
      </w:pPr>
      <w:r w:rsidRPr="00210C4E">
        <w:t>Purpose</w:t>
      </w:r>
    </w:p>
    <w:p w:rsidR="004327C3" w:rsidP="002F3C90" w14:paraId="5063360F" w14:textId="32ED1760">
      <w:pPr>
        <w:spacing w:after="0" w:line="240" w:lineRule="auto"/>
      </w:pPr>
    </w:p>
    <w:p w:rsidR="004327C3" w:rsidP="002F3C90" w14:paraId="02DF3CFD" w14:textId="6DFB8F20">
      <w:pPr>
        <w:spacing w:after="0" w:line="240" w:lineRule="auto"/>
        <w:ind w:firstLine="720"/>
        <w:rPr>
          <w:rFonts w:ascii="Times New Roman" w:hAnsi="Times New Roman" w:cs="Times New Roman"/>
        </w:rPr>
      </w:pPr>
      <w:r w:rsidRPr="00FC6EBA">
        <w:rPr>
          <w:rFonts w:ascii="Times New Roman" w:hAnsi="Times New Roman" w:cs="Times New Roman"/>
        </w:rPr>
        <w:t xml:space="preserve">This </w:t>
      </w:r>
      <w:r w:rsidR="00EB543B">
        <w:rPr>
          <w:rFonts w:ascii="Times New Roman" w:hAnsi="Times New Roman" w:cs="Times New Roman"/>
        </w:rPr>
        <w:t>r</w:t>
      </w:r>
      <w:r>
        <w:rPr>
          <w:rFonts w:ascii="Times New Roman" w:hAnsi="Times New Roman" w:cs="Times New Roman"/>
        </w:rPr>
        <w:t xml:space="preserve">egulatory </w:t>
      </w:r>
      <w:r w:rsidR="00EB543B">
        <w:rPr>
          <w:rFonts w:ascii="Times New Roman" w:hAnsi="Times New Roman" w:cs="Times New Roman"/>
        </w:rPr>
        <w:t>g</w:t>
      </w:r>
      <w:r>
        <w:rPr>
          <w:rFonts w:ascii="Times New Roman" w:hAnsi="Times New Roman" w:cs="Times New Roman"/>
        </w:rPr>
        <w:t>uide (R</w:t>
      </w:r>
      <w:r w:rsidRPr="00FC6EBA">
        <w:rPr>
          <w:rFonts w:ascii="Times New Roman" w:hAnsi="Times New Roman" w:cs="Times New Roman"/>
        </w:rPr>
        <w:t>G</w:t>
      </w:r>
      <w:r>
        <w:rPr>
          <w:rFonts w:ascii="Times New Roman" w:hAnsi="Times New Roman" w:cs="Times New Roman"/>
        </w:rPr>
        <w:t>)</w:t>
      </w:r>
      <w:r w:rsidRPr="00FC6EBA">
        <w:rPr>
          <w:rFonts w:ascii="Times New Roman" w:hAnsi="Times New Roman" w:cs="Times New Roman"/>
        </w:rPr>
        <w:t xml:space="preserve"> provides</w:t>
      </w:r>
      <w:r w:rsidR="002811F9">
        <w:rPr>
          <w:rFonts w:ascii="Times New Roman" w:hAnsi="Times New Roman" w:cs="Times New Roman"/>
        </w:rPr>
        <w:t xml:space="preserve"> </w:t>
      </w:r>
      <w:r w:rsidRPr="00F15C7B" w:rsidR="002811F9">
        <w:rPr>
          <w:rFonts w:ascii="Times New Roman" w:hAnsi="Times New Roman" w:cs="Times New Roman"/>
        </w:rPr>
        <w:t>the U.S.</w:t>
      </w:r>
      <w:r w:rsidR="00864E04">
        <w:rPr>
          <w:rFonts w:ascii="Times New Roman" w:hAnsi="Times New Roman" w:cs="Times New Roman"/>
        </w:rPr>
        <w:t> </w:t>
      </w:r>
      <w:r w:rsidRPr="00F15C7B" w:rsidR="002811F9">
        <w:rPr>
          <w:rFonts w:ascii="Times New Roman" w:hAnsi="Times New Roman" w:cs="Times New Roman"/>
        </w:rPr>
        <w:t>Nuclear Regulatory Commission (NRC)</w:t>
      </w:r>
      <w:r w:rsidRPr="00FC6EBA">
        <w:rPr>
          <w:rFonts w:ascii="Times New Roman" w:hAnsi="Times New Roman" w:cs="Times New Roman"/>
        </w:rPr>
        <w:t xml:space="preserve"> </w:t>
      </w:r>
      <w:r w:rsidR="00142A83">
        <w:rPr>
          <w:rFonts w:ascii="Times New Roman" w:hAnsi="Times New Roman" w:cs="Times New Roman"/>
        </w:rPr>
        <w:t xml:space="preserve">staff’s </w:t>
      </w:r>
      <w:r w:rsidR="001F1250">
        <w:rPr>
          <w:rFonts w:ascii="Times New Roman" w:hAnsi="Times New Roman" w:cs="Times New Roman"/>
        </w:rPr>
        <w:t xml:space="preserve">technology-inclusive </w:t>
      </w:r>
      <w:r w:rsidRPr="00FC6EBA">
        <w:rPr>
          <w:rFonts w:ascii="Times New Roman" w:hAnsi="Times New Roman" w:cs="Times New Roman"/>
        </w:rPr>
        <w:t xml:space="preserve">guidance for identifying initiating events, delineating event sequences, and </w:t>
      </w:r>
      <w:r w:rsidR="00CE6884">
        <w:rPr>
          <w:rFonts w:ascii="Times New Roman" w:hAnsi="Times New Roman" w:cs="Times New Roman"/>
        </w:rPr>
        <w:t>identify</w:t>
      </w:r>
      <w:r w:rsidR="00864E04">
        <w:rPr>
          <w:rFonts w:ascii="Times New Roman" w:hAnsi="Times New Roman" w:cs="Times New Roman"/>
        </w:rPr>
        <w:t xml:space="preserve">ing </w:t>
      </w:r>
      <w:r w:rsidRPr="00FC6EBA">
        <w:rPr>
          <w:rFonts w:ascii="Times New Roman" w:hAnsi="Times New Roman" w:cs="Times New Roman"/>
        </w:rPr>
        <w:t>licensing events</w:t>
      </w:r>
      <w:r>
        <w:rPr>
          <w:rFonts w:ascii="Times New Roman" w:hAnsi="Times New Roman" w:cs="Times New Roman"/>
        </w:rPr>
        <w:t xml:space="preserve"> that can be used </w:t>
      </w:r>
      <w:r w:rsidRPr="00FC6EBA">
        <w:rPr>
          <w:rFonts w:ascii="Times New Roman" w:hAnsi="Times New Roman" w:cs="Times New Roman"/>
        </w:rPr>
        <w:t xml:space="preserve">to inform the design </w:t>
      </w:r>
      <w:r w:rsidR="00CD3C70">
        <w:rPr>
          <w:rFonts w:ascii="Times New Roman" w:hAnsi="Times New Roman" w:cs="Times New Roman"/>
        </w:rPr>
        <w:t>and</w:t>
      </w:r>
      <w:r w:rsidRPr="00FC6EBA">
        <w:rPr>
          <w:rFonts w:ascii="Times New Roman" w:hAnsi="Times New Roman" w:cs="Times New Roman"/>
        </w:rPr>
        <w:t xml:space="preserve"> licensing bas</w:t>
      </w:r>
      <w:r w:rsidR="00CD3C70">
        <w:rPr>
          <w:rFonts w:ascii="Times New Roman" w:hAnsi="Times New Roman" w:cs="Times New Roman"/>
        </w:rPr>
        <w:t>e</w:t>
      </w:r>
      <w:r w:rsidRPr="00FC6EBA">
        <w:rPr>
          <w:rFonts w:ascii="Times New Roman" w:hAnsi="Times New Roman" w:cs="Times New Roman"/>
        </w:rPr>
        <w:t xml:space="preserve">s and </w:t>
      </w:r>
      <w:r w:rsidR="00CD3C70">
        <w:rPr>
          <w:rFonts w:ascii="Times New Roman" w:hAnsi="Times New Roman" w:cs="Times New Roman"/>
        </w:rPr>
        <w:t xml:space="preserve">the </w:t>
      </w:r>
      <w:r w:rsidRPr="00FC6EBA">
        <w:rPr>
          <w:rFonts w:ascii="Times New Roman" w:hAnsi="Times New Roman" w:cs="Times New Roman"/>
        </w:rPr>
        <w:t xml:space="preserve">content of applications for commercial nuclear plants. </w:t>
      </w:r>
    </w:p>
    <w:p w:rsidR="00837330" w:rsidRPr="00352574" w:rsidP="002F3C90" w14:paraId="21D43F71" w14:textId="77777777">
      <w:pPr>
        <w:spacing w:after="0" w:line="240" w:lineRule="auto"/>
        <w:rPr>
          <w:rFonts w:ascii="Times New Roman" w:hAnsi="Times New Roman" w:cs="Times New Roman"/>
        </w:rPr>
      </w:pPr>
    </w:p>
    <w:p w:rsidR="00107D6B" w:rsidRPr="00352574" w:rsidP="002F3C90" w14:paraId="1B7940A6" w14:textId="17487C33">
      <w:pPr>
        <w:pStyle w:val="Heading2"/>
        <w:spacing w:line="240" w:lineRule="auto"/>
      </w:pPr>
      <w:r w:rsidRPr="00352574">
        <w:t>Applicability</w:t>
      </w:r>
    </w:p>
    <w:p w:rsidR="00082806" w:rsidRPr="00352574" w:rsidP="002F3C90" w14:paraId="66D4A801" w14:textId="073E12B2">
      <w:pPr>
        <w:spacing w:after="0" w:line="240" w:lineRule="auto"/>
        <w:rPr>
          <w:rFonts w:ascii="Times New Roman" w:hAnsi="Times New Roman" w:cs="Times New Roman"/>
        </w:rPr>
      </w:pPr>
    </w:p>
    <w:p w:rsidR="00A05BDD" w:rsidRPr="009B32BF" w:rsidP="0021002A" w14:paraId="2E017F99" w14:textId="6800209E">
      <w:pPr>
        <w:spacing w:after="0" w:line="240" w:lineRule="auto"/>
        <w:ind w:firstLine="720"/>
        <w:rPr>
          <w:rFonts w:ascii="Times New Roman" w:hAnsi="Times New Roman" w:cs="Times New Roman"/>
        </w:rPr>
      </w:pPr>
      <w:r w:rsidRPr="0E951458">
        <w:rPr>
          <w:rFonts w:ascii="Times New Roman" w:hAnsi="Times New Roman" w:cs="Times New Roman"/>
        </w:rPr>
        <w:t xml:space="preserve">This </w:t>
      </w:r>
      <w:r w:rsidRPr="0E951458" w:rsidR="00E15449">
        <w:rPr>
          <w:rFonts w:ascii="Times New Roman" w:hAnsi="Times New Roman" w:cs="Times New Roman"/>
        </w:rPr>
        <w:t>RG</w:t>
      </w:r>
      <w:r w:rsidRPr="0E951458" w:rsidR="00B861A2">
        <w:rPr>
          <w:rFonts w:ascii="Times New Roman" w:hAnsi="Times New Roman" w:cs="Times New Roman"/>
        </w:rPr>
        <w:t xml:space="preserve"> </w:t>
      </w:r>
      <w:r w:rsidRPr="0E951458" w:rsidR="00675A8C">
        <w:rPr>
          <w:rFonts w:ascii="Times New Roman" w:hAnsi="Times New Roman" w:cs="Times New Roman"/>
        </w:rPr>
        <w:t xml:space="preserve">applies to nuclear power reactor designers, applicants, and licensees of commercial nuclear plants applying for permits, licenses, certifications, and approvals under </w:t>
      </w:r>
      <w:r w:rsidRPr="0E951458" w:rsidR="008738A5">
        <w:rPr>
          <w:rFonts w:ascii="Times New Roman" w:hAnsi="Times New Roman" w:cs="Times New Roman"/>
        </w:rPr>
        <w:t>Title</w:t>
      </w:r>
      <w:r w:rsidRPr="0E951458" w:rsidR="00200703">
        <w:rPr>
          <w:rFonts w:ascii="Times New Roman" w:hAnsi="Times New Roman" w:cs="Times New Roman"/>
        </w:rPr>
        <w:t> </w:t>
      </w:r>
      <w:r w:rsidRPr="0E951458" w:rsidR="00675A8C">
        <w:rPr>
          <w:rFonts w:ascii="Times New Roman" w:hAnsi="Times New Roman" w:cs="Times New Roman"/>
        </w:rPr>
        <w:t>10</w:t>
      </w:r>
      <w:r w:rsidRPr="0E951458" w:rsidR="008738A5">
        <w:rPr>
          <w:rFonts w:ascii="Times New Roman" w:hAnsi="Times New Roman" w:cs="Times New Roman"/>
        </w:rPr>
        <w:t xml:space="preserve"> of the </w:t>
      </w:r>
      <w:r w:rsidRPr="0E951458" w:rsidR="008738A5">
        <w:rPr>
          <w:rFonts w:ascii="Times New Roman" w:hAnsi="Times New Roman"/>
          <w:i/>
          <w:iCs/>
        </w:rPr>
        <w:t>Code of Federal Regulations</w:t>
      </w:r>
      <w:r w:rsidRPr="0E951458" w:rsidR="008738A5">
        <w:rPr>
          <w:rFonts w:ascii="Times New Roman" w:hAnsi="Times New Roman" w:cs="Times New Roman"/>
        </w:rPr>
        <w:t xml:space="preserve"> (</w:t>
      </w:r>
      <w:r w:rsidRPr="0E951458" w:rsidR="00675A8C">
        <w:rPr>
          <w:rFonts w:ascii="Times New Roman" w:hAnsi="Times New Roman" w:cs="Times New Roman"/>
        </w:rPr>
        <w:t>CFR</w:t>
      </w:r>
      <w:r w:rsidRPr="0E951458" w:rsidR="008738A5">
        <w:rPr>
          <w:rFonts w:ascii="Times New Roman" w:hAnsi="Times New Roman" w:cs="Times New Roman"/>
        </w:rPr>
        <w:t>)</w:t>
      </w:r>
      <w:r w:rsidRPr="0E951458" w:rsidR="00200703">
        <w:rPr>
          <w:rFonts w:ascii="Times New Roman" w:hAnsi="Times New Roman" w:cs="Times New Roman"/>
        </w:rPr>
        <w:t> </w:t>
      </w:r>
      <w:r w:rsidRPr="0E951458" w:rsidR="00675A8C">
        <w:rPr>
          <w:rFonts w:ascii="Times New Roman" w:hAnsi="Times New Roman" w:cs="Times New Roman"/>
        </w:rPr>
        <w:t>Part</w:t>
      </w:r>
      <w:r w:rsidRPr="0E951458" w:rsidR="00200703">
        <w:rPr>
          <w:rFonts w:ascii="Times New Roman" w:hAnsi="Times New Roman" w:cs="Times New Roman"/>
        </w:rPr>
        <w:t> </w:t>
      </w:r>
      <w:r w:rsidRPr="0E951458" w:rsidR="00675A8C">
        <w:rPr>
          <w:rFonts w:ascii="Times New Roman" w:hAnsi="Times New Roman" w:cs="Times New Roman"/>
        </w:rPr>
        <w:t>50</w:t>
      </w:r>
      <w:r w:rsidRPr="0E951458" w:rsidR="004F1202">
        <w:rPr>
          <w:rFonts w:ascii="Times New Roman" w:hAnsi="Times New Roman" w:cs="Times New Roman"/>
        </w:rPr>
        <w:t>,</w:t>
      </w:r>
      <w:r w:rsidRPr="0E951458" w:rsidR="00367586">
        <w:rPr>
          <w:rFonts w:ascii="Times New Roman" w:hAnsi="Times New Roman" w:cs="Times New Roman"/>
        </w:rPr>
        <w:t xml:space="preserve"> “Domestic Licensing of Production and Utilization Facilities” (Ref.</w:t>
      </w:r>
      <w:r w:rsidRPr="0E951458" w:rsidR="00BC6843">
        <w:rPr>
          <w:rFonts w:ascii="Times New Roman" w:hAnsi="Times New Roman" w:cs="Times New Roman"/>
        </w:rPr>
        <w:t> </w:t>
      </w:r>
      <w:r w:rsidRPr="0E951458" w:rsidR="00367586">
        <w:rPr>
          <w:rFonts w:ascii="Times New Roman" w:hAnsi="Times New Roman" w:cs="Times New Roman"/>
        </w:rPr>
        <w:t>1)</w:t>
      </w:r>
      <w:r w:rsidRPr="0E951458" w:rsidR="00200703">
        <w:rPr>
          <w:rFonts w:ascii="Times New Roman" w:hAnsi="Times New Roman" w:cs="Times New Roman"/>
        </w:rPr>
        <w:t>;</w:t>
      </w:r>
      <w:r w:rsidRPr="0E951458" w:rsidR="00675A8C">
        <w:rPr>
          <w:rFonts w:ascii="Times New Roman" w:hAnsi="Times New Roman" w:cs="Times New Roman"/>
        </w:rPr>
        <w:t xml:space="preserve"> </w:t>
      </w:r>
      <w:r w:rsidRPr="0E951458" w:rsidR="00200703">
        <w:rPr>
          <w:rFonts w:ascii="Times New Roman" w:hAnsi="Times New Roman" w:cs="Times New Roman"/>
        </w:rPr>
        <w:t>10 CFR </w:t>
      </w:r>
      <w:r w:rsidRPr="0E951458" w:rsidR="00675A8C">
        <w:rPr>
          <w:rFonts w:ascii="Times New Roman" w:hAnsi="Times New Roman" w:cs="Times New Roman"/>
        </w:rPr>
        <w:t>Part</w:t>
      </w:r>
      <w:r w:rsidRPr="0E951458" w:rsidR="00200703">
        <w:rPr>
          <w:rFonts w:ascii="Times New Roman" w:hAnsi="Times New Roman" w:cs="Times New Roman"/>
        </w:rPr>
        <w:t> </w:t>
      </w:r>
      <w:r w:rsidRPr="0E951458" w:rsidR="00675A8C">
        <w:rPr>
          <w:rFonts w:ascii="Times New Roman" w:hAnsi="Times New Roman" w:cs="Times New Roman"/>
        </w:rPr>
        <w:t xml:space="preserve">52, </w:t>
      </w:r>
      <w:r w:rsidRPr="0E951458" w:rsidR="005427BA">
        <w:rPr>
          <w:rFonts w:ascii="Times New Roman" w:hAnsi="Times New Roman" w:cs="Times New Roman"/>
        </w:rPr>
        <w:t>“Licenses, Certifications, and Approvals for Nuclear Power Plants” (Ref.</w:t>
      </w:r>
      <w:r w:rsidRPr="0E951458" w:rsidR="00200703">
        <w:rPr>
          <w:rFonts w:ascii="Times New Roman" w:hAnsi="Times New Roman" w:cs="Times New Roman"/>
        </w:rPr>
        <w:t> </w:t>
      </w:r>
      <w:r w:rsidRPr="0E951458" w:rsidR="005427BA">
        <w:rPr>
          <w:rFonts w:ascii="Times New Roman" w:hAnsi="Times New Roman" w:cs="Times New Roman"/>
        </w:rPr>
        <w:t>2)</w:t>
      </w:r>
      <w:r w:rsidRPr="0E951458" w:rsidR="00200703">
        <w:rPr>
          <w:rFonts w:ascii="Times New Roman" w:hAnsi="Times New Roman" w:cs="Times New Roman"/>
        </w:rPr>
        <w:t>;</w:t>
      </w:r>
      <w:r w:rsidRPr="0E951458" w:rsidR="005427BA">
        <w:rPr>
          <w:rFonts w:ascii="Times New Roman" w:hAnsi="Times New Roman" w:cs="Times New Roman"/>
        </w:rPr>
        <w:t xml:space="preserve"> </w:t>
      </w:r>
      <w:r w:rsidRPr="0E951458" w:rsidR="00675A8C">
        <w:rPr>
          <w:rFonts w:ascii="Times New Roman" w:hAnsi="Times New Roman" w:cs="Times New Roman"/>
        </w:rPr>
        <w:t>and</w:t>
      </w:r>
      <w:r w:rsidRPr="0E951458" w:rsidR="00FF0A90">
        <w:rPr>
          <w:rFonts w:ascii="Times New Roman" w:hAnsi="Times New Roman" w:cs="Times New Roman"/>
        </w:rPr>
        <w:t xml:space="preserve"> </w:t>
      </w:r>
      <w:r w:rsidRPr="0E951458" w:rsidR="00200703">
        <w:rPr>
          <w:rFonts w:ascii="Times New Roman" w:hAnsi="Times New Roman" w:cs="Times New Roman"/>
        </w:rPr>
        <w:t>10 CFR </w:t>
      </w:r>
      <w:r w:rsidRPr="0E951458" w:rsidR="00675A8C">
        <w:rPr>
          <w:rFonts w:ascii="Times New Roman" w:hAnsi="Times New Roman" w:cs="Times New Roman"/>
        </w:rPr>
        <w:t>Part</w:t>
      </w:r>
      <w:r w:rsidRPr="0E951458" w:rsidR="00BC6843">
        <w:rPr>
          <w:rFonts w:ascii="Times New Roman" w:hAnsi="Times New Roman" w:cs="Times New Roman"/>
        </w:rPr>
        <w:t> </w:t>
      </w:r>
      <w:r w:rsidRPr="0E951458" w:rsidR="00675A8C">
        <w:rPr>
          <w:rFonts w:ascii="Times New Roman" w:hAnsi="Times New Roman" w:cs="Times New Roman"/>
        </w:rPr>
        <w:t>53</w:t>
      </w:r>
      <w:r w:rsidRPr="0E951458" w:rsidR="005427BA">
        <w:rPr>
          <w:rFonts w:ascii="Times New Roman" w:hAnsi="Times New Roman" w:cs="Times New Roman"/>
        </w:rPr>
        <w:t>, “Risk-Informed, Technology-Inclusive Regulatory Framework for Commercial Nuclear Plants”</w:t>
      </w:r>
      <w:r w:rsidRPr="0E951458" w:rsidR="00243600">
        <w:rPr>
          <w:rFonts w:ascii="Times New Roman" w:hAnsi="Times New Roman" w:cs="Times New Roman"/>
        </w:rPr>
        <w:t xml:space="preserve"> (Ref.</w:t>
      </w:r>
      <w:r w:rsidRPr="0E951458" w:rsidR="00200703">
        <w:rPr>
          <w:rFonts w:ascii="Times New Roman" w:hAnsi="Times New Roman" w:cs="Times New Roman"/>
        </w:rPr>
        <w:t> </w:t>
      </w:r>
      <w:r w:rsidRPr="0E951458" w:rsidR="00243600">
        <w:rPr>
          <w:rFonts w:ascii="Times New Roman" w:hAnsi="Times New Roman" w:cs="Times New Roman"/>
        </w:rPr>
        <w:t>3)</w:t>
      </w:r>
      <w:r w:rsidRPr="0E951458" w:rsidR="00675A8C">
        <w:rPr>
          <w:rFonts w:ascii="Times New Roman" w:hAnsi="Times New Roman" w:cs="Times New Roman"/>
        </w:rPr>
        <w:t>.</w:t>
      </w:r>
    </w:p>
    <w:p w:rsidR="00B359AE" w:rsidRPr="00352574" w:rsidP="002F3C90" w14:paraId="66DB48EB" w14:textId="77777777">
      <w:pPr>
        <w:spacing w:after="0" w:line="240" w:lineRule="auto"/>
        <w:rPr>
          <w:rFonts w:ascii="Times New Roman" w:hAnsi="Times New Roman" w:cs="Times New Roman"/>
        </w:rPr>
      </w:pPr>
    </w:p>
    <w:p w:rsidR="00107D6B" w:rsidRPr="00352574" w:rsidP="002F3C90" w14:paraId="15B1D129" w14:textId="31E34664">
      <w:pPr>
        <w:pStyle w:val="Heading2"/>
        <w:spacing w:line="240" w:lineRule="auto"/>
      </w:pPr>
      <w:r w:rsidRPr="00352574">
        <w:t>Applicable Regulations</w:t>
      </w:r>
    </w:p>
    <w:p w:rsidR="00482AE3" w:rsidRPr="00352574" w:rsidP="002F3C90" w14:paraId="33804F84" w14:textId="77777777">
      <w:pPr>
        <w:spacing w:after="0" w:line="240" w:lineRule="auto"/>
        <w:rPr>
          <w:rFonts w:ascii="Times New Roman" w:hAnsi="Times New Roman" w:cs="Times New Roman"/>
        </w:rPr>
      </w:pPr>
    </w:p>
    <w:p w:rsidR="00482AE3" w:rsidP="002F3C90" w14:paraId="0CBFB84E" w14:textId="7F8DE4E6">
      <w:pPr>
        <w:spacing w:after="0" w:line="240" w:lineRule="auto"/>
        <w:ind w:firstLine="720"/>
        <w:rPr>
          <w:rFonts w:ascii="Times New Roman" w:hAnsi="Times New Roman" w:cs="Times New Roman"/>
        </w:rPr>
      </w:pPr>
      <w:r w:rsidRPr="006663CC">
        <w:rPr>
          <w:rFonts w:ascii="Times New Roman" w:hAnsi="Times New Roman" w:cs="Times New Roman"/>
        </w:rPr>
        <w:t xml:space="preserve">The following regulations are applicable to the </w:t>
      </w:r>
      <w:r w:rsidR="00311517">
        <w:rPr>
          <w:rFonts w:ascii="Times New Roman" w:hAnsi="Times New Roman" w:cs="Times New Roman"/>
        </w:rPr>
        <w:t>identification of licensing events:</w:t>
      </w:r>
    </w:p>
    <w:p w:rsidR="00311517" w:rsidP="002F3C90" w14:paraId="6F815F82" w14:textId="322DD636">
      <w:pPr>
        <w:spacing w:after="0" w:line="240" w:lineRule="auto"/>
        <w:rPr>
          <w:rFonts w:ascii="Times New Roman" w:hAnsi="Times New Roman" w:cs="Times New Roman"/>
        </w:rPr>
      </w:pPr>
    </w:p>
    <w:p w:rsidR="00B57CCD" w:rsidP="002F3C90" w14:paraId="60038F97" w14:textId="0CEF4088">
      <w:pPr>
        <w:pStyle w:val="ListParagraph"/>
        <w:numPr>
          <w:ilvl w:val="0"/>
          <w:numId w:val="1"/>
        </w:numPr>
        <w:spacing w:after="220" w:line="240" w:lineRule="auto"/>
        <w:contextualSpacing w:val="0"/>
        <w:rPr>
          <w:rFonts w:ascii="Times New Roman" w:hAnsi="Times New Roman" w:cs="Times New Roman"/>
        </w:rPr>
      </w:pPr>
      <w:r>
        <w:rPr>
          <w:rFonts w:ascii="Times New Roman" w:hAnsi="Times New Roman" w:cs="Times New Roman"/>
        </w:rPr>
        <w:t>10</w:t>
      </w:r>
      <w:r w:rsidR="00200703">
        <w:rPr>
          <w:rFonts w:ascii="Times New Roman" w:hAnsi="Times New Roman" w:cs="Times New Roman"/>
        </w:rPr>
        <w:t> </w:t>
      </w:r>
      <w:r>
        <w:rPr>
          <w:rFonts w:ascii="Times New Roman" w:hAnsi="Times New Roman" w:cs="Times New Roman"/>
        </w:rPr>
        <w:t>CFR</w:t>
      </w:r>
      <w:r w:rsidR="00200703">
        <w:rPr>
          <w:rFonts w:ascii="Times New Roman" w:hAnsi="Times New Roman" w:cs="Times New Roman"/>
        </w:rPr>
        <w:t> </w:t>
      </w:r>
      <w:r w:rsidR="009859D2">
        <w:rPr>
          <w:rFonts w:ascii="Times New Roman" w:hAnsi="Times New Roman" w:cs="Times New Roman"/>
        </w:rPr>
        <w:t>Part</w:t>
      </w:r>
      <w:r w:rsidR="00200703">
        <w:rPr>
          <w:rFonts w:ascii="Times New Roman" w:hAnsi="Times New Roman" w:cs="Times New Roman"/>
        </w:rPr>
        <w:t> </w:t>
      </w:r>
      <w:r w:rsidR="009859D2">
        <w:rPr>
          <w:rFonts w:ascii="Times New Roman" w:hAnsi="Times New Roman" w:cs="Times New Roman"/>
        </w:rPr>
        <w:t>50</w:t>
      </w:r>
    </w:p>
    <w:p w:rsidR="009859D2" w:rsidP="002F3C90" w14:paraId="53D18A57" w14:textId="7E5B48F1">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DC50C8">
        <w:rPr>
          <w:rFonts w:ascii="Times New Roman" w:hAnsi="Times New Roman" w:cs="Times New Roman"/>
        </w:rPr>
        <w:t>50.34(a)</w:t>
      </w:r>
      <w:r w:rsidR="0044571C">
        <w:rPr>
          <w:rFonts w:ascii="Times New Roman" w:hAnsi="Times New Roman" w:cs="Times New Roman"/>
        </w:rPr>
        <w:t>(1)</w:t>
      </w:r>
      <w:r w:rsidR="000E431B">
        <w:rPr>
          <w:rFonts w:ascii="Times New Roman" w:hAnsi="Times New Roman" w:cs="Times New Roman"/>
        </w:rPr>
        <w:t>(i)</w:t>
      </w:r>
      <w:r w:rsidR="00DC50C8">
        <w:rPr>
          <w:rFonts w:ascii="Times New Roman" w:hAnsi="Times New Roman" w:cs="Times New Roman"/>
        </w:rPr>
        <w:t xml:space="preserve"> requires </w:t>
      </w:r>
      <w:r w:rsidR="00B3236E">
        <w:rPr>
          <w:rFonts w:ascii="Times New Roman" w:hAnsi="Times New Roman" w:cs="Times New Roman"/>
        </w:rPr>
        <w:t>all</w:t>
      </w:r>
      <w:r w:rsidRPr="00954D53" w:rsidR="00954D53">
        <w:rPr>
          <w:rFonts w:ascii="Times New Roman" w:hAnsi="Times New Roman" w:cs="Times New Roman"/>
        </w:rPr>
        <w:t xml:space="preserve"> power reactor applicants for a construction permit</w:t>
      </w:r>
      <w:r w:rsidRPr="006A2F26" w:rsidR="00954D53">
        <w:rPr>
          <w:rFonts w:ascii="Times New Roman" w:hAnsi="Times New Roman" w:cs="Times New Roman"/>
        </w:rPr>
        <w:t xml:space="preserve"> </w:t>
      </w:r>
      <w:r w:rsidRPr="006A2F26" w:rsidR="00CB3819">
        <w:rPr>
          <w:rFonts w:ascii="Times New Roman" w:hAnsi="Times New Roman" w:cs="Times New Roman"/>
        </w:rPr>
        <w:t>(CP)</w:t>
      </w:r>
      <w:r w:rsidRPr="006A2F26" w:rsidR="00954D53">
        <w:rPr>
          <w:rFonts w:ascii="Times New Roman" w:hAnsi="Times New Roman" w:cs="Times New Roman"/>
        </w:rPr>
        <w:t xml:space="preserve"> </w:t>
      </w:r>
      <w:r w:rsidR="00954D53">
        <w:rPr>
          <w:rFonts w:ascii="Times New Roman" w:hAnsi="Times New Roman" w:cs="Times New Roman"/>
        </w:rPr>
        <w:t xml:space="preserve">to </w:t>
      </w:r>
      <w:r w:rsidR="00FE2490">
        <w:rPr>
          <w:rFonts w:ascii="Times New Roman" w:hAnsi="Times New Roman" w:cs="Times New Roman"/>
        </w:rPr>
        <w:t xml:space="preserve">provide a </w:t>
      </w:r>
      <w:r w:rsidRPr="00A66AB5" w:rsidR="00A66AB5">
        <w:rPr>
          <w:rFonts w:ascii="Times New Roman" w:hAnsi="Times New Roman" w:cs="Times New Roman"/>
        </w:rPr>
        <w:t xml:space="preserve">description and safety assessment of the site on which the facility is to be located, with appropriate attention to features affecting facility design. Special attention should be directed to the site evaluation factors identified in </w:t>
      </w:r>
      <w:r w:rsidR="00890653">
        <w:rPr>
          <w:rFonts w:ascii="Times New Roman" w:hAnsi="Times New Roman" w:cs="Times New Roman"/>
        </w:rPr>
        <w:t>10</w:t>
      </w:r>
      <w:r w:rsidR="005024B8">
        <w:rPr>
          <w:rFonts w:ascii="Times New Roman" w:hAnsi="Times New Roman" w:cs="Times New Roman"/>
        </w:rPr>
        <w:t> </w:t>
      </w:r>
      <w:r w:rsidR="00890653">
        <w:rPr>
          <w:rFonts w:ascii="Times New Roman" w:hAnsi="Times New Roman" w:cs="Times New Roman"/>
        </w:rPr>
        <w:t>CFR</w:t>
      </w:r>
      <w:r w:rsidR="005024B8">
        <w:rPr>
          <w:rFonts w:ascii="Times New Roman" w:hAnsi="Times New Roman" w:cs="Times New Roman"/>
        </w:rPr>
        <w:t> </w:t>
      </w:r>
      <w:r w:rsidR="00890653">
        <w:rPr>
          <w:rFonts w:ascii="Times New Roman" w:hAnsi="Times New Roman" w:cs="Times New Roman"/>
        </w:rPr>
        <w:t>Part</w:t>
      </w:r>
      <w:r w:rsidR="005024B8">
        <w:rPr>
          <w:rFonts w:ascii="Times New Roman" w:hAnsi="Times New Roman" w:cs="Times New Roman"/>
        </w:rPr>
        <w:t> </w:t>
      </w:r>
      <w:r w:rsidR="00890653">
        <w:rPr>
          <w:rFonts w:ascii="Times New Roman" w:hAnsi="Times New Roman" w:cs="Times New Roman"/>
        </w:rPr>
        <w:t>100</w:t>
      </w:r>
      <w:r w:rsidR="005024B8">
        <w:rPr>
          <w:rFonts w:ascii="Times New Roman" w:hAnsi="Times New Roman" w:cs="Times New Roman"/>
        </w:rPr>
        <w:t>, “Reactor Site Criteria”</w:t>
      </w:r>
      <w:r w:rsidR="002C515E">
        <w:rPr>
          <w:rFonts w:ascii="Times New Roman" w:hAnsi="Times New Roman" w:cs="Times New Roman"/>
        </w:rPr>
        <w:t xml:space="preserve"> </w:t>
      </w:r>
      <w:r w:rsidR="00AE0453">
        <w:rPr>
          <w:rFonts w:ascii="Times New Roman" w:hAnsi="Times New Roman" w:cs="Times New Roman"/>
        </w:rPr>
        <w:t>(Ref.</w:t>
      </w:r>
      <w:r w:rsidRPr="00770837" w:rsidR="00770837">
        <w:rPr>
          <w:rFonts w:ascii="Times New Roman" w:hAnsi="Times New Roman" w:cs="Times New Roman"/>
        </w:rPr>
        <w:t xml:space="preserve"> </w:t>
      </w:r>
      <w:r w:rsidR="007528EE">
        <w:rPr>
          <w:rFonts w:ascii="Times New Roman" w:hAnsi="Times New Roman" w:cs="Times New Roman"/>
        </w:rPr>
        <w:t>4</w:t>
      </w:r>
      <w:r w:rsidR="00AE0453">
        <w:rPr>
          <w:rFonts w:ascii="Times New Roman" w:hAnsi="Times New Roman" w:cs="Times New Roman"/>
        </w:rPr>
        <w:t xml:space="preserve">). </w:t>
      </w:r>
      <w:r w:rsidRPr="00A66AB5" w:rsidR="00A66AB5">
        <w:rPr>
          <w:rFonts w:ascii="Times New Roman" w:hAnsi="Times New Roman" w:cs="Times New Roman"/>
        </w:rPr>
        <w:t>The assessment must contain an analysis and evaluation of the major structures, systems</w:t>
      </w:r>
      <w:r w:rsidR="00A642BF">
        <w:rPr>
          <w:rFonts w:ascii="Times New Roman" w:hAnsi="Times New Roman" w:cs="Times New Roman"/>
        </w:rPr>
        <w:t>,</w:t>
      </w:r>
      <w:r w:rsidRPr="00A66AB5" w:rsidR="00A66AB5">
        <w:rPr>
          <w:rFonts w:ascii="Times New Roman" w:hAnsi="Times New Roman" w:cs="Times New Roman"/>
        </w:rPr>
        <w:t xml:space="preserve"> and components </w:t>
      </w:r>
      <w:r w:rsidR="00182E44">
        <w:rPr>
          <w:rFonts w:ascii="Times New Roman" w:hAnsi="Times New Roman" w:cs="Times New Roman"/>
        </w:rPr>
        <w:t xml:space="preserve">(SSCs) </w:t>
      </w:r>
      <w:r w:rsidRPr="00A66AB5" w:rsidR="00A66AB5">
        <w:rPr>
          <w:rFonts w:ascii="Times New Roman" w:hAnsi="Times New Roman" w:cs="Times New Roman"/>
        </w:rPr>
        <w:t xml:space="preserve">of the facility which bear significantly on the acceptability </w:t>
      </w:r>
      <w:r w:rsidRPr="00A66AB5" w:rsidR="00A66AB5">
        <w:rPr>
          <w:rFonts w:ascii="Times New Roman" w:hAnsi="Times New Roman" w:cs="Times New Roman"/>
        </w:rPr>
        <w:t xml:space="preserve">of the site under the site evaluation factors identified in </w:t>
      </w:r>
      <w:r w:rsidR="007A25CA">
        <w:rPr>
          <w:rFonts w:ascii="Times New Roman" w:hAnsi="Times New Roman" w:cs="Times New Roman"/>
        </w:rPr>
        <w:t>10 CFR </w:t>
      </w:r>
      <w:r w:rsidR="00CD3C70">
        <w:rPr>
          <w:rFonts w:ascii="Times New Roman" w:hAnsi="Times New Roman" w:cs="Times New Roman"/>
        </w:rPr>
        <w:t>P</w:t>
      </w:r>
      <w:r w:rsidRPr="00A66AB5" w:rsidR="00A66AB5">
        <w:rPr>
          <w:rFonts w:ascii="Times New Roman" w:hAnsi="Times New Roman" w:cs="Times New Roman"/>
        </w:rPr>
        <w:t>art 100, assuming that the facility will be operated at the ultimate power level which is contemplated by the applican</w:t>
      </w:r>
      <w:r w:rsidR="0047186A">
        <w:rPr>
          <w:rFonts w:ascii="Times New Roman" w:hAnsi="Times New Roman" w:cs="Times New Roman"/>
        </w:rPr>
        <w:t>t.</w:t>
      </w:r>
    </w:p>
    <w:p w:rsidR="00890653" w:rsidP="002F3C90" w14:paraId="4B8B242D" w14:textId="5C46E725">
      <w:pPr>
        <w:pStyle w:val="ListParagraph"/>
        <w:spacing w:after="0" w:line="240" w:lineRule="auto"/>
        <w:ind w:left="1080"/>
        <w:rPr>
          <w:rFonts w:ascii="Times New Roman" w:hAnsi="Times New Roman" w:cs="Times New Roman"/>
        </w:rPr>
      </w:pPr>
    </w:p>
    <w:p w:rsidR="00890653" w:rsidP="002F3C90" w14:paraId="302C8957" w14:textId="0ADBC584">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0E431B">
        <w:rPr>
          <w:rFonts w:ascii="Times New Roman" w:hAnsi="Times New Roman" w:cs="Times New Roman"/>
        </w:rPr>
        <w:t xml:space="preserve">50.34(a)(1)(ii) requires </w:t>
      </w:r>
      <w:bookmarkStart w:id="0" w:name="_Hlk96587724"/>
      <w:r w:rsidRPr="000E431B" w:rsidR="000E431B">
        <w:rPr>
          <w:rFonts w:ascii="Times New Roman" w:hAnsi="Times New Roman" w:cs="Times New Roman"/>
        </w:rPr>
        <w:t xml:space="preserve">stationary power reactor applicants for a </w:t>
      </w:r>
      <w:r w:rsidR="00CB3819">
        <w:rPr>
          <w:rFonts w:ascii="Times New Roman" w:hAnsi="Times New Roman" w:cs="Times New Roman"/>
        </w:rPr>
        <w:t>CP</w:t>
      </w:r>
      <w:r w:rsidRPr="000E431B" w:rsidR="000E431B">
        <w:rPr>
          <w:rFonts w:ascii="Times New Roman" w:hAnsi="Times New Roman" w:cs="Times New Roman"/>
        </w:rPr>
        <w:t xml:space="preserve"> to provide</w:t>
      </w:r>
      <w:r w:rsidRPr="00DA3219" w:rsidR="00DA3219">
        <w:t xml:space="preserve"> </w:t>
      </w:r>
      <w:bookmarkEnd w:id="0"/>
      <w:r w:rsidR="00DA3219">
        <w:rPr>
          <w:rFonts w:ascii="Times New Roman" w:hAnsi="Times New Roman" w:cs="Times New Roman"/>
        </w:rPr>
        <w:t>a</w:t>
      </w:r>
      <w:r w:rsidRPr="00DA3219" w:rsidR="00DA3219">
        <w:rPr>
          <w:rFonts w:ascii="Times New Roman" w:hAnsi="Times New Roman" w:cs="Times New Roman"/>
        </w:rPr>
        <w:t xml:space="preserve"> description and safety assessment of the site and a safety assessment of the facility. It is expected that reactors will reflect</w:t>
      </w:r>
      <w:r w:rsidR="005024B8">
        <w:rPr>
          <w:rFonts w:ascii="Times New Roman" w:hAnsi="Times New Roman" w:cs="Times New Roman"/>
        </w:rPr>
        <w:t>,</w:t>
      </w:r>
      <w:r w:rsidRPr="00DA3219" w:rsidR="00DA3219">
        <w:rPr>
          <w:rFonts w:ascii="Times New Roman" w:hAnsi="Times New Roman" w:cs="Times New Roman"/>
        </w:rPr>
        <w:t xml:space="preserve"> through their design, construction</w:t>
      </w:r>
      <w:r w:rsidR="00873A43">
        <w:rPr>
          <w:rFonts w:ascii="Times New Roman" w:hAnsi="Times New Roman" w:cs="Times New Roman"/>
        </w:rPr>
        <w:t>,</w:t>
      </w:r>
      <w:r w:rsidRPr="00DA3219" w:rsidR="00DA3219">
        <w:rPr>
          <w:rFonts w:ascii="Times New Roman" w:hAnsi="Times New Roman" w:cs="Times New Roman"/>
        </w:rPr>
        <w:t xml:space="preserve"> and operation</w:t>
      </w:r>
      <w:r w:rsidR="005024B8">
        <w:rPr>
          <w:rFonts w:ascii="Times New Roman" w:hAnsi="Times New Roman" w:cs="Times New Roman"/>
        </w:rPr>
        <w:t>,</w:t>
      </w:r>
      <w:r w:rsidRPr="00DA3219" w:rsidR="00DA3219">
        <w:rPr>
          <w:rFonts w:ascii="Times New Roman" w:hAnsi="Times New Roman" w:cs="Times New Roman"/>
        </w:rPr>
        <w:t xml:space="preserve"> an extremely low probability </w:t>
      </w:r>
      <w:r w:rsidRPr="00DA3219" w:rsidR="00DA3219">
        <w:rPr>
          <w:rFonts w:ascii="Times New Roman" w:hAnsi="Times New Roman" w:cs="Times New Roman"/>
        </w:rPr>
        <w:t>for</w:t>
      </w:r>
      <w:r w:rsidRPr="00DA3219" w:rsidR="00DA3219">
        <w:rPr>
          <w:rFonts w:ascii="Times New Roman" w:hAnsi="Times New Roman" w:cs="Times New Roman"/>
        </w:rPr>
        <w:t xml:space="preserve"> accidents that could result in the release of significant quantities of radioactive fission products.</w:t>
      </w:r>
    </w:p>
    <w:p w:rsidR="00DA3219" w:rsidP="002F3C90" w14:paraId="5116A271" w14:textId="44EF6EC4">
      <w:pPr>
        <w:pStyle w:val="ListParagraph"/>
        <w:spacing w:after="0" w:line="240" w:lineRule="auto"/>
        <w:ind w:left="1080"/>
        <w:rPr>
          <w:rFonts w:ascii="Times New Roman" w:hAnsi="Times New Roman" w:cs="Times New Roman"/>
        </w:rPr>
      </w:pPr>
    </w:p>
    <w:p w:rsidR="00DA3219" w:rsidP="002F3C90" w14:paraId="745B151C" w14:textId="0C4477B2">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2621CC">
        <w:rPr>
          <w:rFonts w:ascii="Times New Roman" w:hAnsi="Times New Roman" w:cs="Times New Roman"/>
        </w:rPr>
        <w:t xml:space="preserve">50.34(a)(4) requires </w:t>
      </w:r>
      <w:r w:rsidR="00557E2F">
        <w:rPr>
          <w:rFonts w:ascii="Times New Roman" w:hAnsi="Times New Roman" w:cs="Times New Roman"/>
        </w:rPr>
        <w:t>all</w:t>
      </w:r>
      <w:r w:rsidRPr="002621CC" w:rsidR="002621CC">
        <w:rPr>
          <w:rFonts w:ascii="Times New Roman" w:hAnsi="Times New Roman" w:cs="Times New Roman"/>
        </w:rPr>
        <w:t xml:space="preserve"> power reactor applicants for a </w:t>
      </w:r>
      <w:r w:rsidR="00590BAA">
        <w:rPr>
          <w:rFonts w:ascii="Times New Roman" w:hAnsi="Times New Roman" w:cs="Times New Roman"/>
        </w:rPr>
        <w:t>CP</w:t>
      </w:r>
      <w:r w:rsidRPr="002621CC" w:rsidR="002621CC">
        <w:rPr>
          <w:rFonts w:ascii="Times New Roman" w:hAnsi="Times New Roman" w:cs="Times New Roman"/>
        </w:rPr>
        <w:t xml:space="preserve"> to provide</w:t>
      </w:r>
      <w:r w:rsidRPr="006E2720" w:rsidR="006E2720">
        <w:t xml:space="preserve"> </w:t>
      </w:r>
      <w:r w:rsidR="006E2720">
        <w:rPr>
          <w:rFonts w:ascii="Times New Roman" w:hAnsi="Times New Roman" w:cs="Times New Roman"/>
        </w:rPr>
        <w:t>a</w:t>
      </w:r>
      <w:r w:rsidRPr="006E2720" w:rsidR="006E2720">
        <w:rPr>
          <w:rFonts w:ascii="Times New Roman" w:hAnsi="Times New Roman" w:cs="Times New Roman"/>
        </w:rPr>
        <w:t xml:space="preserve"> preliminary analysis and evaluation of the design and performance of </w:t>
      </w:r>
      <w:r w:rsidR="004435DD">
        <w:rPr>
          <w:rFonts w:ascii="Times New Roman" w:hAnsi="Times New Roman" w:cs="Times New Roman"/>
        </w:rPr>
        <w:t>SSCs</w:t>
      </w:r>
      <w:r w:rsidRPr="006E2720" w:rsidR="006E2720">
        <w:rPr>
          <w:rFonts w:ascii="Times New Roman" w:hAnsi="Times New Roman" w:cs="Times New Roman"/>
        </w:rPr>
        <w:t xml:space="preserve"> of the facility with the objective of assessing the risk to public health and safety resulting from operation of the facility and including</w:t>
      </w:r>
      <w:r w:rsidR="005024B8">
        <w:rPr>
          <w:rFonts w:ascii="Times New Roman" w:hAnsi="Times New Roman" w:cs="Times New Roman"/>
        </w:rPr>
        <w:t xml:space="preserve"> </w:t>
      </w:r>
      <w:r w:rsidRPr="006E2720" w:rsidR="006E2720">
        <w:rPr>
          <w:rFonts w:ascii="Times New Roman" w:hAnsi="Times New Roman" w:cs="Times New Roman"/>
        </w:rPr>
        <w:t xml:space="preserve">determination of the margins of safety during normal operations and transient conditions anticipated during the life of the facility, and the adequacy of </w:t>
      </w:r>
      <w:r w:rsidR="001D0C19">
        <w:rPr>
          <w:rFonts w:ascii="Times New Roman" w:hAnsi="Times New Roman" w:cs="Times New Roman"/>
        </w:rPr>
        <w:t>SSCs</w:t>
      </w:r>
      <w:r w:rsidRPr="006E2720" w:rsidR="006E2720">
        <w:rPr>
          <w:rFonts w:ascii="Times New Roman" w:hAnsi="Times New Roman" w:cs="Times New Roman"/>
        </w:rPr>
        <w:t xml:space="preserve"> provided for the prevention of accidents and the mitigation of the consequences of accidents.</w:t>
      </w:r>
    </w:p>
    <w:p w:rsidR="001643A3" w:rsidP="002F3C90" w14:paraId="0E590898" w14:textId="30D2E408">
      <w:pPr>
        <w:pStyle w:val="ListParagraph"/>
        <w:spacing w:after="0" w:line="240" w:lineRule="auto"/>
        <w:ind w:left="1080"/>
        <w:rPr>
          <w:rFonts w:ascii="Times New Roman" w:hAnsi="Times New Roman" w:cs="Times New Roman"/>
        </w:rPr>
      </w:pPr>
    </w:p>
    <w:p w:rsidR="001643A3" w:rsidP="002F3C90" w14:paraId="395CDFB2" w14:textId="0CE52A3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F47BEF">
        <w:rPr>
          <w:rFonts w:ascii="Times New Roman" w:hAnsi="Times New Roman" w:cs="Times New Roman"/>
        </w:rPr>
        <w:t>50.34(b)</w:t>
      </w:r>
      <w:r w:rsidRPr="00F47BEF" w:rsidR="00F47BEF">
        <w:t xml:space="preserve"> </w:t>
      </w:r>
      <w:r w:rsidR="00F47BEF">
        <w:rPr>
          <w:rFonts w:ascii="Times New Roman" w:hAnsi="Times New Roman" w:cs="Times New Roman"/>
        </w:rPr>
        <w:t>requires e</w:t>
      </w:r>
      <w:r w:rsidRPr="00F47BEF" w:rsidR="00F47BEF">
        <w:rPr>
          <w:rFonts w:ascii="Times New Roman" w:hAnsi="Times New Roman" w:cs="Times New Roman"/>
        </w:rPr>
        <w:t>ach application for an operating license</w:t>
      </w:r>
      <w:r w:rsidR="00112662">
        <w:rPr>
          <w:rFonts w:ascii="Times New Roman" w:hAnsi="Times New Roman" w:cs="Times New Roman"/>
        </w:rPr>
        <w:t xml:space="preserve"> (OL)</w:t>
      </w:r>
      <w:r w:rsidRPr="00F47BEF" w:rsidR="00F47BEF">
        <w:rPr>
          <w:rFonts w:ascii="Times New Roman" w:hAnsi="Times New Roman" w:cs="Times New Roman"/>
        </w:rPr>
        <w:t xml:space="preserve"> </w:t>
      </w:r>
      <w:r w:rsidR="000C044B">
        <w:rPr>
          <w:rFonts w:ascii="Times New Roman" w:hAnsi="Times New Roman" w:cs="Times New Roman"/>
        </w:rPr>
        <w:t>to</w:t>
      </w:r>
      <w:r w:rsidRPr="00F47BEF" w:rsidR="00F47BEF">
        <w:rPr>
          <w:rFonts w:ascii="Times New Roman" w:hAnsi="Times New Roman" w:cs="Times New Roman"/>
        </w:rPr>
        <w:t xml:space="preserve"> include a final safety analysis report</w:t>
      </w:r>
      <w:r w:rsidR="008C2EA8">
        <w:rPr>
          <w:rFonts w:ascii="Times New Roman" w:hAnsi="Times New Roman" w:cs="Times New Roman"/>
        </w:rPr>
        <w:t xml:space="preserve"> </w:t>
      </w:r>
      <w:r w:rsidRPr="00F47BEF" w:rsidR="00F47BEF">
        <w:rPr>
          <w:rFonts w:ascii="Times New Roman" w:hAnsi="Times New Roman" w:cs="Times New Roman"/>
        </w:rPr>
        <w:t xml:space="preserve">that describes the facility, presents the design bases and the limits on its operation, and presents a safety analysis of the </w:t>
      </w:r>
      <w:r w:rsidR="00B47036">
        <w:rPr>
          <w:rFonts w:ascii="Times New Roman" w:hAnsi="Times New Roman" w:cs="Times New Roman"/>
        </w:rPr>
        <w:t>SSCs</w:t>
      </w:r>
      <w:r w:rsidRPr="00F47BEF" w:rsidR="00F47BEF">
        <w:rPr>
          <w:rFonts w:ascii="Times New Roman" w:hAnsi="Times New Roman" w:cs="Times New Roman"/>
        </w:rPr>
        <w:t xml:space="preserve"> and of the </w:t>
      </w:r>
      <w:r w:rsidRPr="00F47BEF" w:rsidR="00F47BEF">
        <w:rPr>
          <w:rFonts w:ascii="Times New Roman" w:hAnsi="Times New Roman" w:cs="Times New Roman"/>
        </w:rPr>
        <w:t>facility as a whole</w:t>
      </w:r>
      <w:r w:rsidR="000C044B">
        <w:rPr>
          <w:rFonts w:ascii="Times New Roman" w:hAnsi="Times New Roman" w:cs="Times New Roman"/>
        </w:rPr>
        <w:t>.</w:t>
      </w:r>
    </w:p>
    <w:p w:rsidR="00130632" w:rsidP="002F3C90" w14:paraId="4E7B13C4" w14:textId="15F892B3">
      <w:pPr>
        <w:pStyle w:val="ListParagraph"/>
        <w:spacing w:after="0" w:line="240" w:lineRule="auto"/>
        <w:ind w:left="1080"/>
        <w:rPr>
          <w:rFonts w:ascii="Times New Roman" w:hAnsi="Times New Roman" w:cs="Times New Roman"/>
        </w:rPr>
      </w:pPr>
    </w:p>
    <w:p w:rsidR="00130632" w:rsidP="002F3C90" w14:paraId="5A9C1C9C" w14:textId="788D5880">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Pr>
          <w:rFonts w:ascii="Times New Roman" w:hAnsi="Times New Roman" w:cs="Times New Roman"/>
        </w:rPr>
        <w:t>50.34(b)(</w:t>
      </w:r>
      <w:r w:rsidR="001F1253">
        <w:rPr>
          <w:rFonts w:ascii="Times New Roman" w:hAnsi="Times New Roman" w:cs="Times New Roman"/>
        </w:rPr>
        <w:t>2</w:t>
      </w:r>
      <w:r>
        <w:rPr>
          <w:rFonts w:ascii="Times New Roman" w:hAnsi="Times New Roman" w:cs="Times New Roman"/>
        </w:rPr>
        <w:t xml:space="preserve">) requires each application for an </w:t>
      </w:r>
      <w:r w:rsidR="00112662">
        <w:rPr>
          <w:rFonts w:ascii="Times New Roman" w:hAnsi="Times New Roman" w:cs="Times New Roman"/>
        </w:rPr>
        <w:t>OL</w:t>
      </w:r>
      <w:r>
        <w:rPr>
          <w:rFonts w:ascii="Times New Roman" w:hAnsi="Times New Roman" w:cs="Times New Roman"/>
        </w:rPr>
        <w:t xml:space="preserve"> to</w:t>
      </w:r>
      <w:r w:rsidR="00F04701">
        <w:rPr>
          <w:rFonts w:ascii="Times New Roman" w:hAnsi="Times New Roman" w:cs="Times New Roman"/>
        </w:rPr>
        <w:t xml:space="preserve"> provide a</w:t>
      </w:r>
      <w:r w:rsidRPr="001F1253" w:rsidR="001F1253">
        <w:rPr>
          <w:rFonts w:ascii="Times New Roman" w:hAnsi="Times New Roman" w:cs="Times New Roman"/>
        </w:rPr>
        <w:t xml:space="preserve"> description and analysis of the </w:t>
      </w:r>
      <w:r w:rsidR="00B47036">
        <w:rPr>
          <w:rFonts w:ascii="Times New Roman" w:hAnsi="Times New Roman" w:cs="Times New Roman"/>
        </w:rPr>
        <w:t>SSCs</w:t>
      </w:r>
      <w:r w:rsidRPr="001F1253" w:rsidR="001F1253">
        <w:rPr>
          <w:rFonts w:ascii="Times New Roman" w:hAnsi="Times New Roman" w:cs="Times New Roman"/>
        </w:rPr>
        <w:t xml:space="preserve"> of the facility, with emphasis upon performance requirements, the bases, with technical justification </w:t>
      </w:r>
      <w:r w:rsidRPr="001F1253" w:rsidR="005A66A8">
        <w:rPr>
          <w:rFonts w:ascii="Times New Roman" w:hAnsi="Times New Roman" w:cs="Times New Roman"/>
        </w:rPr>
        <w:t>therefor</w:t>
      </w:r>
      <w:r w:rsidRPr="001F1253" w:rsidR="001F1253">
        <w:rPr>
          <w:rFonts w:ascii="Times New Roman" w:hAnsi="Times New Roman" w:cs="Times New Roman"/>
        </w:rPr>
        <w:t xml:space="preserve">, upon which such requirements have been established, and the evaluations required to show that safety functions will be accomplished. The description </w:t>
      </w:r>
      <w:r w:rsidR="00AD66BE">
        <w:rPr>
          <w:rFonts w:ascii="Times New Roman" w:hAnsi="Times New Roman" w:cs="Times New Roman"/>
        </w:rPr>
        <w:t>should</w:t>
      </w:r>
      <w:r w:rsidRPr="001F1253" w:rsidR="001F1253">
        <w:rPr>
          <w:rFonts w:ascii="Times New Roman" w:hAnsi="Times New Roman" w:cs="Times New Roman"/>
        </w:rPr>
        <w:t xml:space="preserve"> be sufficient to permit understanding of the system designs and their relationship to safety evaluations.</w:t>
      </w:r>
    </w:p>
    <w:p w:rsidR="00917660" w:rsidP="002F3C90" w14:paraId="4D1DC570" w14:textId="530196AF">
      <w:pPr>
        <w:pStyle w:val="ListParagraph"/>
        <w:spacing w:after="0" w:line="240" w:lineRule="auto"/>
        <w:ind w:left="1080"/>
        <w:rPr>
          <w:rFonts w:ascii="Times New Roman" w:hAnsi="Times New Roman" w:cs="Times New Roman"/>
        </w:rPr>
      </w:pPr>
    </w:p>
    <w:p w:rsidR="009859D2" w:rsidP="002F3C90" w14:paraId="0EF71071" w14:textId="2F3FE59C">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E07A74">
        <w:rPr>
          <w:rFonts w:ascii="Times New Roman" w:hAnsi="Times New Roman" w:cs="Times New Roman"/>
        </w:rPr>
        <w:t>50.34(h)</w:t>
      </w:r>
      <w:r w:rsidR="005D2595">
        <w:rPr>
          <w:rFonts w:ascii="Times New Roman" w:hAnsi="Times New Roman" w:cs="Times New Roman"/>
        </w:rPr>
        <w:t xml:space="preserve"> </w:t>
      </w:r>
      <w:r w:rsidR="000F0EC0">
        <w:rPr>
          <w:rFonts w:ascii="Times New Roman" w:hAnsi="Times New Roman" w:cs="Times New Roman"/>
        </w:rPr>
        <w:t xml:space="preserve">requires </w:t>
      </w:r>
      <w:r w:rsidR="000A69B8">
        <w:rPr>
          <w:rFonts w:ascii="Times New Roman" w:hAnsi="Times New Roman" w:cs="Times New Roman"/>
        </w:rPr>
        <w:t xml:space="preserve">applications for </w:t>
      </w:r>
      <w:r w:rsidR="002B651E">
        <w:rPr>
          <w:rFonts w:ascii="Times New Roman" w:hAnsi="Times New Roman" w:cs="Times New Roman"/>
        </w:rPr>
        <w:t>light-water reactor (</w:t>
      </w:r>
      <w:r w:rsidR="0049528B">
        <w:rPr>
          <w:rFonts w:ascii="Times New Roman" w:hAnsi="Times New Roman" w:cs="Times New Roman"/>
        </w:rPr>
        <w:t>LWR</w:t>
      </w:r>
      <w:r w:rsidR="002B651E">
        <w:rPr>
          <w:rFonts w:ascii="Times New Roman" w:hAnsi="Times New Roman" w:cs="Times New Roman"/>
        </w:rPr>
        <w:t>)</w:t>
      </w:r>
      <w:r w:rsidR="0049528B">
        <w:rPr>
          <w:rFonts w:ascii="Times New Roman" w:hAnsi="Times New Roman" w:cs="Times New Roman"/>
        </w:rPr>
        <w:t xml:space="preserve"> CPs and OLs to include a</w:t>
      </w:r>
      <w:r w:rsidR="00535864">
        <w:rPr>
          <w:rFonts w:ascii="Times New Roman" w:hAnsi="Times New Roman" w:cs="Times New Roman"/>
        </w:rPr>
        <w:t>n</w:t>
      </w:r>
      <w:r w:rsidR="0049528B">
        <w:rPr>
          <w:rFonts w:ascii="Times New Roman" w:hAnsi="Times New Roman" w:cs="Times New Roman"/>
        </w:rPr>
        <w:t xml:space="preserve"> </w:t>
      </w:r>
      <w:r w:rsidRPr="005C48C5" w:rsidR="005C48C5">
        <w:rPr>
          <w:rFonts w:ascii="Times New Roman" w:hAnsi="Times New Roman" w:cs="Times New Roman"/>
        </w:rPr>
        <w:t xml:space="preserve">evaluation of the facility against the </w:t>
      </w:r>
      <w:r w:rsidR="00A21B66">
        <w:rPr>
          <w:rFonts w:ascii="Times New Roman" w:hAnsi="Times New Roman" w:cs="Times New Roman"/>
        </w:rPr>
        <w:t>Standard Review Plan (</w:t>
      </w:r>
      <w:r w:rsidRPr="005C48C5" w:rsidR="005C48C5">
        <w:rPr>
          <w:rFonts w:ascii="Times New Roman" w:hAnsi="Times New Roman" w:cs="Times New Roman"/>
        </w:rPr>
        <w:t>SRP</w:t>
      </w:r>
      <w:r w:rsidR="00A21B66">
        <w:rPr>
          <w:rFonts w:ascii="Times New Roman" w:hAnsi="Times New Roman" w:cs="Times New Roman"/>
        </w:rPr>
        <w:t>)</w:t>
      </w:r>
      <w:r w:rsidRPr="005C48C5" w:rsidR="005C48C5">
        <w:rPr>
          <w:rFonts w:ascii="Times New Roman" w:hAnsi="Times New Roman" w:cs="Times New Roman"/>
        </w:rPr>
        <w:t xml:space="preserve"> revision in effect </w:t>
      </w:r>
      <w:r w:rsidR="00112662">
        <w:rPr>
          <w:rFonts w:ascii="Times New Roman" w:hAnsi="Times New Roman" w:cs="Times New Roman"/>
        </w:rPr>
        <w:t>6 </w:t>
      </w:r>
      <w:r w:rsidRPr="005C48C5" w:rsidR="005C48C5">
        <w:rPr>
          <w:rFonts w:ascii="Times New Roman" w:hAnsi="Times New Roman" w:cs="Times New Roman"/>
        </w:rPr>
        <w:t>months before the docket date of the application</w:t>
      </w:r>
      <w:r w:rsidR="008751C0">
        <w:rPr>
          <w:rFonts w:ascii="Times New Roman" w:hAnsi="Times New Roman" w:cs="Times New Roman"/>
        </w:rPr>
        <w:t xml:space="preserve">. </w:t>
      </w:r>
      <w:r w:rsidR="005C48C5">
        <w:rPr>
          <w:rFonts w:ascii="Times New Roman" w:hAnsi="Times New Roman" w:cs="Times New Roman"/>
        </w:rPr>
        <w:t xml:space="preserve">This evaluation must </w:t>
      </w:r>
      <w:r w:rsidRPr="007B0450" w:rsidR="007B0450">
        <w:rPr>
          <w:rFonts w:ascii="Times New Roman" w:hAnsi="Times New Roman" w:cs="Times New Roman"/>
        </w:rPr>
        <w:t xml:space="preserve">include an identification and description of all differences in design features, analytical techniques, and procedural measures proposed for a facility and those corresponding features, techniques, and measures given in the SRP acceptance criteria. Where such a difference exists, the evaluation </w:t>
      </w:r>
      <w:r w:rsidR="00973B70">
        <w:rPr>
          <w:rFonts w:ascii="Times New Roman" w:hAnsi="Times New Roman" w:cs="Times New Roman"/>
        </w:rPr>
        <w:t>must</w:t>
      </w:r>
      <w:r w:rsidRPr="007B0450" w:rsidR="007B0450">
        <w:rPr>
          <w:rFonts w:ascii="Times New Roman" w:hAnsi="Times New Roman" w:cs="Times New Roman"/>
        </w:rPr>
        <w:t xml:space="preserve"> discuss how the alternative proposed provides an acceptable method of complying with those rules or regulations of </w:t>
      </w:r>
      <w:r w:rsidR="00EB2126">
        <w:rPr>
          <w:rFonts w:ascii="Times New Roman" w:hAnsi="Times New Roman" w:cs="Times New Roman"/>
        </w:rPr>
        <w:t xml:space="preserve">the </w:t>
      </w:r>
      <w:r w:rsidRPr="007B0450" w:rsidR="007B0450">
        <w:rPr>
          <w:rFonts w:ascii="Times New Roman" w:hAnsi="Times New Roman" w:cs="Times New Roman"/>
        </w:rPr>
        <w:t xml:space="preserve">Commission, or portions thereof, that </w:t>
      </w:r>
      <w:r w:rsidRPr="007B0450" w:rsidR="007B0450">
        <w:rPr>
          <w:rFonts w:ascii="Times New Roman" w:hAnsi="Times New Roman" w:cs="Times New Roman"/>
        </w:rPr>
        <w:t>underlie</w:t>
      </w:r>
      <w:r w:rsidRPr="007B0450" w:rsidR="007B0450">
        <w:rPr>
          <w:rFonts w:ascii="Times New Roman" w:hAnsi="Times New Roman" w:cs="Times New Roman"/>
        </w:rPr>
        <w:t xml:space="preserve"> the corresponding SRP acceptance criteria</w:t>
      </w:r>
      <w:r w:rsidR="008751C0">
        <w:rPr>
          <w:rFonts w:ascii="Times New Roman" w:hAnsi="Times New Roman" w:cs="Times New Roman"/>
        </w:rPr>
        <w:t xml:space="preserve">. </w:t>
      </w:r>
      <w:r w:rsidRPr="007D200B" w:rsidR="007D200B">
        <w:rPr>
          <w:rFonts w:ascii="Times New Roman" w:hAnsi="Times New Roman" w:cs="Times New Roman"/>
        </w:rPr>
        <w:t>The SRP is not a substitute for the regulations, and compliance is not a requirement.</w:t>
      </w:r>
    </w:p>
    <w:p w:rsidR="007052F9" w:rsidRPr="009859D2" w:rsidP="002F3C90" w14:paraId="0B2C4644" w14:textId="77777777">
      <w:pPr>
        <w:spacing w:after="0" w:line="240" w:lineRule="auto"/>
        <w:ind w:left="720"/>
        <w:rPr>
          <w:rFonts w:ascii="Times New Roman" w:hAnsi="Times New Roman" w:cs="Times New Roman"/>
        </w:rPr>
      </w:pPr>
    </w:p>
    <w:p w:rsidR="00917660" w:rsidP="002F3C90" w14:paraId="24E767A1" w14:textId="037699B5">
      <w:pPr>
        <w:pStyle w:val="ListParagraph"/>
        <w:keepNext/>
        <w:numPr>
          <w:ilvl w:val="0"/>
          <w:numId w:val="1"/>
        </w:numPr>
        <w:spacing w:after="0" w:line="240" w:lineRule="auto"/>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652CF3">
        <w:rPr>
          <w:rFonts w:ascii="Times New Roman" w:hAnsi="Times New Roman" w:cs="Times New Roman"/>
        </w:rPr>
        <w:t>Part</w:t>
      </w:r>
      <w:r w:rsidR="00112662">
        <w:rPr>
          <w:rFonts w:ascii="Times New Roman" w:hAnsi="Times New Roman" w:cs="Times New Roman"/>
        </w:rPr>
        <w:t> </w:t>
      </w:r>
      <w:r w:rsidR="00652CF3">
        <w:rPr>
          <w:rFonts w:ascii="Times New Roman" w:hAnsi="Times New Roman" w:cs="Times New Roman"/>
        </w:rPr>
        <w:t>5</w:t>
      </w:r>
      <w:r w:rsidR="00A0070D">
        <w:rPr>
          <w:rFonts w:ascii="Times New Roman" w:hAnsi="Times New Roman" w:cs="Times New Roman"/>
        </w:rPr>
        <w:t>2</w:t>
      </w:r>
    </w:p>
    <w:p w:rsidR="00917660" w:rsidP="002F3C90" w14:paraId="446FE47B" w14:textId="4F17500D">
      <w:pPr>
        <w:pStyle w:val="ListParagraph"/>
        <w:keepNext/>
        <w:spacing w:after="0" w:line="240" w:lineRule="auto"/>
        <w:ind w:left="1080"/>
        <w:rPr>
          <w:rFonts w:ascii="Times New Roman" w:hAnsi="Times New Roman" w:cs="Times New Roman"/>
        </w:rPr>
      </w:pPr>
    </w:p>
    <w:p w:rsidR="00917660" w:rsidRPr="00C95A99" w:rsidP="0021002A" w14:paraId="4530FB40" w14:textId="6903CD85">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3641A3">
        <w:rPr>
          <w:rFonts w:ascii="Times New Roman" w:hAnsi="Times New Roman" w:cs="Times New Roman"/>
        </w:rPr>
        <w:t>52.47(a)(2) requires applications for standard design certification</w:t>
      </w:r>
      <w:r w:rsidR="006D635F">
        <w:rPr>
          <w:rFonts w:ascii="Times New Roman" w:hAnsi="Times New Roman" w:cs="Times New Roman"/>
        </w:rPr>
        <w:t>s</w:t>
      </w:r>
      <w:r w:rsidR="003641A3">
        <w:rPr>
          <w:rFonts w:ascii="Times New Roman" w:hAnsi="Times New Roman" w:cs="Times New Roman"/>
        </w:rPr>
        <w:t xml:space="preserve"> </w:t>
      </w:r>
      <w:r w:rsidR="00D16043">
        <w:rPr>
          <w:rFonts w:ascii="Times New Roman" w:hAnsi="Times New Roman" w:cs="Times New Roman"/>
        </w:rPr>
        <w:t>(DC</w:t>
      </w:r>
      <w:r w:rsidR="006D635F">
        <w:rPr>
          <w:rFonts w:ascii="Times New Roman" w:hAnsi="Times New Roman" w:cs="Times New Roman"/>
        </w:rPr>
        <w:t>s</w:t>
      </w:r>
      <w:r w:rsidR="00D16043">
        <w:rPr>
          <w:rFonts w:ascii="Times New Roman" w:hAnsi="Times New Roman" w:cs="Times New Roman"/>
        </w:rPr>
        <w:t xml:space="preserve">) </w:t>
      </w:r>
      <w:r w:rsidR="003641A3">
        <w:rPr>
          <w:rFonts w:ascii="Times New Roman" w:hAnsi="Times New Roman" w:cs="Times New Roman"/>
        </w:rPr>
        <w:t xml:space="preserve">to provide </w:t>
      </w:r>
      <w:r w:rsidR="004A1BC3">
        <w:rPr>
          <w:rFonts w:ascii="Times New Roman" w:hAnsi="Times New Roman" w:cs="Times New Roman"/>
        </w:rPr>
        <w:t>a</w:t>
      </w:r>
      <w:r w:rsidRPr="004A1BC3" w:rsidR="004A1BC3">
        <w:rPr>
          <w:rFonts w:ascii="Times New Roman" w:hAnsi="Times New Roman" w:cs="Times New Roman"/>
        </w:rPr>
        <w:t xml:space="preserve"> description and analysis of the SSCs of the facility, with emphasis upon performance requirements, the bases, with technical justification </w:t>
      </w:r>
      <w:r w:rsidRPr="004A1BC3" w:rsidR="004A1BC3">
        <w:rPr>
          <w:rFonts w:ascii="Times New Roman" w:hAnsi="Times New Roman" w:cs="Times New Roman"/>
        </w:rPr>
        <w:t>therefor</w:t>
      </w:r>
      <w:r w:rsidRPr="004A1BC3" w:rsidR="004A1BC3">
        <w:rPr>
          <w:rFonts w:ascii="Times New Roman" w:hAnsi="Times New Roman" w:cs="Times New Roman"/>
        </w:rPr>
        <w:t>, upon which these requirements have been established, and the evaluations required to show that safety functions will be accomplished</w:t>
      </w:r>
      <w:r w:rsidR="008751C0">
        <w:rPr>
          <w:rFonts w:ascii="Times New Roman" w:hAnsi="Times New Roman" w:cs="Times New Roman"/>
        </w:rPr>
        <w:t xml:space="preserve">. </w:t>
      </w:r>
      <w:r w:rsidRPr="004A1BC3" w:rsidR="004A1BC3">
        <w:rPr>
          <w:rFonts w:ascii="Times New Roman" w:hAnsi="Times New Roman" w:cs="Times New Roman"/>
        </w:rPr>
        <w:t xml:space="preserve">It is expected that the standard plant will reflect through its design, construction, and operation an extremely low probability </w:t>
      </w:r>
      <w:r w:rsidRPr="004A1BC3" w:rsidR="004A1BC3">
        <w:rPr>
          <w:rFonts w:ascii="Times New Roman" w:hAnsi="Times New Roman" w:cs="Times New Roman"/>
        </w:rPr>
        <w:t>for</w:t>
      </w:r>
      <w:r w:rsidRPr="004A1BC3" w:rsidR="004A1BC3">
        <w:rPr>
          <w:rFonts w:ascii="Times New Roman" w:hAnsi="Times New Roman" w:cs="Times New Roman"/>
        </w:rPr>
        <w:t xml:space="preserve"> accidents that could result in the release of significant quantities of radioactive fission products.</w:t>
      </w:r>
    </w:p>
    <w:p w:rsidR="004353E2" w:rsidP="002F3C90" w14:paraId="1A362BCD" w14:textId="517CDBAC">
      <w:pPr>
        <w:pStyle w:val="ListParagraph"/>
        <w:spacing w:after="0" w:line="240" w:lineRule="auto"/>
        <w:ind w:left="1080"/>
        <w:rPr>
          <w:rFonts w:ascii="Times New Roman" w:hAnsi="Times New Roman" w:cs="Times New Roman"/>
        </w:rPr>
      </w:pPr>
    </w:p>
    <w:p w:rsidR="004353E2" w:rsidP="002F3C90" w14:paraId="18BD1F36" w14:textId="6AB87EB9">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161791" w:rsidR="00161791">
        <w:rPr>
          <w:rFonts w:ascii="Times New Roman" w:hAnsi="Times New Roman" w:cs="Times New Roman"/>
        </w:rPr>
        <w:t>52.47(a)(9)</w:t>
      </w:r>
      <w:r w:rsidR="002E17F6">
        <w:rPr>
          <w:rFonts w:ascii="Times New Roman" w:hAnsi="Times New Roman" w:cs="Times New Roman"/>
        </w:rPr>
        <w:t xml:space="preserve"> requires applications for LWR DCs to </w:t>
      </w:r>
      <w:r w:rsidR="00F04121">
        <w:rPr>
          <w:rFonts w:ascii="Times New Roman" w:hAnsi="Times New Roman" w:cs="Times New Roman"/>
        </w:rPr>
        <w:t xml:space="preserve">include an </w:t>
      </w:r>
      <w:r w:rsidRPr="00F04121" w:rsidR="00F04121">
        <w:rPr>
          <w:rFonts w:ascii="Times New Roman" w:hAnsi="Times New Roman" w:cs="Times New Roman"/>
        </w:rPr>
        <w:t>evaluation of the standard plant design against the SRP revision in effect 6</w:t>
      </w:r>
      <w:r w:rsidR="00921EC4">
        <w:rPr>
          <w:rFonts w:ascii="Times New Roman" w:hAnsi="Times New Roman" w:cs="Times New Roman"/>
        </w:rPr>
        <w:t> </w:t>
      </w:r>
      <w:r w:rsidRPr="00F04121" w:rsidR="00F04121">
        <w:rPr>
          <w:rFonts w:ascii="Times New Roman" w:hAnsi="Times New Roman" w:cs="Times New Roman"/>
        </w:rPr>
        <w:t>months before the docket date of the application</w:t>
      </w:r>
      <w:r w:rsidR="008751C0">
        <w:rPr>
          <w:rFonts w:ascii="Times New Roman" w:hAnsi="Times New Roman" w:cs="Times New Roman"/>
        </w:rPr>
        <w:t xml:space="preserve">. </w:t>
      </w:r>
      <w:r w:rsidRPr="00F04121" w:rsidR="00F04121">
        <w:rPr>
          <w:rFonts w:ascii="Times New Roman" w:hAnsi="Times New Roman" w:cs="Times New Roman"/>
        </w:rPr>
        <w:t xml:space="preserve">The evaluation required by this section </w:t>
      </w:r>
      <w:r w:rsidR="00973B70">
        <w:rPr>
          <w:rFonts w:ascii="Times New Roman" w:hAnsi="Times New Roman" w:cs="Times New Roman"/>
        </w:rPr>
        <w:t>must</w:t>
      </w:r>
      <w:r w:rsidRPr="00F04121" w:rsidR="00F04121">
        <w:rPr>
          <w:rFonts w:ascii="Times New Roman" w:hAnsi="Times New Roman" w:cs="Times New Roman"/>
        </w:rPr>
        <w:t xml:space="preserve"> include an identification and</w:t>
      </w:r>
      <w:r w:rsidR="00FD1A82">
        <w:rPr>
          <w:rFonts w:ascii="Times New Roman" w:hAnsi="Times New Roman" w:cs="Times New Roman"/>
        </w:rPr>
        <w:t xml:space="preserve"> </w:t>
      </w:r>
      <w:r w:rsidRPr="00F04121" w:rsidR="00F04121">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F04121" w:rsidR="00F04121">
        <w:rPr>
          <w:rFonts w:ascii="Times New Roman" w:hAnsi="Times New Roman" w:cs="Times New Roman"/>
        </w:rPr>
        <w:t xml:space="preserve">Where a difference exists, the evaluation </w:t>
      </w:r>
      <w:r w:rsidR="00973B70">
        <w:rPr>
          <w:rFonts w:ascii="Times New Roman" w:hAnsi="Times New Roman" w:cs="Times New Roman"/>
        </w:rPr>
        <w:t>must</w:t>
      </w:r>
      <w:r w:rsidRPr="00F04121" w:rsidR="00F04121">
        <w:rPr>
          <w:rFonts w:ascii="Times New Roman" w:hAnsi="Times New Roman" w:cs="Times New Roman"/>
        </w:rPr>
        <w:t xml:space="preserve"> discuss how the proposed alternative provides an acceptable method of complying with the Commission's regulations, or portions thereof, that </w:t>
      </w:r>
      <w:r w:rsidRPr="00F04121" w:rsidR="00F04121">
        <w:rPr>
          <w:rFonts w:ascii="Times New Roman" w:hAnsi="Times New Roman" w:cs="Times New Roman"/>
        </w:rPr>
        <w:t>underlie</w:t>
      </w:r>
      <w:r w:rsidRPr="00F04121" w:rsidR="00F04121">
        <w:rPr>
          <w:rFonts w:ascii="Times New Roman" w:hAnsi="Times New Roman" w:cs="Times New Roman"/>
        </w:rPr>
        <w:t xml:space="preserve"> the corresponding SRP acceptance criteria</w:t>
      </w:r>
      <w:r w:rsidR="008751C0">
        <w:rPr>
          <w:rFonts w:ascii="Times New Roman" w:hAnsi="Times New Roman" w:cs="Times New Roman"/>
        </w:rPr>
        <w:t xml:space="preserve">. </w:t>
      </w:r>
      <w:r w:rsidRPr="00F04121" w:rsidR="00F04121">
        <w:rPr>
          <w:rFonts w:ascii="Times New Roman" w:hAnsi="Times New Roman" w:cs="Times New Roman"/>
        </w:rPr>
        <w:t>The SRP is not a substitute for the regulations, and compliance is not a requirement.</w:t>
      </w:r>
    </w:p>
    <w:p w:rsidR="00E2145C" w:rsidP="002F3C90" w14:paraId="5AF33601" w14:textId="2C29FDDB">
      <w:pPr>
        <w:pStyle w:val="ListParagraph"/>
        <w:spacing w:after="0" w:line="240" w:lineRule="auto"/>
        <w:ind w:left="1080"/>
        <w:rPr>
          <w:rFonts w:ascii="Times New Roman" w:hAnsi="Times New Roman" w:cs="Times New Roman"/>
        </w:rPr>
      </w:pPr>
    </w:p>
    <w:p w:rsidR="00E2145C" w:rsidP="002F3C90" w14:paraId="4C7E6FC0" w14:textId="53E2D6E3">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004876EB">
        <w:rPr>
          <w:rFonts w:ascii="Times New Roman" w:hAnsi="Times New Roman" w:cs="Times New Roman"/>
        </w:rPr>
        <w:t>52.</w:t>
      </w:r>
      <w:r w:rsidR="006D635F">
        <w:rPr>
          <w:rFonts w:ascii="Times New Roman" w:hAnsi="Times New Roman" w:cs="Times New Roman"/>
        </w:rPr>
        <w:t>79</w:t>
      </w:r>
      <w:r w:rsidR="004876EB">
        <w:rPr>
          <w:rFonts w:ascii="Times New Roman" w:hAnsi="Times New Roman" w:cs="Times New Roman"/>
        </w:rPr>
        <w:t xml:space="preserve">(a) requires </w:t>
      </w:r>
      <w:r w:rsidR="00D16043">
        <w:rPr>
          <w:rFonts w:ascii="Times New Roman" w:hAnsi="Times New Roman" w:cs="Times New Roman"/>
        </w:rPr>
        <w:t xml:space="preserve">applications for </w:t>
      </w:r>
      <w:r w:rsidR="006D635F">
        <w:rPr>
          <w:rFonts w:ascii="Times New Roman" w:hAnsi="Times New Roman" w:cs="Times New Roman"/>
        </w:rPr>
        <w:t>combined licenses (COLs) to provide</w:t>
      </w:r>
      <w:r w:rsidR="00D16043">
        <w:rPr>
          <w:rFonts w:ascii="Times New Roman" w:hAnsi="Times New Roman" w:cs="Times New Roman"/>
        </w:rPr>
        <w:t xml:space="preserve"> </w:t>
      </w:r>
      <w:r w:rsidRPr="00E11B56" w:rsidR="00E11B56">
        <w:rPr>
          <w:rFonts w:ascii="Times New Roman" w:hAnsi="Times New Roman" w:cs="Times New Roman"/>
        </w:rPr>
        <w:t xml:space="preserve">a final safety analysis report that describes the facility, presents the design bases and the limits on its operation, and presents a safety analysis of the </w:t>
      </w:r>
      <w:r w:rsidR="00B47036">
        <w:rPr>
          <w:rFonts w:ascii="Times New Roman" w:hAnsi="Times New Roman" w:cs="Times New Roman"/>
        </w:rPr>
        <w:t>SSCs</w:t>
      </w:r>
      <w:r w:rsidRPr="00E11B56" w:rsidR="00E11B56">
        <w:rPr>
          <w:rFonts w:ascii="Times New Roman" w:hAnsi="Times New Roman" w:cs="Times New Roman"/>
        </w:rPr>
        <w:t xml:space="preserve"> of the </w:t>
      </w:r>
      <w:r w:rsidRPr="00E11B56" w:rsidR="00E11B56">
        <w:rPr>
          <w:rFonts w:ascii="Times New Roman" w:hAnsi="Times New Roman" w:cs="Times New Roman"/>
        </w:rPr>
        <w:t>facility as a whole</w:t>
      </w:r>
      <w:r w:rsidRPr="00E11B56" w:rsidR="00E11B56">
        <w:rPr>
          <w:rFonts w:ascii="Times New Roman" w:hAnsi="Times New Roman" w:cs="Times New Roman"/>
        </w:rPr>
        <w:t>.</w:t>
      </w:r>
    </w:p>
    <w:p w:rsidR="00E11B56" w:rsidP="002F3C90" w14:paraId="7E3780B2" w14:textId="09FEEB07">
      <w:pPr>
        <w:pStyle w:val="ListParagraph"/>
        <w:spacing w:after="0" w:line="240" w:lineRule="auto"/>
        <w:ind w:left="1080"/>
        <w:rPr>
          <w:rFonts w:ascii="Times New Roman" w:hAnsi="Times New Roman" w:cs="Times New Roman"/>
        </w:rPr>
      </w:pPr>
    </w:p>
    <w:p w:rsidR="00E11B56" w:rsidP="002F3C90" w14:paraId="5687394B" w14:textId="372BB7A2">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52.79(a)(</w:t>
      </w:r>
      <w:r w:rsidR="00893D76">
        <w:rPr>
          <w:rFonts w:ascii="Times New Roman" w:hAnsi="Times New Roman" w:cs="Times New Roman"/>
        </w:rPr>
        <w:t>1)(v</w:t>
      </w:r>
      <w:r w:rsidR="00A07C4B">
        <w:rPr>
          <w:rFonts w:ascii="Times New Roman" w:hAnsi="Times New Roman" w:cs="Times New Roman"/>
        </w:rPr>
        <w:t>i</w:t>
      </w:r>
      <w:r w:rsidR="00893D76">
        <w:rPr>
          <w:rFonts w:ascii="Times New Roman" w:hAnsi="Times New Roman" w:cs="Times New Roman"/>
        </w:rPr>
        <w:t xml:space="preserve">) requires applications for COLs to </w:t>
      </w:r>
      <w:r w:rsidR="00323FA0">
        <w:rPr>
          <w:rFonts w:ascii="Times New Roman" w:hAnsi="Times New Roman" w:cs="Times New Roman"/>
        </w:rPr>
        <w:t>provide a</w:t>
      </w:r>
      <w:r w:rsidRPr="00323FA0" w:rsidR="00323FA0">
        <w:rPr>
          <w:rFonts w:ascii="Times New Roman" w:hAnsi="Times New Roman" w:cs="Times New Roman"/>
        </w:rPr>
        <w:t xml:space="preserve"> description and safety assessment of the site on which the facility is to be located. The assessment must contain an analysis and evaluation of the major </w:t>
      </w:r>
      <w:r w:rsidR="00B47036">
        <w:rPr>
          <w:rFonts w:ascii="Times New Roman" w:hAnsi="Times New Roman" w:cs="Times New Roman"/>
        </w:rPr>
        <w:t>SSCs</w:t>
      </w:r>
      <w:r w:rsidRPr="00323FA0" w:rsidR="00323FA0">
        <w:rPr>
          <w:rFonts w:ascii="Times New Roman" w:hAnsi="Times New Roman" w:cs="Times New Roman"/>
        </w:rPr>
        <w:t xml:space="preserve"> of the facility that bear significantly on the acceptability of the site under the radiological consequence evaluation factors identified in </w:t>
      </w:r>
      <w:r w:rsidR="00BF53E3">
        <w:rPr>
          <w:rFonts w:ascii="Times New Roman" w:hAnsi="Times New Roman" w:cs="Times New Roman"/>
        </w:rPr>
        <w:t>10 CFR </w:t>
      </w:r>
      <w:r w:rsidR="006D51BD">
        <w:rPr>
          <w:rFonts w:ascii="Times New Roman" w:hAnsi="Times New Roman" w:cs="Times New Roman"/>
        </w:rPr>
        <w:t>52.79</w:t>
      </w:r>
      <w:r w:rsidRPr="00323FA0" w:rsidR="00323FA0">
        <w:rPr>
          <w:rFonts w:ascii="Times New Roman" w:hAnsi="Times New Roman" w:cs="Times New Roman"/>
        </w:rPr>
        <w:t xml:space="preserve">(a)(1)(vi)(A) and </w:t>
      </w:r>
      <w:r w:rsidR="00BF53E3">
        <w:rPr>
          <w:rFonts w:ascii="Times New Roman" w:hAnsi="Times New Roman" w:cs="Times New Roman"/>
        </w:rPr>
        <w:t>10 CFR </w:t>
      </w:r>
      <w:r w:rsidR="006D51BD">
        <w:rPr>
          <w:rFonts w:ascii="Times New Roman" w:hAnsi="Times New Roman" w:cs="Times New Roman"/>
        </w:rPr>
        <w:t>52.79</w:t>
      </w:r>
      <w:r w:rsidRPr="00323FA0" w:rsidR="00323FA0">
        <w:rPr>
          <w:rFonts w:ascii="Times New Roman" w:hAnsi="Times New Roman" w:cs="Times New Roman"/>
        </w:rPr>
        <w:t>(a)(1)(vi)(B)</w:t>
      </w:r>
      <w:r w:rsidR="006D51BD">
        <w:rPr>
          <w:rFonts w:ascii="Times New Roman" w:hAnsi="Times New Roman" w:cs="Times New Roman"/>
        </w:rPr>
        <w:t>.</w:t>
      </w:r>
    </w:p>
    <w:p w:rsidR="00AA43FA" w:rsidP="002F3C90" w14:paraId="44A8AC94" w14:textId="1CED0073">
      <w:pPr>
        <w:pStyle w:val="ListParagraph"/>
        <w:spacing w:after="0" w:line="240" w:lineRule="auto"/>
        <w:ind w:left="1080"/>
        <w:rPr>
          <w:rFonts w:ascii="Times New Roman" w:hAnsi="Times New Roman" w:cs="Times New Roman"/>
        </w:rPr>
      </w:pPr>
    </w:p>
    <w:p w:rsidR="00AA43FA" w:rsidP="002F3C90" w14:paraId="0E0C2EC9" w14:textId="3D1B237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52.79(a)(2) requires applications for COLs to </w:t>
      </w:r>
      <w:r w:rsidR="000A43E0">
        <w:rPr>
          <w:rFonts w:ascii="Times New Roman" w:hAnsi="Times New Roman" w:cs="Times New Roman"/>
        </w:rPr>
        <w:t>provide a</w:t>
      </w:r>
      <w:r w:rsidRPr="000A43E0" w:rsidR="000A43E0">
        <w:rPr>
          <w:rFonts w:ascii="Times New Roman" w:hAnsi="Times New Roman" w:cs="Times New Roman"/>
        </w:rPr>
        <w:t xml:space="preserve"> description and analysis of the </w:t>
      </w:r>
      <w:r w:rsidR="00B47036">
        <w:rPr>
          <w:rFonts w:ascii="Times New Roman" w:hAnsi="Times New Roman" w:cs="Times New Roman"/>
        </w:rPr>
        <w:t>SSCs</w:t>
      </w:r>
      <w:r w:rsidRPr="000A43E0" w:rsidR="000A43E0">
        <w:rPr>
          <w:rFonts w:ascii="Times New Roman" w:hAnsi="Times New Roman" w:cs="Times New Roman"/>
        </w:rPr>
        <w:t xml:space="preserve"> of the facility</w:t>
      </w:r>
      <w:r w:rsidR="005605F2">
        <w:rPr>
          <w:rFonts w:ascii="Times New Roman" w:hAnsi="Times New Roman" w:cs="Times New Roman"/>
        </w:rPr>
        <w:t>,</w:t>
      </w:r>
      <w:r w:rsidRPr="000A43E0" w:rsidR="000A43E0">
        <w:rPr>
          <w:rFonts w:ascii="Times New Roman" w:hAnsi="Times New Roman" w:cs="Times New Roman"/>
        </w:rPr>
        <w:t xml:space="preserve"> with emphasis upon performance requirements</w:t>
      </w:r>
      <w:r w:rsidR="00921EC4">
        <w:rPr>
          <w:rFonts w:ascii="Times New Roman" w:hAnsi="Times New Roman" w:cs="Times New Roman"/>
        </w:rPr>
        <w:t>;</w:t>
      </w:r>
      <w:r w:rsidRPr="000A43E0" w:rsidR="000A43E0">
        <w:rPr>
          <w:rFonts w:ascii="Times New Roman" w:hAnsi="Times New Roman" w:cs="Times New Roman"/>
        </w:rPr>
        <w:t xml:space="preserve"> the bases, with technical justification</w:t>
      </w:r>
      <w:r w:rsidR="0094221F">
        <w:rPr>
          <w:rFonts w:ascii="Times New Roman" w:hAnsi="Times New Roman" w:cs="Times New Roman"/>
        </w:rPr>
        <w:t>,</w:t>
      </w:r>
      <w:r w:rsidRPr="000A43E0" w:rsidR="000A43E0">
        <w:rPr>
          <w:rFonts w:ascii="Times New Roman" w:hAnsi="Times New Roman" w:cs="Times New Roman"/>
        </w:rPr>
        <w:t xml:space="preserve"> upon which these requirements have been established</w:t>
      </w:r>
      <w:r w:rsidR="00921EC4">
        <w:rPr>
          <w:rFonts w:ascii="Times New Roman" w:hAnsi="Times New Roman" w:cs="Times New Roman"/>
        </w:rPr>
        <w:t>;</w:t>
      </w:r>
      <w:r w:rsidRPr="000A43E0" w:rsidR="000A43E0">
        <w:rPr>
          <w:rFonts w:ascii="Times New Roman" w:hAnsi="Times New Roman" w:cs="Times New Roman"/>
        </w:rPr>
        <w:t xml:space="preserve"> and the evaluations required to show that safety functions will be accomplished. It is expected that reactors will reflect</w:t>
      </w:r>
      <w:r w:rsidR="00921EC4">
        <w:rPr>
          <w:rFonts w:ascii="Times New Roman" w:hAnsi="Times New Roman" w:cs="Times New Roman"/>
        </w:rPr>
        <w:t>,</w:t>
      </w:r>
      <w:r w:rsidRPr="000A43E0" w:rsidR="000A43E0">
        <w:rPr>
          <w:rFonts w:ascii="Times New Roman" w:hAnsi="Times New Roman" w:cs="Times New Roman"/>
        </w:rPr>
        <w:t xml:space="preserve"> through their design, construction, and operation</w:t>
      </w:r>
      <w:r w:rsidR="00921EC4">
        <w:rPr>
          <w:rFonts w:ascii="Times New Roman" w:hAnsi="Times New Roman" w:cs="Times New Roman"/>
        </w:rPr>
        <w:t>,</w:t>
      </w:r>
      <w:r w:rsidRPr="000A43E0" w:rsidR="000A43E0">
        <w:rPr>
          <w:rFonts w:ascii="Times New Roman" w:hAnsi="Times New Roman" w:cs="Times New Roman"/>
        </w:rPr>
        <w:t xml:space="preserve"> an extremely low probability </w:t>
      </w:r>
      <w:r w:rsidRPr="000A43E0" w:rsidR="000A43E0">
        <w:rPr>
          <w:rFonts w:ascii="Times New Roman" w:hAnsi="Times New Roman" w:cs="Times New Roman"/>
        </w:rPr>
        <w:t>for</w:t>
      </w:r>
      <w:r w:rsidRPr="000A43E0" w:rsidR="000A43E0">
        <w:rPr>
          <w:rFonts w:ascii="Times New Roman" w:hAnsi="Times New Roman" w:cs="Times New Roman"/>
        </w:rPr>
        <w:t xml:space="preserve"> accidents that could result in the release of significant quantities of radioactive fission products</w:t>
      </w:r>
      <w:r w:rsidR="000A43E0">
        <w:rPr>
          <w:rFonts w:ascii="Times New Roman" w:hAnsi="Times New Roman" w:cs="Times New Roman"/>
        </w:rPr>
        <w:t>.</w:t>
      </w:r>
    </w:p>
    <w:p w:rsidR="004353E2" w:rsidP="002F3C90" w14:paraId="6D24C8B1" w14:textId="3E042895">
      <w:pPr>
        <w:pStyle w:val="ListParagraph"/>
        <w:spacing w:after="0" w:line="240" w:lineRule="auto"/>
        <w:ind w:left="1080"/>
        <w:rPr>
          <w:rFonts w:ascii="Times New Roman" w:hAnsi="Times New Roman" w:cs="Times New Roman"/>
        </w:rPr>
      </w:pPr>
    </w:p>
    <w:p w:rsidR="004353E2" w:rsidP="002F3C90" w14:paraId="4480101B" w14:textId="2CCEE019">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CC094E" w:rsidR="00CC094E">
        <w:rPr>
          <w:rFonts w:ascii="Times New Roman" w:hAnsi="Times New Roman" w:cs="Times New Roman"/>
        </w:rPr>
        <w:t>52.79(a)(41)</w:t>
      </w:r>
      <w:r w:rsidR="00091D8D">
        <w:rPr>
          <w:rFonts w:ascii="Times New Roman" w:hAnsi="Times New Roman" w:cs="Times New Roman"/>
        </w:rPr>
        <w:t xml:space="preserve"> requires applications for LWR </w:t>
      </w:r>
      <w:r w:rsidR="000E052C">
        <w:rPr>
          <w:rFonts w:ascii="Times New Roman" w:hAnsi="Times New Roman" w:cs="Times New Roman"/>
        </w:rPr>
        <w:t xml:space="preserve">COLs to include an </w:t>
      </w:r>
      <w:r w:rsidRPr="00595C6F" w:rsidR="00595C6F">
        <w:rPr>
          <w:rFonts w:ascii="Times New Roman" w:hAnsi="Times New Roman" w:cs="Times New Roman"/>
        </w:rPr>
        <w:t>evaluation of the facility against the SRP revision in effect 6</w:t>
      </w:r>
      <w:r w:rsidR="00921EC4">
        <w:rPr>
          <w:rFonts w:ascii="Times New Roman" w:hAnsi="Times New Roman" w:cs="Times New Roman"/>
        </w:rPr>
        <w:t> </w:t>
      </w:r>
      <w:r w:rsidRPr="00595C6F" w:rsidR="00595C6F">
        <w:rPr>
          <w:rFonts w:ascii="Times New Roman" w:hAnsi="Times New Roman" w:cs="Times New Roman"/>
        </w:rPr>
        <w:t xml:space="preserve">months before the docket date of the application. The evaluation required by this section </w:t>
      </w:r>
      <w:r w:rsidR="00CD0397">
        <w:rPr>
          <w:rFonts w:ascii="Times New Roman" w:hAnsi="Times New Roman" w:cs="Times New Roman"/>
        </w:rPr>
        <w:t>must</w:t>
      </w:r>
      <w:r w:rsidRPr="00595C6F" w:rsidR="00595C6F">
        <w:rPr>
          <w:rFonts w:ascii="Times New Roman" w:hAnsi="Times New Roman" w:cs="Times New Roman"/>
        </w:rPr>
        <w:t xml:space="preserve"> include an identification and</w:t>
      </w:r>
      <w:r w:rsidR="005605F2">
        <w:rPr>
          <w:rFonts w:ascii="Times New Roman" w:hAnsi="Times New Roman" w:cs="Times New Roman"/>
        </w:rPr>
        <w:t xml:space="preserve"> </w:t>
      </w:r>
      <w:r w:rsidRPr="00595C6F" w:rsidR="00595C6F">
        <w:rPr>
          <w:rFonts w:ascii="Times New Roman" w:hAnsi="Times New Roman" w:cs="Times New Roman"/>
        </w:rPr>
        <w:t xml:space="preserve">description of all differences in design features, analytical techniques, and procedural measures proposed for a facility and those corresponding features, techniques, and measures given in the SRP acceptance criteria. Where a difference exists, the evaluation </w:t>
      </w:r>
      <w:r w:rsidR="00CD0397">
        <w:rPr>
          <w:rFonts w:ascii="Times New Roman" w:hAnsi="Times New Roman" w:cs="Times New Roman"/>
        </w:rPr>
        <w:t>must</w:t>
      </w:r>
      <w:r w:rsidRPr="00595C6F" w:rsidR="00595C6F">
        <w:rPr>
          <w:rFonts w:ascii="Times New Roman" w:hAnsi="Times New Roman" w:cs="Times New Roman"/>
        </w:rPr>
        <w:t xml:space="preserve"> discuss how the proposed alternative provides an acceptable method of complying with the Commission's regulations, or portions thereof, that </w:t>
      </w:r>
      <w:r w:rsidRPr="00595C6F" w:rsidR="00595C6F">
        <w:rPr>
          <w:rFonts w:ascii="Times New Roman" w:hAnsi="Times New Roman" w:cs="Times New Roman"/>
        </w:rPr>
        <w:t>underlie</w:t>
      </w:r>
      <w:r w:rsidRPr="00595C6F" w:rsidR="00595C6F">
        <w:rPr>
          <w:rFonts w:ascii="Times New Roman" w:hAnsi="Times New Roman" w:cs="Times New Roman"/>
        </w:rPr>
        <w:t xml:space="preserve"> the corresponding SRP acceptance criteria.</w:t>
      </w:r>
      <w:r w:rsidR="001E2977">
        <w:rPr>
          <w:rFonts w:ascii="Times New Roman" w:hAnsi="Times New Roman" w:cs="Times New Roman"/>
        </w:rPr>
        <w:t xml:space="preserve"> </w:t>
      </w:r>
      <w:r w:rsidRPr="00595C6F" w:rsidR="00595C6F">
        <w:rPr>
          <w:rFonts w:ascii="Times New Roman" w:hAnsi="Times New Roman" w:cs="Times New Roman"/>
        </w:rPr>
        <w:t>The SRP is not a substitute for the regulations, and compliance is not a requirement</w:t>
      </w:r>
      <w:r w:rsidR="00CD0397">
        <w:rPr>
          <w:rFonts w:ascii="Times New Roman" w:hAnsi="Times New Roman" w:cs="Times New Roman"/>
        </w:rPr>
        <w:t>.</w:t>
      </w:r>
    </w:p>
    <w:p w:rsidR="005D1335" w:rsidP="002F3C90" w14:paraId="6CB50F09" w14:textId="55F3F4C2">
      <w:pPr>
        <w:pStyle w:val="ListParagraph"/>
        <w:spacing w:after="0" w:line="240" w:lineRule="auto"/>
        <w:ind w:left="1080"/>
        <w:rPr>
          <w:rFonts w:ascii="Times New Roman" w:hAnsi="Times New Roman" w:cs="Times New Roman"/>
        </w:rPr>
      </w:pPr>
    </w:p>
    <w:p w:rsidR="005D1335" w:rsidP="002F3C90" w14:paraId="258845E9" w14:textId="3FEFFB98">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52.137(a)(2) requires applications for standard design approvals (SDAs) to </w:t>
      </w:r>
      <w:r w:rsidR="00792E6C">
        <w:rPr>
          <w:rFonts w:ascii="Times New Roman" w:hAnsi="Times New Roman" w:cs="Times New Roman"/>
        </w:rPr>
        <w:t>provide a</w:t>
      </w:r>
      <w:r w:rsidRPr="00153149" w:rsidR="00153149">
        <w:rPr>
          <w:rFonts w:ascii="Times New Roman" w:hAnsi="Times New Roman" w:cs="Times New Roman"/>
        </w:rPr>
        <w:t xml:space="preserve"> description and analysis of the SSCs of the facility, with emphasis upon performance requirements, the bases, with technical justification</w:t>
      </w:r>
      <w:r w:rsidR="005F0465">
        <w:rPr>
          <w:rFonts w:ascii="Times New Roman" w:hAnsi="Times New Roman" w:cs="Times New Roman"/>
        </w:rPr>
        <w:t>,</w:t>
      </w:r>
      <w:r w:rsidRPr="00153149" w:rsidR="00153149">
        <w:rPr>
          <w:rFonts w:ascii="Times New Roman" w:hAnsi="Times New Roman" w:cs="Times New Roman"/>
        </w:rPr>
        <w:t xml:space="preserve"> upon which the requirements have been established, and the evaluations required to show that safety functions will be accomplished. It is expected that the standard plant will reflect through its design, construction, and operation an extremely low probability </w:t>
      </w:r>
      <w:r w:rsidRPr="00153149" w:rsidR="00153149">
        <w:rPr>
          <w:rFonts w:ascii="Times New Roman" w:hAnsi="Times New Roman" w:cs="Times New Roman"/>
        </w:rPr>
        <w:t>for</w:t>
      </w:r>
      <w:r w:rsidRPr="00153149" w:rsidR="00153149">
        <w:rPr>
          <w:rFonts w:ascii="Times New Roman" w:hAnsi="Times New Roman" w:cs="Times New Roman"/>
        </w:rPr>
        <w:t xml:space="preserve"> accidents that could result in the release of significant quantities of radioactive fission products.</w:t>
      </w:r>
    </w:p>
    <w:p w:rsidR="006425CC" w:rsidP="002F3C90" w14:paraId="411DE4C2" w14:textId="49EAD663">
      <w:pPr>
        <w:pStyle w:val="ListParagraph"/>
        <w:spacing w:after="0" w:line="240" w:lineRule="auto"/>
        <w:ind w:left="1080"/>
        <w:rPr>
          <w:rFonts w:ascii="Times New Roman" w:hAnsi="Times New Roman" w:cs="Times New Roman"/>
        </w:rPr>
      </w:pPr>
    </w:p>
    <w:p w:rsidR="006425CC" w:rsidP="002F3C90" w14:paraId="5D1B7C60" w14:textId="0E0B64F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52.137(a)(4) requires applications for SDAs to </w:t>
      </w:r>
      <w:r w:rsidR="00C47120">
        <w:rPr>
          <w:rFonts w:ascii="Times New Roman" w:hAnsi="Times New Roman" w:cs="Times New Roman"/>
        </w:rPr>
        <w:t>provide a</w:t>
      </w:r>
      <w:r w:rsidRPr="00C47120" w:rsidR="00C47120">
        <w:rPr>
          <w:rFonts w:ascii="Times New Roman" w:hAnsi="Times New Roman" w:cs="Times New Roman"/>
        </w:rPr>
        <w:t>n analysis and evaluation of the design and performance of SSC</w:t>
      </w:r>
      <w:r w:rsidR="00FD2A01">
        <w:rPr>
          <w:rFonts w:ascii="Times New Roman" w:hAnsi="Times New Roman" w:cs="Times New Roman"/>
        </w:rPr>
        <w:t>s</w:t>
      </w:r>
      <w:r w:rsidRPr="00C47120" w:rsidR="00C47120">
        <w:rPr>
          <w:rFonts w:ascii="Times New Roman" w:hAnsi="Times New Roman" w:cs="Times New Roman"/>
        </w:rPr>
        <w:t xml:space="preserve"> with the objective of assessing the risk to public health and safety resulting from operation of the facility and including determination of the margins of safety during normal operations and transient conditions anticipated during the life of the facility, and the adequacy of SSCs provided for the prevention of accidents and the mitigation of the consequences of accidents.</w:t>
      </w:r>
    </w:p>
    <w:p w:rsidR="004353E2" w:rsidP="002F3C90" w14:paraId="0ED04937" w14:textId="3BDC3011">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302374" w:rsidR="00302374">
        <w:rPr>
          <w:rFonts w:ascii="Times New Roman" w:hAnsi="Times New Roman" w:cs="Times New Roman"/>
        </w:rPr>
        <w:t>52.137(a)(9)</w:t>
      </w:r>
      <w:r w:rsidR="00CD0397">
        <w:rPr>
          <w:rFonts w:ascii="Times New Roman" w:hAnsi="Times New Roman" w:cs="Times New Roman"/>
        </w:rPr>
        <w:t xml:space="preserve"> requires applications for LWR </w:t>
      </w:r>
      <w:r w:rsidR="00153149">
        <w:rPr>
          <w:rFonts w:ascii="Times New Roman" w:hAnsi="Times New Roman" w:cs="Times New Roman"/>
        </w:rPr>
        <w:t>SDA</w:t>
      </w:r>
      <w:r w:rsidR="003331F3">
        <w:rPr>
          <w:rFonts w:ascii="Times New Roman" w:hAnsi="Times New Roman" w:cs="Times New Roman"/>
        </w:rPr>
        <w:t xml:space="preserve">s to include </w:t>
      </w:r>
      <w:r w:rsidRPr="0095543E" w:rsidR="0095543E">
        <w:rPr>
          <w:rFonts w:ascii="Times New Roman" w:hAnsi="Times New Roman" w:cs="Times New Roman"/>
        </w:rPr>
        <w:t>an evaluation of the standard plant design against the SRP revision in effect 6</w:t>
      </w:r>
      <w:r w:rsidR="00C57B57">
        <w:rPr>
          <w:rFonts w:ascii="Times New Roman" w:hAnsi="Times New Roman" w:cs="Times New Roman"/>
        </w:rPr>
        <w:t> </w:t>
      </w:r>
      <w:r w:rsidRPr="0095543E" w:rsidR="0095543E">
        <w:rPr>
          <w:rFonts w:ascii="Times New Roman" w:hAnsi="Times New Roman" w:cs="Times New Roman"/>
        </w:rPr>
        <w:t>months before the docket date of the application</w:t>
      </w:r>
      <w:r w:rsidR="008751C0">
        <w:rPr>
          <w:rFonts w:ascii="Times New Roman" w:hAnsi="Times New Roman" w:cs="Times New Roman"/>
        </w:rPr>
        <w:t xml:space="preserve">. </w:t>
      </w:r>
      <w:r w:rsidRPr="0095543E" w:rsidR="0095543E">
        <w:rPr>
          <w:rFonts w:ascii="Times New Roman" w:hAnsi="Times New Roman" w:cs="Times New Roman"/>
        </w:rPr>
        <w:t xml:space="preserve">The evaluation required by this section </w:t>
      </w:r>
      <w:r w:rsidR="0095543E">
        <w:rPr>
          <w:rFonts w:ascii="Times New Roman" w:hAnsi="Times New Roman" w:cs="Times New Roman"/>
        </w:rPr>
        <w:t>must</w:t>
      </w:r>
      <w:r w:rsidRPr="0095543E" w:rsidR="0095543E">
        <w:rPr>
          <w:rFonts w:ascii="Times New Roman" w:hAnsi="Times New Roman" w:cs="Times New Roman"/>
        </w:rPr>
        <w:t xml:space="preserve"> include an identification and</w:t>
      </w:r>
      <w:r w:rsidR="007515C8">
        <w:rPr>
          <w:rFonts w:ascii="Times New Roman" w:hAnsi="Times New Roman" w:cs="Times New Roman"/>
        </w:rPr>
        <w:t xml:space="preserve"> </w:t>
      </w:r>
      <w:r w:rsidRPr="0095543E" w:rsidR="0095543E">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95543E" w:rsidR="0095543E">
        <w:rPr>
          <w:rFonts w:ascii="Times New Roman" w:hAnsi="Times New Roman" w:cs="Times New Roman"/>
        </w:rPr>
        <w:t xml:space="preserve">Where a difference exists, the evaluation </w:t>
      </w:r>
      <w:r w:rsidR="0095543E">
        <w:rPr>
          <w:rFonts w:ascii="Times New Roman" w:hAnsi="Times New Roman" w:cs="Times New Roman"/>
        </w:rPr>
        <w:t>must</w:t>
      </w:r>
      <w:r w:rsidRPr="0095543E" w:rsidR="0095543E">
        <w:rPr>
          <w:rFonts w:ascii="Times New Roman" w:hAnsi="Times New Roman" w:cs="Times New Roman"/>
        </w:rPr>
        <w:t xml:space="preserve"> discuss how the proposed alternative provides an acceptable method of complying with the Commission's regulations, or portions thereof, that </w:t>
      </w:r>
      <w:r w:rsidRPr="0095543E" w:rsidR="0095543E">
        <w:rPr>
          <w:rFonts w:ascii="Times New Roman" w:hAnsi="Times New Roman" w:cs="Times New Roman"/>
        </w:rPr>
        <w:t>underlie</w:t>
      </w:r>
      <w:r w:rsidRPr="0095543E" w:rsidR="0095543E">
        <w:rPr>
          <w:rFonts w:ascii="Times New Roman" w:hAnsi="Times New Roman" w:cs="Times New Roman"/>
        </w:rPr>
        <w:t xml:space="preserve"> the corresponding SRP acceptance criteria</w:t>
      </w:r>
      <w:r w:rsidR="008751C0">
        <w:rPr>
          <w:rFonts w:ascii="Times New Roman" w:hAnsi="Times New Roman" w:cs="Times New Roman"/>
        </w:rPr>
        <w:t xml:space="preserve">. </w:t>
      </w:r>
      <w:r w:rsidRPr="0095543E" w:rsidR="0095543E">
        <w:rPr>
          <w:rFonts w:ascii="Times New Roman" w:hAnsi="Times New Roman" w:cs="Times New Roman"/>
        </w:rPr>
        <w:t>The SRP is not a substitute for the regulations, and compliance is not a requirement</w:t>
      </w:r>
      <w:r w:rsidR="0095543E">
        <w:rPr>
          <w:rFonts w:ascii="Times New Roman" w:hAnsi="Times New Roman" w:cs="Times New Roman"/>
        </w:rPr>
        <w:t>.</w:t>
      </w:r>
    </w:p>
    <w:p w:rsidR="00FE66C9" w:rsidP="002F3C90" w14:paraId="7897002E" w14:textId="0DCBADF4">
      <w:pPr>
        <w:pStyle w:val="ListParagraph"/>
        <w:spacing w:after="0" w:line="240" w:lineRule="auto"/>
        <w:ind w:left="1080"/>
        <w:rPr>
          <w:rFonts w:ascii="Times New Roman" w:hAnsi="Times New Roman" w:cs="Times New Roman"/>
        </w:rPr>
      </w:pPr>
    </w:p>
    <w:p w:rsidR="00FC0DA0" w:rsidP="002F3C90" w14:paraId="2F393FD9" w14:textId="01934938">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sidR="00311AFB">
        <w:rPr>
          <w:rFonts w:ascii="Times New Roman" w:hAnsi="Times New Roman" w:cs="Times New Roman"/>
        </w:rPr>
        <w:t xml:space="preserve">52.157(c) requires applications for manufacturing licenses (MLs) to provide </w:t>
      </w:r>
      <w:r w:rsidR="009427BE">
        <w:rPr>
          <w:rFonts w:ascii="Times New Roman" w:hAnsi="Times New Roman" w:cs="Times New Roman"/>
        </w:rPr>
        <w:t>a</w:t>
      </w:r>
      <w:r w:rsidRPr="009427BE" w:rsidR="009427BE">
        <w:rPr>
          <w:rFonts w:ascii="Times New Roman" w:hAnsi="Times New Roman" w:cs="Times New Roman"/>
        </w:rPr>
        <w:t xml:space="preserve"> description and analysis of the </w:t>
      </w:r>
      <w:r w:rsidR="00B47036">
        <w:rPr>
          <w:rFonts w:ascii="Times New Roman" w:hAnsi="Times New Roman" w:cs="Times New Roman"/>
        </w:rPr>
        <w:t>SSCs</w:t>
      </w:r>
      <w:r w:rsidRPr="009427BE" w:rsidR="009427BE">
        <w:rPr>
          <w:rFonts w:ascii="Times New Roman" w:hAnsi="Times New Roman" w:cs="Times New Roman"/>
        </w:rPr>
        <w:t xml:space="preserve"> of the reactor to be manufactured, with emphasis upon the materials of manufacture, performance requirements, the bases, with technical justification therefor, upon which the performance requirements have been established, and the evaluations required to show that safety functions will be accomplished.</w:t>
      </w:r>
    </w:p>
    <w:p w:rsidR="00FC0DA0" w:rsidRPr="00D15BFC" w:rsidP="0021002A" w14:paraId="6A4209B9" w14:textId="77777777">
      <w:pPr>
        <w:spacing w:after="0" w:line="240" w:lineRule="auto"/>
        <w:rPr>
          <w:rFonts w:ascii="Times New Roman" w:hAnsi="Times New Roman" w:cs="Times New Roman"/>
        </w:rPr>
      </w:pPr>
    </w:p>
    <w:p w:rsidR="00776D6B" w:rsidP="002F3C90" w14:paraId="3B3C340C" w14:textId="741AE750">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Pr>
          <w:rFonts w:ascii="Times New Roman" w:hAnsi="Times New Roman" w:cs="Times New Roman"/>
        </w:rPr>
        <w:t xml:space="preserve">52.157(f)(1) requires applications for MLs to provide </w:t>
      </w:r>
      <w:r w:rsidR="00B83169">
        <w:rPr>
          <w:rFonts w:ascii="Times New Roman" w:hAnsi="Times New Roman" w:cs="Times New Roman"/>
        </w:rPr>
        <w:t>a</w:t>
      </w:r>
      <w:r w:rsidRPr="004C4D7D" w:rsidR="004C4D7D">
        <w:rPr>
          <w:rFonts w:ascii="Times New Roman" w:hAnsi="Times New Roman" w:cs="Times New Roman"/>
        </w:rPr>
        <w:t xml:space="preserve">n analysis and evaluation of the design and performance of </w:t>
      </w:r>
      <w:r w:rsidR="00B47036">
        <w:rPr>
          <w:rFonts w:ascii="Times New Roman" w:hAnsi="Times New Roman" w:cs="Times New Roman"/>
        </w:rPr>
        <w:t>SSCs</w:t>
      </w:r>
      <w:r w:rsidRPr="004C4D7D" w:rsidR="004C4D7D">
        <w:rPr>
          <w:rFonts w:ascii="Times New Roman" w:hAnsi="Times New Roman" w:cs="Times New Roman"/>
        </w:rPr>
        <w:t xml:space="preserve"> with the objective of assessing the risk to public health and safety resulting from operation of the facility and including determination of the margins of safety during normal operations and transient conditions anticipated during the life of the facility, and the adequacy of </w:t>
      </w:r>
      <w:r w:rsidR="004372FA">
        <w:rPr>
          <w:rFonts w:ascii="Times New Roman" w:hAnsi="Times New Roman" w:cs="Times New Roman"/>
        </w:rPr>
        <w:t>SSCs</w:t>
      </w:r>
      <w:r w:rsidRPr="004C4D7D" w:rsidR="004C4D7D">
        <w:rPr>
          <w:rFonts w:ascii="Times New Roman" w:hAnsi="Times New Roman" w:cs="Times New Roman"/>
        </w:rPr>
        <w:t xml:space="preserve"> provided for the prevention of accidents and the mitigation of the consequences of accidents.</w:t>
      </w:r>
    </w:p>
    <w:p w:rsidR="00302374" w:rsidP="002F3C90" w14:paraId="7DE23B67" w14:textId="6C1D7C0B">
      <w:pPr>
        <w:pStyle w:val="ListParagraph"/>
        <w:spacing w:after="0" w:line="240" w:lineRule="auto"/>
        <w:ind w:left="1080"/>
        <w:rPr>
          <w:rFonts w:ascii="Times New Roman" w:hAnsi="Times New Roman" w:cs="Times New Roman"/>
        </w:rPr>
      </w:pPr>
    </w:p>
    <w:p w:rsidR="00302374" w:rsidP="002F3C90" w14:paraId="4C9F95FA" w14:textId="4C3E6BB4">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sidRPr="00CB5C2D" w:rsidR="00CB5C2D">
        <w:rPr>
          <w:rFonts w:ascii="Times New Roman" w:hAnsi="Times New Roman" w:cs="Times New Roman"/>
        </w:rPr>
        <w:t>52.157(f)(30)</w:t>
      </w:r>
      <w:r w:rsidR="0095543E">
        <w:rPr>
          <w:rFonts w:ascii="Times New Roman" w:hAnsi="Times New Roman" w:cs="Times New Roman"/>
        </w:rPr>
        <w:t xml:space="preserve"> requires applications for LWR </w:t>
      </w:r>
      <w:r w:rsidR="00311AFB">
        <w:rPr>
          <w:rFonts w:ascii="Times New Roman" w:hAnsi="Times New Roman" w:cs="Times New Roman"/>
        </w:rPr>
        <w:t>ML</w:t>
      </w:r>
      <w:r w:rsidR="0095543E">
        <w:rPr>
          <w:rFonts w:ascii="Times New Roman" w:hAnsi="Times New Roman" w:cs="Times New Roman"/>
        </w:rPr>
        <w:t xml:space="preserve">s to include an </w:t>
      </w:r>
      <w:r w:rsidRPr="004E7108" w:rsidR="004E7108">
        <w:rPr>
          <w:rFonts w:ascii="Times New Roman" w:hAnsi="Times New Roman" w:cs="Times New Roman"/>
        </w:rPr>
        <w:t>evaluation of the design to be manufactured against the SRP revision in effect 6</w:t>
      </w:r>
      <w:r w:rsidR="00C57B57">
        <w:rPr>
          <w:rFonts w:ascii="Times New Roman" w:hAnsi="Times New Roman" w:cs="Times New Roman"/>
        </w:rPr>
        <w:t> </w:t>
      </w:r>
      <w:r w:rsidRPr="004E7108" w:rsidR="004E7108">
        <w:rPr>
          <w:rFonts w:ascii="Times New Roman" w:hAnsi="Times New Roman" w:cs="Times New Roman"/>
        </w:rPr>
        <w:t>months before the docket date of the application</w:t>
      </w:r>
      <w:r w:rsidR="008751C0">
        <w:rPr>
          <w:rFonts w:ascii="Times New Roman" w:hAnsi="Times New Roman" w:cs="Times New Roman"/>
        </w:rPr>
        <w:t xml:space="preserve">. </w:t>
      </w:r>
      <w:r w:rsidRPr="004E7108" w:rsidR="004E7108">
        <w:rPr>
          <w:rFonts w:ascii="Times New Roman" w:hAnsi="Times New Roman" w:cs="Times New Roman"/>
        </w:rPr>
        <w:t xml:space="preserve">The evaluation required by this section </w:t>
      </w:r>
      <w:r w:rsidR="00C95A99">
        <w:rPr>
          <w:rFonts w:ascii="Times New Roman" w:hAnsi="Times New Roman" w:cs="Times New Roman"/>
        </w:rPr>
        <w:t>must</w:t>
      </w:r>
      <w:r w:rsidRPr="004E7108" w:rsidR="004E7108">
        <w:rPr>
          <w:rFonts w:ascii="Times New Roman" w:hAnsi="Times New Roman" w:cs="Times New Roman"/>
        </w:rPr>
        <w:t xml:space="preserve"> include an identification and</w:t>
      </w:r>
      <w:r w:rsidR="0006491E">
        <w:rPr>
          <w:rFonts w:ascii="Times New Roman" w:hAnsi="Times New Roman" w:cs="Times New Roman"/>
        </w:rPr>
        <w:t xml:space="preserve"> </w:t>
      </w:r>
      <w:r w:rsidRPr="004E7108" w:rsidR="004E7108">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4E7108" w:rsidR="004E7108">
        <w:rPr>
          <w:rFonts w:ascii="Times New Roman" w:hAnsi="Times New Roman" w:cs="Times New Roman"/>
        </w:rPr>
        <w:t xml:space="preserve">Where a difference exists, the evaluation </w:t>
      </w:r>
      <w:r w:rsidR="00C95A99">
        <w:rPr>
          <w:rFonts w:ascii="Times New Roman" w:hAnsi="Times New Roman" w:cs="Times New Roman"/>
        </w:rPr>
        <w:t>must</w:t>
      </w:r>
      <w:r w:rsidRPr="004E7108" w:rsidR="004E7108">
        <w:rPr>
          <w:rFonts w:ascii="Times New Roman" w:hAnsi="Times New Roman" w:cs="Times New Roman"/>
        </w:rPr>
        <w:t xml:space="preserve"> discuss how the proposed alternative provides an acceptable method of complying with the Commission's regulations, or portions thereof, that </w:t>
      </w:r>
      <w:r w:rsidRPr="004E7108" w:rsidR="004E7108">
        <w:rPr>
          <w:rFonts w:ascii="Times New Roman" w:hAnsi="Times New Roman" w:cs="Times New Roman"/>
        </w:rPr>
        <w:t>underlie</w:t>
      </w:r>
      <w:r w:rsidRPr="004E7108" w:rsidR="004E7108">
        <w:rPr>
          <w:rFonts w:ascii="Times New Roman" w:hAnsi="Times New Roman" w:cs="Times New Roman"/>
        </w:rPr>
        <w:t xml:space="preserve"> the corresponding SRP acceptance criteria</w:t>
      </w:r>
      <w:r w:rsidR="008751C0">
        <w:rPr>
          <w:rFonts w:ascii="Times New Roman" w:hAnsi="Times New Roman" w:cs="Times New Roman"/>
        </w:rPr>
        <w:t xml:space="preserve">. </w:t>
      </w:r>
      <w:r w:rsidRPr="004E7108" w:rsidR="004E7108">
        <w:rPr>
          <w:rFonts w:ascii="Times New Roman" w:hAnsi="Times New Roman" w:cs="Times New Roman"/>
        </w:rPr>
        <w:t>The SRP is not a substitute for the regulations, and compliance is not a requirement</w:t>
      </w:r>
      <w:r w:rsidR="004E7108">
        <w:rPr>
          <w:rFonts w:ascii="Times New Roman" w:hAnsi="Times New Roman" w:cs="Times New Roman"/>
        </w:rPr>
        <w:t>.</w:t>
      </w:r>
    </w:p>
    <w:p w:rsidR="00BC636D" w:rsidRPr="00BC636D" w:rsidP="002F3C90" w14:paraId="60BA57B8" w14:textId="425ABFE9">
      <w:pPr>
        <w:spacing w:after="0" w:line="240" w:lineRule="auto"/>
        <w:ind w:left="720"/>
        <w:rPr>
          <w:rFonts w:ascii="Times New Roman" w:hAnsi="Times New Roman" w:cs="Times New Roman"/>
        </w:rPr>
      </w:pPr>
    </w:p>
    <w:p w:rsidR="00BC636D" w:rsidRPr="0020073F" w:rsidP="002F3C90" w14:paraId="63DFE703" w14:textId="234B8C1D">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10</w:t>
      </w:r>
      <w:r w:rsidR="00C021EF">
        <w:rPr>
          <w:rFonts w:ascii="Times New Roman" w:hAnsi="Times New Roman" w:cs="Times New Roman"/>
        </w:rPr>
        <w:t> </w:t>
      </w:r>
      <w:r>
        <w:rPr>
          <w:rFonts w:ascii="Times New Roman" w:hAnsi="Times New Roman" w:cs="Times New Roman"/>
        </w:rPr>
        <w:t>CFR</w:t>
      </w:r>
      <w:r w:rsidR="00C021EF">
        <w:rPr>
          <w:rFonts w:ascii="Times New Roman" w:hAnsi="Times New Roman" w:cs="Times New Roman"/>
        </w:rPr>
        <w:t> </w:t>
      </w:r>
      <w:r w:rsidRPr="0020073F" w:rsidR="00A0070D">
        <w:rPr>
          <w:rFonts w:ascii="Times New Roman" w:hAnsi="Times New Roman" w:cs="Times New Roman"/>
        </w:rPr>
        <w:t>Part</w:t>
      </w:r>
      <w:r w:rsidR="00C021EF">
        <w:rPr>
          <w:rFonts w:ascii="Times New Roman" w:hAnsi="Times New Roman" w:cs="Times New Roman"/>
        </w:rPr>
        <w:t> </w:t>
      </w:r>
      <w:r w:rsidRPr="0020073F" w:rsidR="00A0070D">
        <w:rPr>
          <w:rFonts w:ascii="Times New Roman" w:hAnsi="Times New Roman" w:cs="Times New Roman"/>
        </w:rPr>
        <w:t>53</w:t>
      </w:r>
    </w:p>
    <w:p w:rsidR="00BC636D" w:rsidP="002F3C90" w14:paraId="0F8A9E93" w14:textId="0AB14EA8">
      <w:pPr>
        <w:pStyle w:val="ListParagraph"/>
        <w:spacing w:after="0" w:line="240" w:lineRule="auto"/>
        <w:ind w:left="1080"/>
        <w:rPr>
          <w:rFonts w:ascii="Times New Roman" w:hAnsi="Times New Roman" w:cs="Times New Roman"/>
        </w:rPr>
      </w:pPr>
    </w:p>
    <w:p w:rsidR="00A820FB" w:rsidRPr="00C2330F" w:rsidP="002F3C90" w14:paraId="04669CAD" w14:textId="6C323D28">
      <w:pPr>
        <w:pStyle w:val="ListParagraph"/>
        <w:numPr>
          <w:ilvl w:val="1"/>
          <w:numId w:val="1"/>
        </w:numPr>
        <w:spacing w:after="0" w:line="240" w:lineRule="auto"/>
        <w:ind w:left="1080"/>
      </w:pPr>
      <w:r>
        <w:rPr>
          <w:rFonts w:ascii="Times New Roman" w:hAnsi="Times New Roman" w:cs="Times New Roman"/>
        </w:rPr>
        <w:t>10</w:t>
      </w:r>
      <w:r w:rsidR="00C021EF">
        <w:rPr>
          <w:rFonts w:ascii="Times New Roman" w:hAnsi="Times New Roman" w:cs="Times New Roman"/>
        </w:rPr>
        <w:t> </w:t>
      </w:r>
      <w:r>
        <w:rPr>
          <w:rFonts w:ascii="Times New Roman" w:hAnsi="Times New Roman" w:cs="Times New Roman"/>
        </w:rPr>
        <w:t>CFR</w:t>
      </w:r>
      <w:r w:rsidR="00C021EF">
        <w:rPr>
          <w:rFonts w:ascii="Times New Roman" w:hAnsi="Times New Roman" w:cs="Times New Roman"/>
        </w:rPr>
        <w:t> </w:t>
      </w:r>
      <w:r w:rsidR="00CD3F92">
        <w:rPr>
          <w:rFonts w:ascii="Times New Roman" w:hAnsi="Times New Roman" w:cs="Times New Roman"/>
        </w:rPr>
        <w:t>53.</w:t>
      </w:r>
      <w:r w:rsidR="000A5618">
        <w:rPr>
          <w:rFonts w:ascii="Times New Roman" w:hAnsi="Times New Roman" w:cs="Times New Roman"/>
        </w:rPr>
        <w:t>240</w:t>
      </w:r>
      <w:r w:rsidR="00A448D0">
        <w:rPr>
          <w:rFonts w:ascii="Times New Roman" w:hAnsi="Times New Roman" w:cs="Times New Roman"/>
        </w:rPr>
        <w:t>, “</w:t>
      </w:r>
      <w:r w:rsidRPr="00A448D0" w:rsidR="00A448D0">
        <w:rPr>
          <w:rFonts w:ascii="Times New Roman" w:hAnsi="Times New Roman" w:cs="Times New Roman"/>
        </w:rPr>
        <w:t>Licensing-basis events</w:t>
      </w:r>
      <w:r w:rsidR="00A448D0">
        <w:rPr>
          <w:rFonts w:ascii="Times New Roman" w:hAnsi="Times New Roman" w:cs="Times New Roman"/>
        </w:rPr>
        <w:t>,”</w:t>
      </w:r>
      <w:r w:rsidR="000A5618">
        <w:rPr>
          <w:rFonts w:ascii="Times New Roman" w:hAnsi="Times New Roman" w:cs="Times New Roman"/>
        </w:rPr>
        <w:t xml:space="preserve"> require</w:t>
      </w:r>
      <w:r w:rsidR="00803CF6">
        <w:rPr>
          <w:rFonts w:ascii="Times New Roman" w:hAnsi="Times New Roman" w:cs="Times New Roman"/>
        </w:rPr>
        <w:t>s</w:t>
      </w:r>
      <w:r w:rsidR="000A5618">
        <w:rPr>
          <w:rFonts w:ascii="Times New Roman" w:hAnsi="Times New Roman" w:cs="Times New Roman"/>
        </w:rPr>
        <w:t xml:space="preserve"> </w:t>
      </w:r>
      <w:r w:rsidR="00670A43">
        <w:rPr>
          <w:rFonts w:ascii="Times New Roman" w:hAnsi="Times New Roman" w:cs="Times New Roman"/>
        </w:rPr>
        <w:t xml:space="preserve">CP, OL, DC, SDA, ML, and COL </w:t>
      </w:r>
      <w:r w:rsidR="000A5618">
        <w:rPr>
          <w:rFonts w:ascii="Times New Roman" w:hAnsi="Times New Roman" w:cs="Times New Roman"/>
        </w:rPr>
        <w:t>applicants for commercial nuclear plant</w:t>
      </w:r>
      <w:r w:rsidR="002F7B2A">
        <w:rPr>
          <w:rFonts w:ascii="Times New Roman" w:hAnsi="Times New Roman" w:cs="Times New Roman"/>
        </w:rPr>
        <w:t xml:space="preserve">s </w:t>
      </w:r>
      <w:r w:rsidR="0080073F">
        <w:rPr>
          <w:rFonts w:ascii="Times New Roman" w:hAnsi="Times New Roman" w:cs="Times New Roman"/>
        </w:rPr>
        <w:t xml:space="preserve">to </w:t>
      </w:r>
      <w:r w:rsidR="002F7B2A">
        <w:rPr>
          <w:rFonts w:ascii="Times New Roman" w:hAnsi="Times New Roman" w:cs="Times New Roman"/>
        </w:rPr>
        <w:t xml:space="preserve">identify </w:t>
      </w:r>
      <w:r w:rsidR="00733889">
        <w:rPr>
          <w:rFonts w:ascii="Times New Roman" w:hAnsi="Times New Roman" w:cs="Times New Roman"/>
        </w:rPr>
        <w:t>and analyze l</w:t>
      </w:r>
      <w:r w:rsidRPr="008F3C75" w:rsidR="008F3C75">
        <w:rPr>
          <w:rFonts w:ascii="Times New Roman" w:hAnsi="Times New Roman" w:cs="Times New Roman"/>
        </w:rPr>
        <w:t>icensing</w:t>
      </w:r>
      <w:r w:rsidR="00800A88">
        <w:rPr>
          <w:rFonts w:ascii="Times New Roman" w:hAnsi="Times New Roman" w:cs="Times New Roman"/>
        </w:rPr>
        <w:t>-</w:t>
      </w:r>
      <w:r w:rsidRPr="008F3C75" w:rsidR="008F3C75">
        <w:rPr>
          <w:rFonts w:ascii="Times New Roman" w:hAnsi="Times New Roman" w:cs="Times New Roman"/>
        </w:rPr>
        <w:t xml:space="preserve">basis events </w:t>
      </w:r>
      <w:r w:rsidR="00616FAB">
        <w:rPr>
          <w:rFonts w:ascii="Times New Roman" w:hAnsi="Times New Roman" w:cs="Times New Roman"/>
        </w:rPr>
        <w:t>under</w:t>
      </w:r>
      <w:r w:rsidRPr="008F3C75" w:rsidR="008F3C75">
        <w:rPr>
          <w:rFonts w:ascii="Times New Roman" w:hAnsi="Times New Roman" w:cs="Times New Roman"/>
        </w:rPr>
        <w:t xml:space="preserve"> </w:t>
      </w:r>
      <w:r w:rsidR="00BF53E3">
        <w:rPr>
          <w:rFonts w:ascii="Times New Roman" w:hAnsi="Times New Roman" w:cs="Times New Roman"/>
        </w:rPr>
        <w:t>10 CFR </w:t>
      </w:r>
      <w:r w:rsidRPr="008F3C75" w:rsidR="008F3C75">
        <w:rPr>
          <w:rFonts w:ascii="Times New Roman" w:hAnsi="Times New Roman" w:cs="Times New Roman"/>
        </w:rPr>
        <w:t>53.450</w:t>
      </w:r>
      <w:r w:rsidR="00D6544B">
        <w:rPr>
          <w:rFonts w:ascii="Times New Roman" w:hAnsi="Times New Roman" w:cs="Times New Roman"/>
        </w:rPr>
        <w:t>, “Analysis requirements,”</w:t>
      </w:r>
      <w:r w:rsidRPr="008F3C75" w:rsidR="008F3C75">
        <w:rPr>
          <w:rFonts w:ascii="Times New Roman" w:hAnsi="Times New Roman" w:cs="Times New Roman"/>
        </w:rPr>
        <w:t xml:space="preserve"> to support assessments of the safety requirements in</w:t>
      </w:r>
      <w:r w:rsidR="00B02B24">
        <w:rPr>
          <w:rFonts w:ascii="Times New Roman" w:hAnsi="Times New Roman" w:cs="Times New Roman"/>
        </w:rPr>
        <w:t xml:space="preserve"> 10</w:t>
      </w:r>
      <w:r w:rsidR="00C021EF">
        <w:rPr>
          <w:rFonts w:ascii="Times New Roman" w:hAnsi="Times New Roman" w:cs="Times New Roman"/>
        </w:rPr>
        <w:t> </w:t>
      </w:r>
      <w:r w:rsidR="00B02B24">
        <w:rPr>
          <w:rFonts w:ascii="Times New Roman" w:hAnsi="Times New Roman" w:cs="Times New Roman"/>
        </w:rPr>
        <w:t>CFR</w:t>
      </w:r>
      <w:r w:rsidR="00C021EF">
        <w:rPr>
          <w:rFonts w:ascii="Times New Roman" w:hAnsi="Times New Roman" w:cs="Times New Roman"/>
        </w:rPr>
        <w:t> </w:t>
      </w:r>
      <w:r w:rsidR="00B02B24">
        <w:rPr>
          <w:rFonts w:ascii="Times New Roman" w:hAnsi="Times New Roman" w:cs="Times New Roman"/>
        </w:rPr>
        <w:t>Part</w:t>
      </w:r>
      <w:r w:rsidR="00C021EF">
        <w:rPr>
          <w:rFonts w:ascii="Times New Roman" w:hAnsi="Times New Roman" w:cs="Times New Roman"/>
        </w:rPr>
        <w:t> </w:t>
      </w:r>
      <w:r w:rsidR="00B02B24">
        <w:rPr>
          <w:rFonts w:ascii="Times New Roman" w:hAnsi="Times New Roman" w:cs="Times New Roman"/>
        </w:rPr>
        <w:t>53</w:t>
      </w:r>
      <w:r w:rsidR="008751C0">
        <w:rPr>
          <w:rFonts w:ascii="Times New Roman" w:hAnsi="Times New Roman" w:cs="Times New Roman"/>
        </w:rPr>
        <w:t xml:space="preserve">. </w:t>
      </w:r>
      <w:r w:rsidRPr="008F3C75" w:rsidR="008F3C75">
        <w:rPr>
          <w:rFonts w:ascii="Times New Roman" w:hAnsi="Times New Roman" w:cs="Times New Roman"/>
        </w:rPr>
        <w:t xml:space="preserve">The </w:t>
      </w:r>
      <w:r w:rsidR="00E273F8">
        <w:rPr>
          <w:rFonts w:ascii="Times New Roman" w:hAnsi="Times New Roman" w:cs="Times New Roman"/>
        </w:rPr>
        <w:t xml:space="preserve">identified </w:t>
      </w:r>
      <w:r w:rsidRPr="008F3C75" w:rsidR="008F3C75">
        <w:rPr>
          <w:rFonts w:ascii="Times New Roman" w:hAnsi="Times New Roman" w:cs="Times New Roman"/>
        </w:rPr>
        <w:t>licensing</w:t>
      </w:r>
      <w:r w:rsidR="00800A88">
        <w:rPr>
          <w:rFonts w:ascii="Times New Roman" w:hAnsi="Times New Roman" w:cs="Times New Roman"/>
        </w:rPr>
        <w:t>-</w:t>
      </w:r>
      <w:r w:rsidRPr="008F3C75" w:rsidR="008F3C75">
        <w:rPr>
          <w:rFonts w:ascii="Times New Roman" w:hAnsi="Times New Roman" w:cs="Times New Roman"/>
        </w:rPr>
        <w:t xml:space="preserve">basis events </w:t>
      </w:r>
      <w:r w:rsidR="005A189A">
        <w:rPr>
          <w:rFonts w:ascii="Times New Roman" w:hAnsi="Times New Roman" w:cs="Times New Roman"/>
        </w:rPr>
        <w:t>must</w:t>
      </w:r>
      <w:r w:rsidR="000A1E45">
        <w:rPr>
          <w:rFonts w:ascii="Times New Roman" w:hAnsi="Times New Roman" w:cs="Times New Roman"/>
        </w:rPr>
        <w:t xml:space="preserve"> collectively</w:t>
      </w:r>
      <w:r w:rsidRPr="008F3C75" w:rsidR="00824E2D">
        <w:rPr>
          <w:rFonts w:ascii="Times New Roman" w:hAnsi="Times New Roman" w:cs="Times New Roman"/>
        </w:rPr>
        <w:t xml:space="preserve"> </w:t>
      </w:r>
      <w:r w:rsidRPr="008F3C75" w:rsidR="008F3C75">
        <w:rPr>
          <w:rFonts w:ascii="Times New Roman" w:hAnsi="Times New Roman" w:cs="Times New Roman"/>
        </w:rPr>
        <w:t xml:space="preserve">address </w:t>
      </w:r>
      <w:r w:rsidR="00EB6F26">
        <w:rPr>
          <w:rFonts w:ascii="Times New Roman" w:hAnsi="Times New Roman" w:cs="Times New Roman"/>
        </w:rPr>
        <w:t>appropriate</w:t>
      </w:r>
      <w:r w:rsidR="00BD187D">
        <w:rPr>
          <w:rFonts w:ascii="Times New Roman" w:hAnsi="Times New Roman" w:cs="Times New Roman"/>
        </w:rPr>
        <w:t xml:space="preserve"> risk-informed </w:t>
      </w:r>
      <w:r w:rsidRPr="008F3C75" w:rsidR="008F3C75">
        <w:rPr>
          <w:rFonts w:ascii="Times New Roman" w:hAnsi="Times New Roman" w:cs="Times New Roman"/>
        </w:rPr>
        <w:t xml:space="preserve">combinations of malfunctions of plant SSCs, human errors, facility hazards, and the effects of external hazards ranging from anticipated operational occurrences </w:t>
      </w:r>
      <w:r w:rsidR="00AD0A18">
        <w:rPr>
          <w:rFonts w:ascii="Times New Roman" w:hAnsi="Times New Roman" w:cs="Times New Roman"/>
        </w:rPr>
        <w:t xml:space="preserve">(AOOs) </w:t>
      </w:r>
      <w:r w:rsidRPr="008F3C75" w:rsidR="008F3C75">
        <w:rPr>
          <w:rFonts w:ascii="Times New Roman" w:hAnsi="Times New Roman" w:cs="Times New Roman"/>
        </w:rPr>
        <w:t>to very unlikely event sequences</w:t>
      </w:r>
      <w:r w:rsidR="008751C0">
        <w:rPr>
          <w:rFonts w:ascii="Times New Roman" w:hAnsi="Times New Roman" w:cs="Times New Roman"/>
        </w:rPr>
        <w:t xml:space="preserve">. </w:t>
      </w:r>
      <w:r w:rsidRPr="008F3C75" w:rsidR="008F3C75">
        <w:rPr>
          <w:rFonts w:ascii="Times New Roman" w:hAnsi="Times New Roman" w:cs="Times New Roman"/>
        </w:rPr>
        <w:t>The analysis of licensing</w:t>
      </w:r>
      <w:r w:rsidR="00800A88">
        <w:rPr>
          <w:rFonts w:ascii="Times New Roman" w:hAnsi="Times New Roman" w:cs="Times New Roman"/>
        </w:rPr>
        <w:t>-</w:t>
      </w:r>
      <w:r w:rsidRPr="008F3C75" w:rsidR="008F3C75">
        <w:rPr>
          <w:rFonts w:ascii="Times New Roman" w:hAnsi="Times New Roman" w:cs="Times New Roman"/>
        </w:rPr>
        <w:t>basis events</w:t>
      </w:r>
      <w:r w:rsidRPr="004023DC" w:rsidR="004023DC">
        <w:t xml:space="preserve"> </w:t>
      </w:r>
      <w:r w:rsidR="00D4033F">
        <w:rPr>
          <w:rFonts w:ascii="Times New Roman" w:hAnsi="Times New Roman" w:cs="Times New Roman"/>
        </w:rPr>
        <w:t>must</w:t>
      </w:r>
      <w:r w:rsidRPr="004023DC" w:rsidR="00071403">
        <w:rPr>
          <w:rFonts w:ascii="Times New Roman" w:hAnsi="Times New Roman" w:cs="Times New Roman"/>
        </w:rPr>
        <w:t xml:space="preserve"> </w:t>
      </w:r>
      <w:r w:rsidRPr="004023DC" w:rsidR="004023DC">
        <w:rPr>
          <w:rFonts w:ascii="Times New Roman" w:hAnsi="Times New Roman" w:cs="Times New Roman"/>
        </w:rPr>
        <w:t>include analysis of</w:t>
      </w:r>
      <w:r w:rsidR="00C73E11">
        <w:rPr>
          <w:rFonts w:ascii="Times New Roman" w:hAnsi="Times New Roman" w:cs="Times New Roman"/>
        </w:rPr>
        <w:t xml:space="preserve"> </w:t>
      </w:r>
      <w:r w:rsidRPr="004023DC" w:rsidR="004023DC">
        <w:rPr>
          <w:rFonts w:ascii="Times New Roman" w:hAnsi="Times New Roman" w:cs="Times New Roman"/>
        </w:rPr>
        <w:t>one or more design</w:t>
      </w:r>
      <w:r w:rsidR="000E6BEE">
        <w:rPr>
          <w:rFonts w:ascii="Times New Roman" w:hAnsi="Times New Roman" w:cs="Times New Roman"/>
        </w:rPr>
        <w:t>-</w:t>
      </w:r>
      <w:r w:rsidRPr="004023DC" w:rsidR="004023DC">
        <w:rPr>
          <w:rFonts w:ascii="Times New Roman" w:hAnsi="Times New Roman" w:cs="Times New Roman"/>
        </w:rPr>
        <w:t xml:space="preserve">basis accidents </w:t>
      </w:r>
      <w:r w:rsidR="00BD1895">
        <w:rPr>
          <w:rFonts w:ascii="Times New Roman" w:hAnsi="Times New Roman" w:cs="Times New Roman"/>
        </w:rPr>
        <w:t xml:space="preserve">(DBAs) </w:t>
      </w:r>
      <w:r w:rsidR="001B03B1">
        <w:rPr>
          <w:rFonts w:ascii="Times New Roman" w:hAnsi="Times New Roman" w:cs="Times New Roman"/>
        </w:rPr>
        <w:t>under</w:t>
      </w:r>
      <w:r w:rsidRPr="004023DC" w:rsidR="004023DC">
        <w:rPr>
          <w:rFonts w:ascii="Times New Roman" w:hAnsi="Times New Roman" w:cs="Times New Roman"/>
        </w:rPr>
        <w:t xml:space="preserve"> </w:t>
      </w:r>
      <w:r w:rsidR="00BF53E3">
        <w:rPr>
          <w:rFonts w:ascii="Times New Roman" w:hAnsi="Times New Roman" w:cs="Times New Roman"/>
        </w:rPr>
        <w:t>10 CFR</w:t>
      </w:r>
      <w:r w:rsidRPr="004023DC" w:rsidR="004023DC">
        <w:rPr>
          <w:rFonts w:ascii="Times New Roman" w:hAnsi="Times New Roman" w:cs="Times New Roman"/>
        </w:rPr>
        <w:t>53.450(f)</w:t>
      </w:r>
      <w:r w:rsidR="008751C0">
        <w:rPr>
          <w:rFonts w:ascii="Times New Roman" w:hAnsi="Times New Roman" w:cs="Times New Roman"/>
        </w:rPr>
        <w:t xml:space="preserve">. </w:t>
      </w:r>
      <w:r w:rsidRPr="004023DC" w:rsidR="004023DC">
        <w:rPr>
          <w:rFonts w:ascii="Times New Roman" w:hAnsi="Times New Roman" w:cs="Times New Roman"/>
        </w:rPr>
        <w:t>The analysis of licensing</w:t>
      </w:r>
      <w:r w:rsidR="00800A88">
        <w:rPr>
          <w:rFonts w:ascii="Times New Roman" w:hAnsi="Times New Roman" w:cs="Times New Roman"/>
        </w:rPr>
        <w:t>-</w:t>
      </w:r>
      <w:r w:rsidRPr="004023DC" w:rsidR="004023DC">
        <w:rPr>
          <w:rFonts w:ascii="Times New Roman" w:hAnsi="Times New Roman" w:cs="Times New Roman"/>
        </w:rPr>
        <w:t>basis events</w:t>
      </w:r>
      <w:r w:rsidR="002A51AE">
        <w:rPr>
          <w:rFonts w:ascii="Times New Roman" w:hAnsi="Times New Roman" w:cs="Times New Roman"/>
        </w:rPr>
        <w:t xml:space="preserve"> </w:t>
      </w:r>
      <w:r w:rsidR="00826B90">
        <w:rPr>
          <w:rFonts w:ascii="Times New Roman" w:hAnsi="Times New Roman" w:cs="Times New Roman"/>
        </w:rPr>
        <w:t>must</w:t>
      </w:r>
      <w:r w:rsidRPr="004023DC" w:rsidR="004023DC">
        <w:rPr>
          <w:rFonts w:ascii="Times New Roman" w:hAnsi="Times New Roman" w:cs="Times New Roman"/>
        </w:rPr>
        <w:t xml:space="preserve"> confirm the adequacy of design features and programmatic controls needed to satisfy safety criteria defined in </w:t>
      </w:r>
      <w:r w:rsidR="0014129F">
        <w:rPr>
          <w:rFonts w:ascii="Times New Roman" w:hAnsi="Times New Roman" w:cs="Times New Roman"/>
        </w:rPr>
        <w:t>10 CFR </w:t>
      </w:r>
      <w:r w:rsidRPr="004023DC" w:rsidR="004023DC">
        <w:rPr>
          <w:rFonts w:ascii="Times New Roman" w:hAnsi="Times New Roman" w:cs="Times New Roman"/>
        </w:rPr>
        <w:t>53.210</w:t>
      </w:r>
      <w:r w:rsidR="002B2A64">
        <w:rPr>
          <w:rFonts w:ascii="Times New Roman" w:hAnsi="Times New Roman" w:cs="Times New Roman"/>
        </w:rPr>
        <w:t>, “</w:t>
      </w:r>
      <w:r w:rsidRPr="002B2A64" w:rsidR="002B2A64">
        <w:rPr>
          <w:rFonts w:ascii="Times New Roman" w:hAnsi="Times New Roman" w:cs="Times New Roman"/>
        </w:rPr>
        <w:t>Safety criteria for design-basis accidents</w:t>
      </w:r>
      <w:r w:rsidR="002B2A64">
        <w:rPr>
          <w:rFonts w:ascii="Times New Roman" w:hAnsi="Times New Roman" w:cs="Times New Roman"/>
        </w:rPr>
        <w:t>,”</w:t>
      </w:r>
      <w:r w:rsidRPr="004023DC" w:rsidR="004023DC">
        <w:rPr>
          <w:rFonts w:ascii="Times New Roman" w:hAnsi="Times New Roman" w:cs="Times New Roman"/>
        </w:rPr>
        <w:t xml:space="preserve"> and </w:t>
      </w:r>
      <w:r w:rsidR="0014129F">
        <w:rPr>
          <w:rFonts w:ascii="Times New Roman" w:hAnsi="Times New Roman" w:cs="Times New Roman"/>
        </w:rPr>
        <w:t>10 CFR </w:t>
      </w:r>
      <w:r w:rsidRPr="004023DC" w:rsidR="004023DC">
        <w:rPr>
          <w:rFonts w:ascii="Times New Roman" w:hAnsi="Times New Roman" w:cs="Times New Roman"/>
        </w:rPr>
        <w:t>53.220</w:t>
      </w:r>
      <w:r w:rsidR="00FA3651">
        <w:rPr>
          <w:rFonts w:ascii="Times New Roman" w:hAnsi="Times New Roman" w:cs="Times New Roman"/>
        </w:rPr>
        <w:t>, “</w:t>
      </w:r>
      <w:r w:rsidRPr="00FA3651" w:rsidR="00FA3651">
        <w:rPr>
          <w:rFonts w:ascii="Times New Roman" w:hAnsi="Times New Roman" w:cs="Times New Roman"/>
        </w:rPr>
        <w:t>Safety criteria for licensing-basis events other than design-basis accidents</w:t>
      </w:r>
      <w:r w:rsidR="00FA3651">
        <w:rPr>
          <w:rFonts w:ascii="Times New Roman" w:hAnsi="Times New Roman" w:cs="Times New Roman"/>
        </w:rPr>
        <w:t>,”</w:t>
      </w:r>
      <w:r w:rsidR="005F052D">
        <w:rPr>
          <w:rFonts w:ascii="Times New Roman" w:hAnsi="Times New Roman" w:cs="Times New Roman"/>
        </w:rPr>
        <w:t xml:space="preserve"> </w:t>
      </w:r>
      <w:r w:rsidRPr="004023DC" w:rsidR="004023DC">
        <w:rPr>
          <w:rFonts w:ascii="Times New Roman" w:hAnsi="Times New Roman" w:cs="Times New Roman"/>
        </w:rPr>
        <w:t xml:space="preserve">and </w:t>
      </w:r>
      <w:r w:rsidR="0022471B">
        <w:rPr>
          <w:rFonts w:ascii="Times New Roman" w:hAnsi="Times New Roman" w:cs="Times New Roman"/>
        </w:rPr>
        <w:t>must</w:t>
      </w:r>
      <w:r w:rsidRPr="004023DC" w:rsidR="004023DC">
        <w:rPr>
          <w:rFonts w:ascii="Times New Roman" w:hAnsi="Times New Roman" w:cs="Times New Roman"/>
        </w:rPr>
        <w:t xml:space="preserve"> establish related functional requirements for plant SSCs, personnel, and programs.</w:t>
      </w:r>
    </w:p>
    <w:p w:rsidR="007F445A" w:rsidRPr="00C2330F" w:rsidP="002F3C90" w14:paraId="23814392" w14:textId="6F9554B6">
      <w:pPr>
        <w:pStyle w:val="ListParagraph"/>
        <w:spacing w:after="0" w:line="240" w:lineRule="auto"/>
        <w:ind w:left="1080"/>
        <w:rPr>
          <w:rFonts w:ascii="Times New Roman" w:hAnsi="Times New Roman"/>
        </w:rPr>
      </w:pPr>
    </w:p>
    <w:p w:rsidR="00107D6B" w:rsidRPr="00352574" w:rsidP="002F3C90" w14:paraId="61B1D5DA" w14:textId="2293F090">
      <w:pPr>
        <w:pStyle w:val="Heading2"/>
        <w:keepLines w:val="0"/>
        <w:spacing w:line="240" w:lineRule="auto"/>
      </w:pPr>
      <w:r w:rsidRPr="00352574">
        <w:t>Related Guidance</w:t>
      </w:r>
    </w:p>
    <w:p w:rsidR="004E37D1" w:rsidP="002F3C90" w14:paraId="28E15348" w14:textId="77777777">
      <w:pPr>
        <w:pStyle w:val="ListParagraph"/>
        <w:keepNext/>
        <w:spacing w:after="0" w:line="240" w:lineRule="auto"/>
        <w:rPr>
          <w:rFonts w:ascii="Times New Roman" w:hAnsi="Times New Roman" w:cs="Times New Roman"/>
        </w:rPr>
      </w:pPr>
    </w:p>
    <w:p w:rsidR="00D300AE" w:rsidP="002F3C90" w14:paraId="3D63DA6D" w14:textId="68716758">
      <w:pPr>
        <w:pStyle w:val="ListParagraph"/>
        <w:numPr>
          <w:ilvl w:val="0"/>
          <w:numId w:val="2"/>
        </w:numPr>
        <w:spacing w:line="240" w:lineRule="auto"/>
        <w:rPr>
          <w:rFonts w:ascii="Times New Roman" w:hAnsi="Times New Roman" w:cs="Times New Roman"/>
        </w:rPr>
      </w:pPr>
      <w:r w:rsidRPr="00F56A64">
        <w:rPr>
          <w:rFonts w:ascii="Times New Roman" w:hAnsi="Times New Roman" w:cs="Times New Roman"/>
        </w:rPr>
        <w:t xml:space="preserve">NUREG-0800, “Standard Review Plan for the Review of Safety Analysis Reports for Nuclear Power Plants: LWR Edition” (Ref. </w:t>
      </w:r>
      <w:r w:rsidR="00EF0523">
        <w:rPr>
          <w:rFonts w:ascii="Times New Roman" w:hAnsi="Times New Roman" w:cs="Times New Roman"/>
        </w:rPr>
        <w:t>5</w:t>
      </w:r>
      <w:r w:rsidRPr="00F56A64">
        <w:rPr>
          <w:rFonts w:ascii="Times New Roman" w:hAnsi="Times New Roman" w:cs="Times New Roman"/>
        </w:rPr>
        <w:t>), provides guidance to the NRC staff in performing safety reviews of CP or OL applications (including requests for amendments) under 10 CFR Part 50 and ESP, DC, COL, SDA, and ML applications under 10 CFR Part 52 (including requests for amendments) for light water reactors (LWRs).</w:t>
      </w:r>
    </w:p>
    <w:p w:rsidR="0012177C" w:rsidP="002F3C90" w14:paraId="3A969830" w14:textId="55CC067A">
      <w:pPr>
        <w:pStyle w:val="ListParagraph"/>
        <w:spacing w:line="240" w:lineRule="auto"/>
        <w:rPr>
          <w:rFonts w:ascii="Times New Roman" w:hAnsi="Times New Roman" w:cs="Times New Roman"/>
        </w:rPr>
      </w:pPr>
    </w:p>
    <w:p w:rsidR="0012177C" w:rsidRPr="009C4212" w:rsidP="002F3C90" w14:paraId="6F2D4A5C" w14:textId="4BC52413">
      <w:pPr>
        <w:pStyle w:val="ListParagraph"/>
        <w:numPr>
          <w:ilvl w:val="0"/>
          <w:numId w:val="69"/>
        </w:numPr>
        <w:spacing w:line="240" w:lineRule="auto"/>
        <w:ind w:left="1080"/>
        <w:rPr>
          <w:rFonts w:ascii="Times New Roman" w:hAnsi="Times New Roman" w:cs="Times New Roman"/>
        </w:rPr>
      </w:pPr>
      <w:r>
        <w:rPr>
          <w:rFonts w:ascii="Times New Roman" w:hAnsi="Times New Roman" w:cs="Times New Roman"/>
        </w:rPr>
        <w:t>NUREG-0800,</w:t>
      </w:r>
      <w:r w:rsidRPr="0012177C">
        <w:rPr>
          <w:rFonts w:ascii="Times New Roman" w:hAnsi="Times New Roman" w:cs="Times New Roman"/>
        </w:rPr>
        <w:t xml:space="preserve"> Section 15.0, “Introduction—Transient and Accident Analyses</w:t>
      </w:r>
      <w:r w:rsidR="00541C60">
        <w:rPr>
          <w:rFonts w:ascii="Times New Roman" w:hAnsi="Times New Roman" w:cs="Times New Roman"/>
        </w:rPr>
        <w:t>,</w:t>
      </w:r>
      <w:r w:rsidRPr="0012177C">
        <w:rPr>
          <w:rFonts w:ascii="Times New Roman" w:hAnsi="Times New Roman" w:cs="Times New Roman"/>
        </w:rPr>
        <w:t>”</w:t>
      </w:r>
      <w:r w:rsidR="00F37105">
        <w:rPr>
          <w:rFonts w:ascii="Times New Roman" w:hAnsi="Times New Roman" w:cs="Times New Roman"/>
        </w:rPr>
        <w:t xml:space="preserve"> </w:t>
      </w:r>
      <w:r w:rsidRPr="0012177C">
        <w:rPr>
          <w:rFonts w:ascii="Times New Roman" w:hAnsi="Times New Roman" w:cs="Times New Roman"/>
        </w:rPr>
        <w:t>guides the NRC staff in its review of licensing events, specifically including guidance to help ensure that the applicant’s selection and assembly of the plant transient and accident analyses represent a sufficiently broad spectrum of transients, accidents, and initiating events.</w:t>
      </w:r>
    </w:p>
    <w:p w:rsidR="0012177C" w:rsidP="002F3C90" w14:paraId="1BE21F69" w14:textId="1925D4FA">
      <w:pPr>
        <w:pStyle w:val="ListParagraph"/>
        <w:spacing w:line="240" w:lineRule="auto"/>
        <w:ind w:left="1080"/>
        <w:rPr>
          <w:rFonts w:ascii="Times New Roman" w:hAnsi="Times New Roman" w:cs="Times New Roman"/>
        </w:rPr>
      </w:pPr>
    </w:p>
    <w:p w:rsidR="0012177C" w:rsidP="002F3C90" w14:paraId="43CDBD1A" w14:textId="539B6F04">
      <w:pPr>
        <w:pStyle w:val="ListParagraph"/>
        <w:numPr>
          <w:ilvl w:val="0"/>
          <w:numId w:val="69"/>
        </w:numPr>
        <w:spacing w:line="240" w:lineRule="auto"/>
        <w:ind w:left="1080"/>
        <w:rPr>
          <w:rFonts w:ascii="Times New Roman" w:hAnsi="Times New Roman" w:cs="Times New Roman"/>
        </w:rPr>
      </w:pPr>
      <w:r>
        <w:rPr>
          <w:rFonts w:ascii="Times New Roman" w:hAnsi="Times New Roman" w:cs="Times New Roman"/>
        </w:rPr>
        <w:t>NUREG-0800,</w:t>
      </w:r>
      <w:r w:rsidRPr="00F37105">
        <w:rPr>
          <w:rFonts w:ascii="Times New Roman" w:hAnsi="Times New Roman" w:cs="Times New Roman"/>
        </w:rPr>
        <w:t xml:space="preserve"> Section 19.0, “Probabilistic Risk Assessment and Severe Accident Evaluation for New Reactors</w:t>
      </w:r>
      <w:r w:rsidR="00541C60">
        <w:rPr>
          <w:rFonts w:ascii="Times New Roman" w:hAnsi="Times New Roman" w:cs="Times New Roman"/>
        </w:rPr>
        <w:t xml:space="preserve">,” </w:t>
      </w:r>
      <w:r w:rsidRPr="00F37105">
        <w:rPr>
          <w:rFonts w:ascii="Times New Roman" w:hAnsi="Times New Roman" w:cs="Times New Roman"/>
        </w:rPr>
        <w:t>pertains to the NRC staff review of the design-specific PRA for a DC and plant specific PRA for a COL application.</w:t>
      </w:r>
    </w:p>
    <w:p w:rsidR="009C4644" w:rsidRPr="009C4212" w:rsidP="002F3C90" w14:paraId="1B94FC2F" w14:textId="77777777">
      <w:pPr>
        <w:pStyle w:val="ListParagraph"/>
        <w:spacing w:line="240" w:lineRule="auto"/>
        <w:rPr>
          <w:rFonts w:ascii="Times New Roman" w:hAnsi="Times New Roman" w:cs="Times New Roman"/>
        </w:rPr>
      </w:pPr>
    </w:p>
    <w:p w:rsidR="009C4644" w:rsidRPr="009C4212" w:rsidP="002F3C90" w14:paraId="74B33F6C" w14:textId="0133A02D">
      <w:pPr>
        <w:pStyle w:val="ListParagraph"/>
        <w:numPr>
          <w:ilvl w:val="0"/>
          <w:numId w:val="69"/>
        </w:numPr>
        <w:spacing w:line="240" w:lineRule="auto"/>
        <w:ind w:left="1080"/>
        <w:rPr>
          <w:rFonts w:ascii="Times New Roman" w:hAnsi="Times New Roman" w:cs="Times New Roman"/>
        </w:rPr>
      </w:pPr>
      <w:r>
        <w:rPr>
          <w:rFonts w:ascii="Times New Roman" w:hAnsi="Times New Roman" w:cs="Times New Roman"/>
        </w:rPr>
        <w:t>N</w:t>
      </w:r>
      <w:r w:rsidR="00CC71A1">
        <w:rPr>
          <w:rFonts w:ascii="Times New Roman" w:hAnsi="Times New Roman" w:cs="Times New Roman"/>
        </w:rPr>
        <w:t xml:space="preserve">UREG-0800, Section 19.3, “Regulatory Treatment of </w:t>
      </w:r>
      <w:r w:rsidR="00CC71A1">
        <w:rPr>
          <w:rFonts w:ascii="Times New Roman" w:hAnsi="Times New Roman" w:cs="Times New Roman"/>
        </w:rPr>
        <w:t>Non</w:t>
      </w:r>
      <w:r w:rsidR="009B2B4F">
        <w:rPr>
          <w:rFonts w:ascii="Times New Roman" w:hAnsi="Times New Roman" w:cs="Times New Roman"/>
        </w:rPr>
        <w:t>safety</w:t>
      </w:r>
      <w:r w:rsidR="009B2B4F">
        <w:rPr>
          <w:rFonts w:ascii="Times New Roman" w:hAnsi="Times New Roman" w:cs="Times New Roman"/>
        </w:rPr>
        <w:t xml:space="preserve"> Systems for Passive Advanced Light Water Reactors</w:t>
      </w:r>
      <w:r w:rsidR="007C2F40">
        <w:rPr>
          <w:rFonts w:ascii="Times New Roman" w:hAnsi="Times New Roman" w:cs="Times New Roman"/>
        </w:rPr>
        <w:t xml:space="preserve">,” pertains to the staff review of </w:t>
      </w:r>
      <w:r w:rsidR="0002228C">
        <w:rPr>
          <w:rFonts w:ascii="Times New Roman" w:hAnsi="Times New Roman" w:cs="Times New Roman"/>
        </w:rPr>
        <w:t xml:space="preserve">an applicant’s Regulatory Treatment of </w:t>
      </w:r>
      <w:r w:rsidR="0002228C">
        <w:rPr>
          <w:rFonts w:ascii="Times New Roman" w:hAnsi="Times New Roman" w:cs="Times New Roman"/>
        </w:rPr>
        <w:t>Nonsafety</w:t>
      </w:r>
      <w:r w:rsidR="0002228C">
        <w:rPr>
          <w:rFonts w:ascii="Times New Roman" w:hAnsi="Times New Roman" w:cs="Times New Roman"/>
        </w:rPr>
        <w:t xml:space="preserve"> Systems (RTNSS</w:t>
      </w:r>
      <w:r w:rsidR="003B2A46">
        <w:rPr>
          <w:rFonts w:ascii="Times New Roman" w:hAnsi="Times New Roman" w:cs="Times New Roman"/>
        </w:rPr>
        <w:t>) for a design certification or a combined license application.</w:t>
      </w:r>
    </w:p>
    <w:p w:rsidR="00D300AE" w:rsidP="002F3C90" w14:paraId="087F05C9" w14:textId="272CF014">
      <w:pPr>
        <w:pStyle w:val="ListParagraph"/>
        <w:spacing w:line="240" w:lineRule="auto"/>
        <w:rPr>
          <w:rFonts w:ascii="Times New Roman" w:hAnsi="Times New Roman" w:cs="Times New Roman"/>
        </w:rPr>
      </w:pPr>
    </w:p>
    <w:p w:rsidR="00BE099B" w:rsidRPr="00024A70" w:rsidP="002F3C90" w14:paraId="3B50C87A" w14:textId="3966F8AD">
      <w:pPr>
        <w:pStyle w:val="ListParagraph"/>
        <w:numPr>
          <w:ilvl w:val="0"/>
          <w:numId w:val="2"/>
        </w:numPr>
        <w:spacing w:line="240" w:lineRule="auto"/>
        <w:rPr>
          <w:rFonts w:ascii="Times New Roman" w:hAnsi="Times New Roman" w:cs="Times New Roman"/>
        </w:rPr>
      </w:pPr>
      <w:r w:rsidRPr="00024A70">
        <w:rPr>
          <w:rFonts w:ascii="Times New Roman" w:hAnsi="Times New Roman" w:cs="Times New Roman"/>
        </w:rPr>
        <w:t>R</w:t>
      </w:r>
      <w:r w:rsidRPr="00024A70" w:rsidR="00024A70">
        <w:rPr>
          <w:rFonts w:ascii="Times New Roman" w:hAnsi="Times New Roman" w:cs="Times New Roman"/>
        </w:rPr>
        <w:t>G</w:t>
      </w:r>
      <w:r w:rsidR="007F2B94">
        <w:rPr>
          <w:rFonts w:ascii="Times New Roman" w:hAnsi="Times New Roman" w:cs="Times New Roman"/>
        </w:rPr>
        <w:t> </w:t>
      </w:r>
      <w:r w:rsidRPr="00024A70" w:rsidR="00024A70">
        <w:rPr>
          <w:rFonts w:ascii="Times New Roman" w:hAnsi="Times New Roman" w:cs="Times New Roman"/>
        </w:rPr>
        <w:t>1.200, “Acceptability of Probabilistic Risk Assessment Results for Risk-Informed Activities” (Ref.</w:t>
      </w:r>
      <w:r w:rsidR="007F2B94">
        <w:rPr>
          <w:rFonts w:ascii="Times New Roman" w:hAnsi="Times New Roman" w:cs="Times New Roman"/>
        </w:rPr>
        <w:t> </w:t>
      </w:r>
      <w:r w:rsidR="00563A63">
        <w:rPr>
          <w:rFonts w:ascii="Times New Roman" w:hAnsi="Times New Roman" w:cs="Times New Roman"/>
        </w:rPr>
        <w:t>6</w:t>
      </w:r>
      <w:r w:rsidRPr="00024A70" w:rsidR="00024A70">
        <w:rPr>
          <w:rFonts w:ascii="Times New Roman" w:hAnsi="Times New Roman" w:cs="Times New Roman"/>
        </w:rPr>
        <w:t xml:space="preserve">), provides an acceptable approach for determining whether a base </w:t>
      </w:r>
      <w:r w:rsidR="007F2B94">
        <w:rPr>
          <w:rFonts w:ascii="Times New Roman" w:hAnsi="Times New Roman" w:cs="Times New Roman"/>
        </w:rPr>
        <w:t>p</w:t>
      </w:r>
      <w:r w:rsidR="0015427A">
        <w:rPr>
          <w:rFonts w:ascii="Times New Roman" w:hAnsi="Times New Roman" w:cs="Times New Roman"/>
        </w:rPr>
        <w:t xml:space="preserve">robabilistic </w:t>
      </w:r>
      <w:r w:rsidR="007F2B94">
        <w:rPr>
          <w:rFonts w:ascii="Times New Roman" w:hAnsi="Times New Roman" w:cs="Times New Roman"/>
        </w:rPr>
        <w:t>r</w:t>
      </w:r>
      <w:r w:rsidR="0015427A">
        <w:rPr>
          <w:rFonts w:ascii="Times New Roman" w:hAnsi="Times New Roman" w:cs="Times New Roman"/>
        </w:rPr>
        <w:t xml:space="preserve">isk </w:t>
      </w:r>
      <w:r w:rsidR="007F2B94">
        <w:rPr>
          <w:rFonts w:ascii="Times New Roman" w:hAnsi="Times New Roman" w:cs="Times New Roman"/>
        </w:rPr>
        <w:t>a</w:t>
      </w:r>
      <w:r w:rsidR="0015427A">
        <w:rPr>
          <w:rFonts w:ascii="Times New Roman" w:hAnsi="Times New Roman" w:cs="Times New Roman"/>
        </w:rPr>
        <w:t>ssessment (</w:t>
      </w:r>
      <w:r w:rsidRPr="00024A70" w:rsidR="00024A70">
        <w:rPr>
          <w:rFonts w:ascii="Times New Roman" w:hAnsi="Times New Roman" w:cs="Times New Roman"/>
        </w:rPr>
        <w:t>PRA</w:t>
      </w:r>
      <w:r w:rsidR="0015427A">
        <w:rPr>
          <w:rFonts w:ascii="Times New Roman" w:hAnsi="Times New Roman" w:cs="Times New Roman"/>
        </w:rPr>
        <w:t>)</w:t>
      </w:r>
      <w:r w:rsidRPr="00024A70" w:rsidR="00024A70">
        <w:rPr>
          <w:rFonts w:ascii="Times New Roman" w:hAnsi="Times New Roman" w:cs="Times New Roman"/>
        </w:rPr>
        <w:t>, in total or in the portions that are used to support an application, is sufficient to provide confidence in the results such that the PRA can be used in regulatory decision</w:t>
      </w:r>
      <w:r w:rsidR="0049714C">
        <w:rPr>
          <w:rFonts w:ascii="Times New Roman" w:hAnsi="Times New Roman" w:cs="Times New Roman"/>
        </w:rPr>
        <w:t>-making</w:t>
      </w:r>
      <w:r w:rsidRPr="00024A70" w:rsidR="00024A70">
        <w:rPr>
          <w:rFonts w:ascii="Times New Roman" w:hAnsi="Times New Roman" w:cs="Times New Roman"/>
        </w:rPr>
        <w:t xml:space="preserve"> for </w:t>
      </w:r>
      <w:r w:rsidR="00E804F3">
        <w:rPr>
          <w:rFonts w:ascii="Times New Roman" w:hAnsi="Times New Roman" w:cs="Times New Roman"/>
        </w:rPr>
        <w:t>LWRs</w:t>
      </w:r>
      <w:r w:rsidR="008751C0">
        <w:rPr>
          <w:rFonts w:ascii="Times New Roman" w:hAnsi="Times New Roman" w:cs="Times New Roman"/>
        </w:rPr>
        <w:t xml:space="preserve">. </w:t>
      </w:r>
      <w:r w:rsidRPr="00024A70" w:rsidR="00024A70">
        <w:rPr>
          <w:rFonts w:ascii="Times New Roman" w:hAnsi="Times New Roman" w:cs="Times New Roman"/>
        </w:rPr>
        <w:t xml:space="preserve">When used in support of an application, this RG will obviate the need for an in-depth review of the base PRA by NRC reviewers, allowing them to focus on key assumptions and areas identified by </w:t>
      </w:r>
      <w:r w:rsidR="00B22ABC">
        <w:rPr>
          <w:rFonts w:ascii="Times New Roman" w:hAnsi="Times New Roman" w:cs="Times New Roman"/>
        </w:rPr>
        <w:t xml:space="preserve">the PRA </w:t>
      </w:r>
      <w:r w:rsidRPr="00024A70" w:rsidR="00024A70">
        <w:rPr>
          <w:rFonts w:ascii="Times New Roman" w:hAnsi="Times New Roman" w:cs="Times New Roman"/>
        </w:rPr>
        <w:t>peer reviewers as being of concern and relevant to the application</w:t>
      </w:r>
      <w:r w:rsidR="008751C0">
        <w:rPr>
          <w:rFonts w:ascii="Times New Roman" w:hAnsi="Times New Roman" w:cs="Times New Roman"/>
        </w:rPr>
        <w:t xml:space="preserve">. </w:t>
      </w:r>
      <w:r w:rsidRPr="00024A70" w:rsidR="00024A70">
        <w:rPr>
          <w:rFonts w:ascii="Times New Roman" w:hAnsi="Times New Roman" w:cs="Times New Roman"/>
        </w:rPr>
        <w:t>Consequently, RG</w:t>
      </w:r>
      <w:r w:rsidR="007F2B94">
        <w:rPr>
          <w:rFonts w:ascii="Times New Roman" w:hAnsi="Times New Roman" w:cs="Times New Roman"/>
        </w:rPr>
        <w:t> </w:t>
      </w:r>
      <w:r w:rsidRPr="00024A70" w:rsidR="00024A70">
        <w:rPr>
          <w:rFonts w:ascii="Times New Roman" w:hAnsi="Times New Roman" w:cs="Times New Roman"/>
        </w:rPr>
        <w:t>1.200 provides for a more focused and consistent review process.</w:t>
      </w:r>
    </w:p>
    <w:p w:rsidR="00BE099B" w:rsidP="002F3C90" w14:paraId="10251280" w14:textId="29F2113C">
      <w:pPr>
        <w:pStyle w:val="ListParagraph"/>
        <w:spacing w:after="0" w:line="240" w:lineRule="auto"/>
        <w:rPr>
          <w:rFonts w:ascii="Times New Roman" w:hAnsi="Times New Roman" w:cs="Times New Roman"/>
        </w:rPr>
      </w:pPr>
    </w:p>
    <w:p w:rsidR="00046E4A" w:rsidP="002F3C90" w14:paraId="5850BD60" w14:textId="491B398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RG</w:t>
      </w:r>
      <w:r w:rsidR="007F2B94">
        <w:rPr>
          <w:rFonts w:ascii="Times New Roman" w:hAnsi="Times New Roman" w:cs="Times New Roman"/>
        </w:rPr>
        <w:t> </w:t>
      </w:r>
      <w:r w:rsidR="00943044">
        <w:rPr>
          <w:rFonts w:ascii="Times New Roman" w:hAnsi="Times New Roman" w:cs="Times New Roman"/>
        </w:rPr>
        <w:t>1.206</w:t>
      </w:r>
      <w:r w:rsidR="00DF0BCC">
        <w:rPr>
          <w:rFonts w:ascii="Times New Roman" w:hAnsi="Times New Roman" w:cs="Times New Roman"/>
        </w:rPr>
        <w:t xml:space="preserve">, </w:t>
      </w:r>
      <w:r w:rsidR="00D00D26">
        <w:rPr>
          <w:rFonts w:ascii="Times New Roman" w:hAnsi="Times New Roman" w:cs="Times New Roman"/>
        </w:rPr>
        <w:t>“Applications for Nuclear Power Plants</w:t>
      </w:r>
      <w:r w:rsidR="00EE65B6">
        <w:rPr>
          <w:rFonts w:ascii="Times New Roman" w:hAnsi="Times New Roman" w:cs="Times New Roman"/>
        </w:rPr>
        <w:t>”</w:t>
      </w:r>
      <w:r w:rsidR="00014DE7">
        <w:rPr>
          <w:rFonts w:ascii="Times New Roman" w:hAnsi="Times New Roman" w:cs="Times New Roman"/>
        </w:rPr>
        <w:t xml:space="preserve"> (Ref.</w:t>
      </w:r>
      <w:r w:rsidR="007F2B94">
        <w:rPr>
          <w:rFonts w:ascii="Times New Roman" w:hAnsi="Times New Roman" w:cs="Times New Roman"/>
        </w:rPr>
        <w:t> </w:t>
      </w:r>
      <w:r w:rsidR="00BD0DC9">
        <w:rPr>
          <w:rFonts w:ascii="Times New Roman" w:hAnsi="Times New Roman" w:cs="Times New Roman"/>
        </w:rPr>
        <w:t>7</w:t>
      </w:r>
      <w:r w:rsidR="00014DE7">
        <w:rPr>
          <w:rFonts w:ascii="Times New Roman" w:hAnsi="Times New Roman" w:cs="Times New Roman"/>
        </w:rPr>
        <w:t>),</w:t>
      </w:r>
      <w:r w:rsidR="006B6E63">
        <w:rPr>
          <w:rFonts w:ascii="Times New Roman" w:hAnsi="Times New Roman" w:cs="Times New Roman"/>
        </w:rPr>
        <w:t xml:space="preserve"> r</w:t>
      </w:r>
      <w:r w:rsidR="00D65599">
        <w:rPr>
          <w:rFonts w:ascii="Times New Roman" w:hAnsi="Times New Roman" w:cs="Times New Roman"/>
        </w:rPr>
        <w:t xml:space="preserve">efers to the technical requirements </w:t>
      </w:r>
      <w:r w:rsidR="00593120">
        <w:rPr>
          <w:rFonts w:ascii="Times New Roman" w:hAnsi="Times New Roman" w:cs="Times New Roman"/>
        </w:rPr>
        <w:t xml:space="preserve">in the </w:t>
      </w:r>
      <w:r w:rsidR="002F4B1B">
        <w:rPr>
          <w:rFonts w:ascii="Times New Roman" w:hAnsi="Times New Roman" w:cs="Times New Roman"/>
        </w:rPr>
        <w:t>SRP</w:t>
      </w:r>
      <w:r w:rsidRPr="0063202D">
        <w:rPr>
          <w:rFonts w:ascii="Times New Roman" w:hAnsi="Times New Roman" w:cs="Times New Roman"/>
        </w:rPr>
        <w:t xml:space="preserve">, </w:t>
      </w:r>
      <w:r w:rsidR="002521D6">
        <w:rPr>
          <w:rFonts w:ascii="Times New Roman" w:hAnsi="Times New Roman" w:cs="Times New Roman"/>
        </w:rPr>
        <w:t xml:space="preserve">which </w:t>
      </w:r>
      <w:r w:rsidRPr="0063202D">
        <w:rPr>
          <w:rFonts w:ascii="Times New Roman" w:hAnsi="Times New Roman" w:cs="Times New Roman"/>
        </w:rPr>
        <w:t xml:space="preserve">provides guidance to the NRC staff in performing safety reviews of </w:t>
      </w:r>
      <w:r>
        <w:rPr>
          <w:rFonts w:ascii="Times New Roman" w:hAnsi="Times New Roman" w:cs="Times New Roman"/>
        </w:rPr>
        <w:t xml:space="preserve">LWR </w:t>
      </w:r>
      <w:r w:rsidRPr="0063202D">
        <w:rPr>
          <w:rFonts w:ascii="Times New Roman" w:hAnsi="Times New Roman" w:cs="Times New Roman"/>
        </w:rPr>
        <w:t>CP or OL applications under 10</w:t>
      </w:r>
      <w:r w:rsidR="007F2B94">
        <w:rPr>
          <w:rFonts w:ascii="Times New Roman" w:hAnsi="Times New Roman" w:cs="Times New Roman"/>
        </w:rPr>
        <w:t> </w:t>
      </w:r>
      <w:r w:rsidRPr="0063202D">
        <w:rPr>
          <w:rFonts w:ascii="Times New Roman" w:hAnsi="Times New Roman" w:cs="Times New Roman"/>
        </w:rPr>
        <w:t>CFR</w:t>
      </w:r>
      <w:r w:rsidR="007F2B94">
        <w:rPr>
          <w:rFonts w:ascii="Times New Roman" w:hAnsi="Times New Roman" w:cs="Times New Roman"/>
        </w:rPr>
        <w:t> </w:t>
      </w:r>
      <w:r w:rsidRPr="0063202D">
        <w:rPr>
          <w:rFonts w:ascii="Times New Roman" w:hAnsi="Times New Roman" w:cs="Times New Roman"/>
        </w:rPr>
        <w:t>Part</w:t>
      </w:r>
      <w:r w:rsidR="007F2B94">
        <w:rPr>
          <w:rFonts w:ascii="Times New Roman" w:hAnsi="Times New Roman" w:cs="Times New Roman"/>
        </w:rPr>
        <w:t> </w:t>
      </w:r>
      <w:r w:rsidRPr="0063202D">
        <w:rPr>
          <w:rFonts w:ascii="Times New Roman" w:hAnsi="Times New Roman" w:cs="Times New Roman"/>
        </w:rPr>
        <w:t xml:space="preserve">50 and </w:t>
      </w:r>
      <w:r>
        <w:rPr>
          <w:rFonts w:ascii="Times New Roman" w:hAnsi="Times New Roman" w:cs="Times New Roman"/>
        </w:rPr>
        <w:t>LWR</w:t>
      </w:r>
      <w:r w:rsidRPr="0063202D">
        <w:rPr>
          <w:rFonts w:ascii="Times New Roman" w:hAnsi="Times New Roman" w:cs="Times New Roman"/>
        </w:rPr>
        <w:t xml:space="preserve"> DC, COL, SDA, and ML applications under 10</w:t>
      </w:r>
      <w:r w:rsidR="007F2B94">
        <w:rPr>
          <w:rFonts w:ascii="Times New Roman" w:hAnsi="Times New Roman" w:cs="Times New Roman"/>
        </w:rPr>
        <w:t> </w:t>
      </w:r>
      <w:r w:rsidRPr="0063202D">
        <w:rPr>
          <w:rFonts w:ascii="Times New Roman" w:hAnsi="Times New Roman" w:cs="Times New Roman"/>
        </w:rPr>
        <w:t>CFR</w:t>
      </w:r>
      <w:r w:rsidR="007F2B94">
        <w:rPr>
          <w:rFonts w:ascii="Times New Roman" w:hAnsi="Times New Roman" w:cs="Times New Roman"/>
        </w:rPr>
        <w:t> </w:t>
      </w:r>
      <w:r w:rsidRPr="0063202D">
        <w:rPr>
          <w:rFonts w:ascii="Times New Roman" w:hAnsi="Times New Roman" w:cs="Times New Roman"/>
        </w:rPr>
        <w:t>Part</w:t>
      </w:r>
      <w:r w:rsidR="007F2B94">
        <w:rPr>
          <w:rFonts w:ascii="Times New Roman" w:hAnsi="Times New Roman" w:cs="Times New Roman"/>
        </w:rPr>
        <w:t> </w:t>
      </w:r>
      <w:r w:rsidRPr="0063202D">
        <w:rPr>
          <w:rFonts w:ascii="Times New Roman" w:hAnsi="Times New Roman" w:cs="Times New Roman"/>
        </w:rPr>
        <w:t>52</w:t>
      </w:r>
      <w:r>
        <w:rPr>
          <w:rFonts w:ascii="Times New Roman" w:hAnsi="Times New Roman" w:cs="Times New Roman"/>
        </w:rPr>
        <w:t>.</w:t>
      </w:r>
    </w:p>
    <w:p w:rsidR="003050CC" w:rsidRPr="00EB2BEC" w:rsidP="002F3C90" w14:paraId="661EA3E3" w14:textId="77777777">
      <w:pPr>
        <w:spacing w:after="0" w:line="240" w:lineRule="auto"/>
      </w:pPr>
    </w:p>
    <w:p w:rsidR="00E45F58" w:rsidP="002F3C90" w14:paraId="5D5574E5" w14:textId="3E24F8D5">
      <w:pPr>
        <w:pStyle w:val="ListParagraph"/>
        <w:numPr>
          <w:ilvl w:val="0"/>
          <w:numId w:val="2"/>
        </w:numPr>
        <w:spacing w:after="0" w:line="240" w:lineRule="auto"/>
        <w:rPr>
          <w:rFonts w:ascii="Times New Roman" w:hAnsi="Times New Roman" w:cs="Times New Roman"/>
        </w:rPr>
      </w:pPr>
      <w:r w:rsidRPr="0FEEC474">
        <w:rPr>
          <w:rFonts w:ascii="Times New Roman" w:hAnsi="Times New Roman" w:cs="Times New Roman"/>
        </w:rPr>
        <w:t>RG</w:t>
      </w:r>
      <w:r w:rsidR="007F2B94">
        <w:rPr>
          <w:rFonts w:ascii="Times New Roman" w:hAnsi="Times New Roman" w:cs="Times New Roman"/>
        </w:rPr>
        <w:t> </w:t>
      </w:r>
      <w:r w:rsidRPr="0FEEC474">
        <w:rPr>
          <w:rFonts w:ascii="Times New Roman" w:hAnsi="Times New Roman" w:cs="Times New Roman"/>
        </w:rPr>
        <w:t>1.233</w:t>
      </w:r>
      <w:r w:rsidRPr="0FEEC474" w:rsidR="001433C8">
        <w:rPr>
          <w:rFonts w:ascii="Times New Roman" w:hAnsi="Times New Roman" w:cs="Times New Roman"/>
        </w:rPr>
        <w:t>, “Guidance for a Technology-Inclusive, Risk-Informed, and Performance-Based Methodology to Inform the Licensing Basis and Content of Applications for Licenses, Certifications, and Approvals for Non-Light</w:t>
      </w:r>
      <w:r w:rsidR="00CE29A8">
        <w:rPr>
          <w:rFonts w:ascii="Times New Roman" w:hAnsi="Times New Roman" w:cs="Times New Roman"/>
        </w:rPr>
        <w:t>-</w:t>
      </w:r>
      <w:r w:rsidRPr="0FEEC474" w:rsidR="001433C8">
        <w:rPr>
          <w:rFonts w:ascii="Times New Roman" w:hAnsi="Times New Roman" w:cs="Times New Roman"/>
        </w:rPr>
        <w:t>Water Reactors” (Ref.</w:t>
      </w:r>
      <w:r w:rsidR="007F2B94">
        <w:rPr>
          <w:rFonts w:ascii="Times New Roman" w:hAnsi="Times New Roman" w:cs="Times New Roman"/>
        </w:rPr>
        <w:t> </w:t>
      </w:r>
      <w:r w:rsidR="00BD0DC9">
        <w:rPr>
          <w:rFonts w:ascii="Times New Roman" w:hAnsi="Times New Roman" w:cs="Times New Roman"/>
        </w:rPr>
        <w:t>8</w:t>
      </w:r>
      <w:r w:rsidRPr="0FEEC474" w:rsidR="001433C8">
        <w:rPr>
          <w:rFonts w:ascii="Times New Roman" w:hAnsi="Times New Roman" w:cs="Times New Roman"/>
        </w:rPr>
        <w:t xml:space="preserve">), </w:t>
      </w:r>
      <w:r w:rsidRPr="0FEEC474" w:rsidR="00263539">
        <w:rPr>
          <w:rFonts w:ascii="Times New Roman" w:hAnsi="Times New Roman" w:cs="Times New Roman"/>
        </w:rPr>
        <w:t>provides guidance on using a technology-inclusive, risk-informed, and performance-based methodology to inform</w:t>
      </w:r>
      <w:r w:rsidRPr="0FEEC474" w:rsidR="00C0696B">
        <w:rPr>
          <w:rFonts w:ascii="Times New Roman" w:hAnsi="Times New Roman" w:cs="Times New Roman"/>
        </w:rPr>
        <w:t xml:space="preserve"> </w:t>
      </w:r>
      <w:r w:rsidRPr="0FEEC474" w:rsidR="00263539">
        <w:rPr>
          <w:rFonts w:ascii="Times New Roman" w:hAnsi="Times New Roman" w:cs="Times New Roman"/>
        </w:rPr>
        <w:t>the licensing basis and content of applications for non-LWRs, including, but</w:t>
      </w:r>
      <w:r w:rsidRPr="0FEEC474" w:rsidR="00C0696B">
        <w:rPr>
          <w:rFonts w:ascii="Times New Roman" w:hAnsi="Times New Roman" w:cs="Times New Roman"/>
        </w:rPr>
        <w:t xml:space="preserve"> </w:t>
      </w:r>
      <w:r w:rsidRPr="0FEEC474" w:rsidR="00263539">
        <w:rPr>
          <w:rFonts w:ascii="Times New Roman" w:hAnsi="Times New Roman" w:cs="Times New Roman"/>
        </w:rPr>
        <w:t>not limited to, molten salt reactors, high-temperature gas-cooled reactors, and a variety of fast reactors at</w:t>
      </w:r>
      <w:r w:rsidRPr="0FEEC474" w:rsidR="00C0696B">
        <w:rPr>
          <w:rFonts w:ascii="Times New Roman" w:hAnsi="Times New Roman" w:cs="Times New Roman"/>
        </w:rPr>
        <w:t xml:space="preserve"> </w:t>
      </w:r>
      <w:r w:rsidRPr="0FEEC474" w:rsidR="00263539">
        <w:rPr>
          <w:rFonts w:ascii="Times New Roman" w:hAnsi="Times New Roman" w:cs="Times New Roman"/>
        </w:rPr>
        <w:t>different thermal capacities</w:t>
      </w:r>
      <w:r w:rsidRPr="0FEEC474" w:rsidR="008751C0">
        <w:rPr>
          <w:rFonts w:ascii="Times New Roman" w:hAnsi="Times New Roman" w:cs="Times New Roman"/>
        </w:rPr>
        <w:t xml:space="preserve">. </w:t>
      </w:r>
      <w:r w:rsidRPr="0FEEC474" w:rsidR="00592119">
        <w:rPr>
          <w:rFonts w:ascii="Times New Roman" w:hAnsi="Times New Roman" w:cs="Times New Roman"/>
        </w:rPr>
        <w:t>This RG endorses Nuclear Energy Institute (NEI)</w:t>
      </w:r>
      <w:r w:rsidR="007F2B94">
        <w:rPr>
          <w:rFonts w:ascii="Times New Roman" w:hAnsi="Times New Roman" w:cs="Times New Roman"/>
        </w:rPr>
        <w:t> </w:t>
      </w:r>
      <w:r w:rsidRPr="0FEEC474" w:rsidR="00592119">
        <w:rPr>
          <w:rFonts w:ascii="Times New Roman" w:hAnsi="Times New Roman" w:cs="Times New Roman"/>
        </w:rPr>
        <w:t>18</w:t>
      </w:r>
      <w:r w:rsidR="007F2B94">
        <w:rPr>
          <w:rFonts w:ascii="Times New Roman" w:hAnsi="Times New Roman" w:cs="Times New Roman"/>
        </w:rPr>
        <w:noBreakHyphen/>
      </w:r>
      <w:r w:rsidRPr="0FEEC474" w:rsidR="00592119">
        <w:rPr>
          <w:rFonts w:ascii="Times New Roman" w:hAnsi="Times New Roman" w:cs="Times New Roman"/>
        </w:rPr>
        <w:t>04, Revision</w:t>
      </w:r>
      <w:r w:rsidR="007F2B94">
        <w:rPr>
          <w:rFonts w:ascii="Times New Roman" w:hAnsi="Times New Roman" w:cs="Times New Roman"/>
        </w:rPr>
        <w:t> </w:t>
      </w:r>
      <w:r w:rsidRPr="0FEEC474" w:rsidR="00592119">
        <w:rPr>
          <w:rFonts w:ascii="Times New Roman" w:hAnsi="Times New Roman" w:cs="Times New Roman"/>
        </w:rPr>
        <w:t>1, “Risk</w:t>
      </w:r>
      <w:r w:rsidR="001244A1">
        <w:rPr>
          <w:rFonts w:ascii="Times New Roman" w:hAnsi="Times New Roman" w:cs="Times New Roman"/>
        </w:rPr>
        <w:noBreakHyphen/>
      </w:r>
      <w:r w:rsidRPr="0FEEC474" w:rsidR="00592119">
        <w:rPr>
          <w:rFonts w:ascii="Times New Roman" w:hAnsi="Times New Roman" w:cs="Times New Roman"/>
        </w:rPr>
        <w:t xml:space="preserve">Informed Performance-Based </w:t>
      </w:r>
      <w:r w:rsidR="001244A1">
        <w:rPr>
          <w:rFonts w:ascii="Times New Roman" w:hAnsi="Times New Roman" w:cs="Times New Roman"/>
        </w:rPr>
        <w:t>Technology</w:t>
      </w:r>
      <w:r w:rsidR="004B275D">
        <w:rPr>
          <w:rFonts w:ascii="Times New Roman" w:hAnsi="Times New Roman" w:cs="Times New Roman"/>
        </w:rPr>
        <w:t xml:space="preserve"> </w:t>
      </w:r>
      <w:r w:rsidR="001244A1">
        <w:rPr>
          <w:rFonts w:ascii="Times New Roman" w:hAnsi="Times New Roman" w:cs="Times New Roman"/>
        </w:rPr>
        <w:t xml:space="preserve">Inclusive </w:t>
      </w:r>
      <w:r w:rsidRPr="0FEEC474" w:rsidR="00592119">
        <w:rPr>
          <w:rFonts w:ascii="Times New Roman" w:hAnsi="Times New Roman" w:cs="Times New Roman"/>
        </w:rPr>
        <w:t>Guidance for Non-Light Water Reactor Licensing Basis Development</w:t>
      </w:r>
      <w:r w:rsidR="003A3BBE">
        <w:rPr>
          <w:rFonts w:ascii="Times New Roman" w:hAnsi="Times New Roman" w:cs="Times New Roman"/>
        </w:rPr>
        <w:t>,</w:t>
      </w:r>
      <w:r w:rsidRPr="0FEEC474" w:rsidR="00592119">
        <w:rPr>
          <w:rFonts w:ascii="Times New Roman" w:hAnsi="Times New Roman" w:cs="Times New Roman"/>
        </w:rPr>
        <w:t>”</w:t>
      </w:r>
      <w:r w:rsidR="003A3BBE">
        <w:rPr>
          <w:rFonts w:ascii="Times New Roman" w:hAnsi="Times New Roman" w:cs="Times New Roman"/>
        </w:rPr>
        <w:t xml:space="preserve"> issued August 2019</w:t>
      </w:r>
      <w:r w:rsidRPr="0FEEC474" w:rsidR="00592119">
        <w:rPr>
          <w:rFonts w:ascii="Times New Roman" w:hAnsi="Times New Roman" w:cs="Times New Roman"/>
        </w:rPr>
        <w:t xml:space="preserve"> (Ref.</w:t>
      </w:r>
      <w:r w:rsidR="007F2B94">
        <w:rPr>
          <w:rFonts w:ascii="Times New Roman" w:hAnsi="Times New Roman" w:cs="Times New Roman"/>
        </w:rPr>
        <w:t> </w:t>
      </w:r>
      <w:r w:rsidR="004A3749">
        <w:rPr>
          <w:rFonts w:ascii="Times New Roman" w:hAnsi="Times New Roman" w:cs="Times New Roman"/>
        </w:rPr>
        <w:t>9</w:t>
      </w:r>
      <w:r w:rsidRPr="0FEEC474" w:rsidR="00592119">
        <w:rPr>
          <w:rFonts w:ascii="Times New Roman" w:hAnsi="Times New Roman" w:cs="Times New Roman"/>
        </w:rPr>
        <w:t>)</w:t>
      </w:r>
      <w:r w:rsidRPr="0FEEC474" w:rsidR="00125873">
        <w:rPr>
          <w:rFonts w:ascii="Times New Roman" w:hAnsi="Times New Roman" w:cs="Times New Roman"/>
        </w:rPr>
        <w:t>,</w:t>
      </w:r>
      <w:r w:rsidRPr="0FEEC474" w:rsidR="00592119">
        <w:rPr>
          <w:rFonts w:ascii="Times New Roman" w:hAnsi="Times New Roman" w:cs="Times New Roman"/>
        </w:rPr>
        <w:t xml:space="preserve"> </w:t>
      </w:r>
      <w:r w:rsidRPr="0FEEC474" w:rsidR="00B22ABC">
        <w:rPr>
          <w:rFonts w:ascii="Times New Roman" w:hAnsi="Times New Roman" w:cs="Times New Roman"/>
        </w:rPr>
        <w:t xml:space="preserve">with clarifications and points of emphasis, </w:t>
      </w:r>
      <w:r w:rsidRPr="0FEEC474" w:rsidR="00592119">
        <w:rPr>
          <w:rFonts w:ascii="Times New Roman" w:hAnsi="Times New Roman" w:cs="Times New Roman"/>
        </w:rPr>
        <w:t xml:space="preserve">as one acceptable method for non-LWR designers to use when </w:t>
      </w:r>
      <w:r w:rsidRPr="0FEEC474" w:rsidR="00FD6B48">
        <w:rPr>
          <w:rFonts w:ascii="Times New Roman" w:hAnsi="Times New Roman" w:cs="Times New Roman"/>
        </w:rPr>
        <w:t xml:space="preserve">selecting </w:t>
      </w:r>
      <w:r w:rsidRPr="0FEEC474" w:rsidR="00CF7D5C">
        <w:rPr>
          <w:rFonts w:ascii="Times New Roman" w:hAnsi="Times New Roman" w:cs="Times New Roman"/>
        </w:rPr>
        <w:t>lice</w:t>
      </w:r>
      <w:r w:rsidRPr="0FEEC474" w:rsidR="00C215AD">
        <w:rPr>
          <w:rFonts w:ascii="Times New Roman" w:hAnsi="Times New Roman" w:cs="Times New Roman"/>
        </w:rPr>
        <w:t>ns</w:t>
      </w:r>
      <w:r w:rsidRPr="0FEEC474" w:rsidR="00CF7D5C">
        <w:rPr>
          <w:rFonts w:ascii="Times New Roman" w:hAnsi="Times New Roman" w:cs="Times New Roman"/>
        </w:rPr>
        <w:t>ing</w:t>
      </w:r>
      <w:r w:rsidR="00800A88">
        <w:rPr>
          <w:rFonts w:ascii="Times New Roman" w:hAnsi="Times New Roman" w:cs="Times New Roman"/>
        </w:rPr>
        <w:t>-</w:t>
      </w:r>
      <w:r w:rsidRPr="0FEEC474" w:rsidR="00CF7D5C">
        <w:rPr>
          <w:rFonts w:ascii="Times New Roman" w:hAnsi="Times New Roman" w:cs="Times New Roman"/>
        </w:rPr>
        <w:t>basis events</w:t>
      </w:r>
      <w:r w:rsidRPr="0FEEC474" w:rsidR="00FD6B48">
        <w:rPr>
          <w:rFonts w:ascii="Times New Roman" w:hAnsi="Times New Roman" w:cs="Times New Roman"/>
        </w:rPr>
        <w:t>,</w:t>
      </w:r>
      <w:r w:rsidRPr="0FEEC474" w:rsidR="00CF7D5C">
        <w:rPr>
          <w:rFonts w:ascii="Times New Roman" w:hAnsi="Times New Roman" w:cs="Times New Roman"/>
        </w:rPr>
        <w:t xml:space="preserve"> classifying SSCs, </w:t>
      </w:r>
      <w:r w:rsidRPr="0FEEC474" w:rsidR="004828B8">
        <w:rPr>
          <w:rFonts w:ascii="Times New Roman" w:hAnsi="Times New Roman" w:cs="Times New Roman"/>
        </w:rPr>
        <w:t>and</w:t>
      </w:r>
      <w:r w:rsidRPr="0FEEC474" w:rsidR="00CF7D5C">
        <w:rPr>
          <w:rFonts w:ascii="Times New Roman" w:hAnsi="Times New Roman" w:cs="Times New Roman"/>
        </w:rPr>
        <w:t xml:space="preserve"> assessing defense</w:t>
      </w:r>
      <w:r w:rsidRPr="0FEEC474" w:rsidR="009754FC">
        <w:rPr>
          <w:rFonts w:ascii="Times New Roman" w:hAnsi="Times New Roman" w:cs="Times New Roman"/>
        </w:rPr>
        <w:t>-</w:t>
      </w:r>
      <w:r w:rsidRPr="0FEEC474" w:rsidR="00CF7D5C">
        <w:rPr>
          <w:rFonts w:ascii="Times New Roman" w:hAnsi="Times New Roman" w:cs="Times New Roman"/>
        </w:rPr>
        <w:t>in</w:t>
      </w:r>
      <w:r w:rsidRPr="0FEEC474" w:rsidR="009754FC">
        <w:rPr>
          <w:rFonts w:ascii="Times New Roman" w:hAnsi="Times New Roman" w:cs="Times New Roman"/>
        </w:rPr>
        <w:t>-</w:t>
      </w:r>
      <w:r w:rsidRPr="0FEEC474" w:rsidR="00CF7D5C">
        <w:rPr>
          <w:rFonts w:ascii="Times New Roman" w:hAnsi="Times New Roman" w:cs="Times New Roman"/>
        </w:rPr>
        <w:t>depth</w:t>
      </w:r>
      <w:r w:rsidRPr="0FEEC474" w:rsidR="009754FC">
        <w:rPr>
          <w:rFonts w:ascii="Times New Roman" w:hAnsi="Times New Roman" w:cs="Times New Roman"/>
        </w:rPr>
        <w:t xml:space="preserve"> adequacy.</w:t>
      </w:r>
    </w:p>
    <w:p w:rsidR="009754FC" w:rsidRPr="009754FC" w:rsidP="002F3C90" w14:paraId="0EABE455" w14:textId="77777777">
      <w:pPr>
        <w:pStyle w:val="ListParagraph"/>
        <w:spacing w:after="0" w:line="240" w:lineRule="auto"/>
        <w:rPr>
          <w:rFonts w:ascii="Times New Roman" w:hAnsi="Times New Roman" w:cs="Times New Roman"/>
        </w:rPr>
      </w:pPr>
    </w:p>
    <w:p w:rsidR="00E45F58" w:rsidP="002F3C90" w14:paraId="29280683" w14:textId="50FD9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RG</w:t>
      </w:r>
      <w:r w:rsidR="0088368B">
        <w:rPr>
          <w:rFonts w:ascii="Times New Roman" w:hAnsi="Times New Roman" w:cs="Times New Roman"/>
        </w:rPr>
        <w:t> </w:t>
      </w:r>
      <w:r>
        <w:rPr>
          <w:rFonts w:ascii="Times New Roman" w:hAnsi="Times New Roman" w:cs="Times New Roman"/>
        </w:rPr>
        <w:t>1.247</w:t>
      </w:r>
      <w:r w:rsidR="00C5757A">
        <w:rPr>
          <w:rFonts w:ascii="Times New Roman" w:hAnsi="Times New Roman" w:cs="Times New Roman"/>
        </w:rPr>
        <w:t xml:space="preserve"> (For Trial Use)</w:t>
      </w:r>
      <w:r w:rsidR="009E06AE">
        <w:rPr>
          <w:rFonts w:ascii="Times New Roman" w:hAnsi="Times New Roman" w:cs="Times New Roman"/>
        </w:rPr>
        <w:t>, “</w:t>
      </w:r>
      <w:r w:rsidRPr="009E06AE" w:rsidR="009E06AE">
        <w:rPr>
          <w:rFonts w:ascii="Times New Roman" w:hAnsi="Times New Roman" w:cs="Times New Roman"/>
        </w:rPr>
        <w:t>A</w:t>
      </w:r>
      <w:r w:rsidR="00921415">
        <w:rPr>
          <w:rFonts w:ascii="Times New Roman" w:hAnsi="Times New Roman" w:cs="Times New Roman"/>
        </w:rPr>
        <w:t>cceptability</w:t>
      </w:r>
      <w:r w:rsidRPr="009E06AE" w:rsidR="009E06AE">
        <w:rPr>
          <w:rFonts w:ascii="Times New Roman" w:hAnsi="Times New Roman" w:cs="Times New Roman"/>
        </w:rPr>
        <w:t xml:space="preserve"> </w:t>
      </w:r>
      <w:r w:rsidR="00921415">
        <w:rPr>
          <w:rFonts w:ascii="Times New Roman" w:hAnsi="Times New Roman" w:cs="Times New Roman"/>
        </w:rPr>
        <w:t>of</w:t>
      </w:r>
      <w:r w:rsidRPr="009E06AE" w:rsidR="009E06AE">
        <w:rPr>
          <w:rFonts w:ascii="Times New Roman" w:hAnsi="Times New Roman" w:cs="Times New Roman"/>
        </w:rPr>
        <w:t xml:space="preserve"> P</w:t>
      </w:r>
      <w:r w:rsidR="00921415">
        <w:rPr>
          <w:rFonts w:ascii="Times New Roman" w:hAnsi="Times New Roman" w:cs="Times New Roman"/>
        </w:rPr>
        <w:t>robabilistic</w:t>
      </w:r>
      <w:r w:rsidRPr="009E06AE" w:rsidR="009E06AE">
        <w:rPr>
          <w:rFonts w:ascii="Times New Roman" w:hAnsi="Times New Roman" w:cs="Times New Roman"/>
        </w:rPr>
        <w:t xml:space="preserve"> R</w:t>
      </w:r>
      <w:r w:rsidR="00921415">
        <w:rPr>
          <w:rFonts w:ascii="Times New Roman" w:hAnsi="Times New Roman" w:cs="Times New Roman"/>
        </w:rPr>
        <w:t>isk</w:t>
      </w:r>
      <w:r w:rsidRPr="009E06AE" w:rsidR="009E06AE">
        <w:rPr>
          <w:rFonts w:ascii="Times New Roman" w:hAnsi="Times New Roman" w:cs="Times New Roman"/>
        </w:rPr>
        <w:t xml:space="preserve"> A</w:t>
      </w:r>
      <w:r w:rsidR="00921415">
        <w:rPr>
          <w:rFonts w:ascii="Times New Roman" w:hAnsi="Times New Roman" w:cs="Times New Roman"/>
        </w:rPr>
        <w:t xml:space="preserve">ssessment </w:t>
      </w:r>
      <w:r w:rsidRPr="009E06AE" w:rsidR="009E06AE">
        <w:rPr>
          <w:rFonts w:ascii="Times New Roman" w:hAnsi="Times New Roman" w:cs="Times New Roman"/>
        </w:rPr>
        <w:t>R</w:t>
      </w:r>
      <w:r w:rsidR="00921415">
        <w:rPr>
          <w:rFonts w:ascii="Times New Roman" w:hAnsi="Times New Roman" w:cs="Times New Roman"/>
        </w:rPr>
        <w:t>esults for</w:t>
      </w:r>
      <w:r w:rsidRPr="009E06AE" w:rsidR="009E06AE">
        <w:rPr>
          <w:rFonts w:ascii="Times New Roman" w:hAnsi="Times New Roman" w:cs="Times New Roman"/>
        </w:rPr>
        <w:t xml:space="preserve"> N</w:t>
      </w:r>
      <w:r w:rsidR="00921415">
        <w:rPr>
          <w:rFonts w:ascii="Times New Roman" w:hAnsi="Times New Roman" w:cs="Times New Roman"/>
        </w:rPr>
        <w:t>on</w:t>
      </w:r>
      <w:r w:rsidRPr="009E06AE" w:rsidR="009E06AE">
        <w:rPr>
          <w:rFonts w:ascii="Times New Roman" w:hAnsi="Times New Roman" w:cs="Times New Roman"/>
        </w:rPr>
        <w:t>-L</w:t>
      </w:r>
      <w:r w:rsidR="00C8193D">
        <w:rPr>
          <w:rFonts w:ascii="Times New Roman" w:hAnsi="Times New Roman" w:cs="Times New Roman"/>
        </w:rPr>
        <w:t>ight</w:t>
      </w:r>
      <w:r w:rsidR="00AA1C5B">
        <w:rPr>
          <w:rFonts w:ascii="Times New Roman" w:hAnsi="Times New Roman" w:cs="Times New Roman"/>
        </w:rPr>
        <w:t>-</w:t>
      </w:r>
      <w:r w:rsidRPr="009E06AE" w:rsidR="009E06AE">
        <w:rPr>
          <w:rFonts w:ascii="Times New Roman" w:hAnsi="Times New Roman" w:cs="Times New Roman"/>
        </w:rPr>
        <w:t>W</w:t>
      </w:r>
      <w:r w:rsidR="00C8193D">
        <w:rPr>
          <w:rFonts w:ascii="Times New Roman" w:hAnsi="Times New Roman" w:cs="Times New Roman"/>
        </w:rPr>
        <w:t>ater</w:t>
      </w:r>
      <w:r w:rsidRPr="009E06AE" w:rsidR="009E06AE">
        <w:rPr>
          <w:rFonts w:ascii="Times New Roman" w:hAnsi="Times New Roman" w:cs="Times New Roman"/>
        </w:rPr>
        <w:t xml:space="preserve"> R</w:t>
      </w:r>
      <w:r w:rsidR="00C8193D">
        <w:rPr>
          <w:rFonts w:ascii="Times New Roman" w:hAnsi="Times New Roman" w:cs="Times New Roman"/>
        </w:rPr>
        <w:t>eactor</w:t>
      </w:r>
      <w:r w:rsidRPr="009E06AE" w:rsidR="009E06AE">
        <w:rPr>
          <w:rFonts w:ascii="Times New Roman" w:hAnsi="Times New Roman" w:cs="Times New Roman"/>
        </w:rPr>
        <w:t xml:space="preserve"> R</w:t>
      </w:r>
      <w:r w:rsidR="00C8193D">
        <w:rPr>
          <w:rFonts w:ascii="Times New Roman" w:hAnsi="Times New Roman" w:cs="Times New Roman"/>
        </w:rPr>
        <w:t>isk</w:t>
      </w:r>
      <w:r w:rsidRPr="009E06AE" w:rsidR="009E06AE">
        <w:rPr>
          <w:rFonts w:ascii="Times New Roman" w:hAnsi="Times New Roman" w:cs="Times New Roman"/>
        </w:rPr>
        <w:t>-I</w:t>
      </w:r>
      <w:r w:rsidR="00C8193D">
        <w:rPr>
          <w:rFonts w:ascii="Times New Roman" w:hAnsi="Times New Roman" w:cs="Times New Roman"/>
        </w:rPr>
        <w:t>nformed</w:t>
      </w:r>
      <w:r w:rsidRPr="009E06AE" w:rsidR="009E06AE">
        <w:rPr>
          <w:rFonts w:ascii="Times New Roman" w:hAnsi="Times New Roman" w:cs="Times New Roman"/>
        </w:rPr>
        <w:t xml:space="preserve"> A</w:t>
      </w:r>
      <w:r w:rsidR="00C8193D">
        <w:rPr>
          <w:rFonts w:ascii="Times New Roman" w:hAnsi="Times New Roman" w:cs="Times New Roman"/>
        </w:rPr>
        <w:t>ctivities</w:t>
      </w:r>
      <w:r w:rsidR="009E06AE">
        <w:rPr>
          <w:rFonts w:ascii="Times New Roman" w:hAnsi="Times New Roman" w:cs="Times New Roman"/>
        </w:rPr>
        <w:t>” (Ref.</w:t>
      </w:r>
      <w:r w:rsidR="007F2B94">
        <w:rPr>
          <w:rFonts w:ascii="Times New Roman" w:hAnsi="Times New Roman" w:cs="Times New Roman"/>
        </w:rPr>
        <w:t> </w:t>
      </w:r>
      <w:r w:rsidR="004A3749">
        <w:rPr>
          <w:rFonts w:ascii="Times New Roman" w:hAnsi="Times New Roman" w:cs="Times New Roman"/>
        </w:rPr>
        <w:t>10</w:t>
      </w:r>
      <w:r w:rsidR="009E06AE">
        <w:rPr>
          <w:rFonts w:ascii="Times New Roman" w:hAnsi="Times New Roman" w:cs="Times New Roman"/>
        </w:rPr>
        <w:t xml:space="preserve">), </w:t>
      </w:r>
      <w:r w:rsidRPr="001535BB" w:rsidR="001535BB">
        <w:rPr>
          <w:rFonts w:ascii="Times New Roman" w:hAnsi="Times New Roman" w:cs="Times New Roman"/>
        </w:rPr>
        <w:t xml:space="preserve">describes an approach for determining </w:t>
      </w:r>
      <w:r w:rsidRPr="001535BB" w:rsidR="001535BB">
        <w:rPr>
          <w:rFonts w:ascii="Times New Roman" w:hAnsi="Times New Roman" w:cs="Times New Roman"/>
        </w:rPr>
        <w:t xml:space="preserve">whether a design-specific or plant-specific </w:t>
      </w:r>
      <w:r w:rsidR="00E804F3">
        <w:rPr>
          <w:rFonts w:ascii="Times New Roman" w:hAnsi="Times New Roman" w:cs="Times New Roman"/>
        </w:rPr>
        <w:t>PRA</w:t>
      </w:r>
      <w:r w:rsidRPr="001535BB" w:rsidR="001535BB">
        <w:rPr>
          <w:rFonts w:ascii="Times New Roman" w:hAnsi="Times New Roman" w:cs="Times New Roman"/>
        </w:rPr>
        <w:t xml:space="preserve"> used to support an application is sufficient to provide confidence in the results, such that the PRA can be used in regulatory decision-making for </w:t>
      </w:r>
      <w:r w:rsidR="00716A36">
        <w:rPr>
          <w:rFonts w:ascii="Times New Roman" w:hAnsi="Times New Roman" w:cs="Times New Roman"/>
        </w:rPr>
        <w:t>non</w:t>
      </w:r>
      <w:r w:rsidR="00BA77F0">
        <w:rPr>
          <w:rFonts w:ascii="Times New Roman" w:hAnsi="Times New Roman" w:cs="Times New Roman"/>
        </w:rPr>
        <w:noBreakHyphen/>
      </w:r>
      <w:r w:rsidRPr="001535BB" w:rsidR="001535BB">
        <w:rPr>
          <w:rFonts w:ascii="Times New Roman" w:hAnsi="Times New Roman" w:cs="Times New Roman"/>
        </w:rPr>
        <w:t>LWRs</w:t>
      </w:r>
      <w:r w:rsidR="008751C0">
        <w:rPr>
          <w:rFonts w:ascii="Times New Roman" w:hAnsi="Times New Roman" w:cs="Times New Roman"/>
        </w:rPr>
        <w:t xml:space="preserve">. </w:t>
      </w:r>
      <w:r w:rsidRPr="001535BB" w:rsidR="001535BB">
        <w:rPr>
          <w:rFonts w:ascii="Times New Roman" w:hAnsi="Times New Roman" w:cs="Times New Roman"/>
        </w:rPr>
        <w:t>In this RG, the term “application” includes preapplication activities, initial licensing applications, and risk-informed applications</w:t>
      </w:r>
      <w:r w:rsidR="008751C0">
        <w:rPr>
          <w:rFonts w:ascii="Times New Roman" w:hAnsi="Times New Roman" w:cs="Times New Roman"/>
        </w:rPr>
        <w:t xml:space="preserve">. </w:t>
      </w:r>
      <w:r w:rsidRPr="001535BB" w:rsidR="001535BB">
        <w:rPr>
          <w:rFonts w:ascii="Times New Roman" w:hAnsi="Times New Roman" w:cs="Times New Roman"/>
        </w:rPr>
        <w:t>When used in support of an application, this RG will help reduce the need for an in-depth review of the PRA by NRC reviewers, allowing them to focus on key assumptions and areas identified as being of concern and relevant to the application and the demonstration of PRA acceptability.</w:t>
      </w:r>
    </w:p>
    <w:p w:rsidR="00A72FE7" w:rsidRPr="00865FE3" w:rsidP="002F3C90" w14:paraId="0ABD4946" w14:textId="77777777">
      <w:pPr>
        <w:pStyle w:val="ListParagraph"/>
        <w:spacing w:line="240" w:lineRule="auto"/>
        <w:rPr>
          <w:rFonts w:ascii="Times New Roman" w:hAnsi="Times New Roman" w:cs="Times New Roman"/>
        </w:rPr>
      </w:pPr>
    </w:p>
    <w:p w:rsidR="00FC65E9" w:rsidP="002F3C90" w14:paraId="6FC3A9A7" w14:textId="49E85ED2">
      <w:pPr>
        <w:pStyle w:val="ListParagraph"/>
        <w:numPr>
          <w:ilvl w:val="0"/>
          <w:numId w:val="2"/>
        </w:numPr>
        <w:spacing w:after="0" w:line="240" w:lineRule="auto"/>
        <w:rPr>
          <w:rFonts w:ascii="Times New Roman" w:hAnsi="Times New Roman" w:cs="Times New Roman"/>
        </w:rPr>
      </w:pPr>
      <w:r w:rsidRPr="007F3FDF">
        <w:rPr>
          <w:rFonts w:ascii="Times New Roman" w:hAnsi="Times New Roman" w:cs="Times New Roman"/>
        </w:rPr>
        <w:t>Interim Staff Guidance (ISG) DC/COL</w:t>
      </w:r>
      <w:r w:rsidR="00BA77F0">
        <w:rPr>
          <w:rFonts w:ascii="Times New Roman" w:hAnsi="Times New Roman" w:cs="Times New Roman"/>
        </w:rPr>
        <w:noBreakHyphen/>
      </w:r>
      <w:r w:rsidRPr="007F3FDF">
        <w:rPr>
          <w:rFonts w:ascii="Times New Roman" w:hAnsi="Times New Roman" w:cs="Times New Roman"/>
        </w:rPr>
        <w:t>ISG</w:t>
      </w:r>
      <w:r w:rsidR="00BA77F0">
        <w:rPr>
          <w:rFonts w:ascii="Times New Roman" w:hAnsi="Times New Roman" w:cs="Times New Roman"/>
        </w:rPr>
        <w:noBreakHyphen/>
      </w:r>
      <w:r w:rsidRPr="007F3FDF">
        <w:rPr>
          <w:rFonts w:ascii="Times New Roman" w:hAnsi="Times New Roman" w:cs="Times New Roman"/>
        </w:rPr>
        <w:t>028, “Assessing the Technical Adequacy of the Advanced Light-Water Reactor Probabilistic Risk Assessment for the Design Certification Application and Combined License Application</w:t>
      </w:r>
      <w:r w:rsidR="00BA77F0">
        <w:rPr>
          <w:rFonts w:ascii="Times New Roman" w:hAnsi="Times New Roman" w:cs="Times New Roman"/>
        </w:rPr>
        <w:t>,</w:t>
      </w:r>
      <w:r w:rsidRPr="007F3FDF">
        <w:rPr>
          <w:rFonts w:ascii="Times New Roman" w:hAnsi="Times New Roman" w:cs="Times New Roman"/>
        </w:rPr>
        <w:t>”</w:t>
      </w:r>
      <w:r w:rsidR="00BA77F0">
        <w:rPr>
          <w:rFonts w:ascii="Times New Roman" w:hAnsi="Times New Roman" w:cs="Times New Roman"/>
        </w:rPr>
        <w:t xml:space="preserve"> issued November 2016</w:t>
      </w:r>
      <w:r w:rsidRPr="007F3FDF">
        <w:rPr>
          <w:rFonts w:ascii="Times New Roman" w:hAnsi="Times New Roman" w:cs="Times New Roman"/>
        </w:rPr>
        <w:t xml:space="preserve"> </w:t>
      </w:r>
      <w:r w:rsidR="00014DE7">
        <w:rPr>
          <w:rFonts w:ascii="Times New Roman" w:hAnsi="Times New Roman" w:cs="Times New Roman"/>
        </w:rPr>
        <w:t>(Ref.</w:t>
      </w:r>
      <w:r w:rsidR="00BA77F0">
        <w:rPr>
          <w:rFonts w:ascii="Times New Roman" w:hAnsi="Times New Roman" w:cs="Times New Roman"/>
        </w:rPr>
        <w:t> </w:t>
      </w:r>
      <w:r w:rsidR="00087FE3">
        <w:rPr>
          <w:rFonts w:ascii="Times New Roman" w:hAnsi="Times New Roman" w:cs="Times New Roman"/>
        </w:rPr>
        <w:t>1</w:t>
      </w:r>
      <w:r w:rsidR="004A3749">
        <w:rPr>
          <w:rFonts w:ascii="Times New Roman" w:hAnsi="Times New Roman" w:cs="Times New Roman"/>
        </w:rPr>
        <w:t>1</w:t>
      </w:r>
      <w:r w:rsidR="00014DE7">
        <w:rPr>
          <w:rFonts w:ascii="Times New Roman" w:hAnsi="Times New Roman" w:cs="Times New Roman"/>
        </w:rPr>
        <w:t>)</w:t>
      </w:r>
      <w:r w:rsidR="00E87475">
        <w:rPr>
          <w:rFonts w:ascii="Times New Roman" w:hAnsi="Times New Roman" w:cs="Times New Roman"/>
        </w:rPr>
        <w:t xml:space="preserve">, </w:t>
      </w:r>
      <w:r w:rsidRPr="007F3FDF">
        <w:rPr>
          <w:rFonts w:ascii="Times New Roman" w:hAnsi="Times New Roman" w:cs="Times New Roman"/>
        </w:rPr>
        <w:t>provides</w:t>
      </w:r>
      <w:r w:rsidRPr="00865FE3">
        <w:rPr>
          <w:rFonts w:ascii="Times New Roman" w:hAnsi="Times New Roman" w:cs="Times New Roman"/>
        </w:rPr>
        <w:t xml:space="preserve"> </w:t>
      </w:r>
      <w:r w:rsidR="00012351">
        <w:rPr>
          <w:rFonts w:ascii="Times New Roman" w:hAnsi="Times New Roman" w:cs="Times New Roman"/>
        </w:rPr>
        <w:t>g</w:t>
      </w:r>
      <w:r w:rsidRPr="00865FE3">
        <w:rPr>
          <w:rFonts w:ascii="Times New Roman" w:hAnsi="Times New Roman" w:cs="Times New Roman"/>
        </w:rPr>
        <w:t>uidance for assessing the</w:t>
      </w:r>
      <w:r w:rsidRPr="007F3FDF">
        <w:rPr>
          <w:rFonts w:ascii="Times New Roman" w:hAnsi="Times New Roman" w:cs="Times New Roman"/>
        </w:rPr>
        <w:t xml:space="preserve"> technical adequacy of the PRA needed for an application for </w:t>
      </w:r>
      <w:r w:rsidR="00707848">
        <w:rPr>
          <w:rFonts w:ascii="Times New Roman" w:hAnsi="Times New Roman" w:cs="Times New Roman"/>
        </w:rPr>
        <w:t xml:space="preserve">a </w:t>
      </w:r>
      <w:r w:rsidRPr="00865FE3">
        <w:rPr>
          <w:rFonts w:ascii="Times New Roman" w:hAnsi="Times New Roman" w:cs="Times New Roman"/>
        </w:rPr>
        <w:t>DC</w:t>
      </w:r>
      <w:r>
        <w:rPr>
          <w:rFonts w:ascii="Times New Roman" w:hAnsi="Times New Roman" w:cs="Times New Roman"/>
        </w:rPr>
        <w:t xml:space="preserve"> or</w:t>
      </w:r>
      <w:r w:rsidRPr="00865FE3">
        <w:rPr>
          <w:rFonts w:ascii="Times New Roman" w:hAnsi="Times New Roman" w:cs="Times New Roman"/>
        </w:rPr>
        <w:t xml:space="preserve"> </w:t>
      </w:r>
      <w:r w:rsidRPr="007F3FDF">
        <w:rPr>
          <w:rFonts w:ascii="Times New Roman" w:hAnsi="Times New Roman" w:cs="Times New Roman"/>
        </w:rPr>
        <w:t xml:space="preserve">for </w:t>
      </w:r>
      <w:r w:rsidR="00707848">
        <w:rPr>
          <w:rFonts w:ascii="Times New Roman" w:hAnsi="Times New Roman" w:cs="Times New Roman"/>
        </w:rPr>
        <w:t xml:space="preserve">a </w:t>
      </w:r>
      <w:r w:rsidRPr="003C5264">
        <w:rPr>
          <w:rFonts w:ascii="Times New Roman" w:hAnsi="Times New Roman" w:cs="Times New Roman"/>
        </w:rPr>
        <w:t xml:space="preserve">COL </w:t>
      </w:r>
      <w:r w:rsidRPr="00865FE3">
        <w:rPr>
          <w:rFonts w:ascii="Times New Roman" w:hAnsi="Times New Roman" w:cs="Times New Roman"/>
        </w:rPr>
        <w:t xml:space="preserve">of an advanced </w:t>
      </w:r>
      <w:r w:rsidR="00707848">
        <w:rPr>
          <w:rFonts w:ascii="Times New Roman" w:hAnsi="Times New Roman" w:cs="Times New Roman"/>
        </w:rPr>
        <w:t>LWR</w:t>
      </w:r>
      <w:r w:rsidRPr="00865FE3">
        <w:rPr>
          <w:rFonts w:ascii="Times New Roman" w:hAnsi="Times New Roman" w:cs="Times New Roman"/>
        </w:rPr>
        <w:t xml:space="preserve"> under </w:t>
      </w:r>
      <w:r w:rsidRPr="007F3FDF">
        <w:rPr>
          <w:rFonts w:ascii="Times New Roman" w:hAnsi="Times New Roman" w:cs="Times New Roman"/>
        </w:rPr>
        <w:t>10</w:t>
      </w:r>
      <w:r w:rsidR="00BA77F0">
        <w:rPr>
          <w:rFonts w:ascii="Times New Roman" w:hAnsi="Times New Roman" w:cs="Times New Roman"/>
        </w:rPr>
        <w:t> </w:t>
      </w:r>
      <w:r w:rsidRPr="007F3FDF">
        <w:rPr>
          <w:rFonts w:ascii="Times New Roman" w:hAnsi="Times New Roman" w:cs="Times New Roman"/>
        </w:rPr>
        <w:t>CFR</w:t>
      </w:r>
      <w:r w:rsidR="00BA77F0">
        <w:rPr>
          <w:rFonts w:ascii="Times New Roman" w:hAnsi="Times New Roman" w:cs="Times New Roman"/>
        </w:rPr>
        <w:t> </w:t>
      </w:r>
      <w:r w:rsidRPr="007F3FDF">
        <w:rPr>
          <w:rFonts w:ascii="Times New Roman" w:hAnsi="Times New Roman" w:cs="Times New Roman"/>
        </w:rPr>
        <w:t>Part</w:t>
      </w:r>
      <w:r w:rsidR="00BA77F0">
        <w:rPr>
          <w:rFonts w:ascii="Times New Roman" w:hAnsi="Times New Roman" w:cs="Times New Roman"/>
        </w:rPr>
        <w:t> </w:t>
      </w:r>
      <w:r w:rsidRPr="007F3FDF">
        <w:rPr>
          <w:rFonts w:ascii="Times New Roman" w:hAnsi="Times New Roman" w:cs="Times New Roman"/>
        </w:rPr>
        <w:t>52</w:t>
      </w:r>
      <w:r>
        <w:rPr>
          <w:rFonts w:ascii="Times New Roman" w:hAnsi="Times New Roman" w:cs="Times New Roman"/>
        </w:rPr>
        <w:t>.</w:t>
      </w:r>
    </w:p>
    <w:p w:rsidR="00482AE3" w:rsidP="002F3C90" w14:paraId="20745BB9" w14:textId="77777777">
      <w:pPr>
        <w:spacing w:after="0" w:line="240" w:lineRule="auto"/>
        <w:rPr>
          <w:rFonts w:ascii="Times New Roman" w:hAnsi="Times New Roman" w:cs="Times New Roman"/>
        </w:rPr>
      </w:pPr>
    </w:p>
    <w:p w:rsidR="00107D6B" w:rsidRPr="00352574" w:rsidP="002F3C90" w14:paraId="7E6602BA" w14:textId="52222518">
      <w:pPr>
        <w:pStyle w:val="Heading2"/>
        <w:spacing w:line="240" w:lineRule="auto"/>
      </w:pPr>
      <w:r w:rsidRPr="00352574">
        <w:t>Purpose of Regulatory Guides</w:t>
      </w:r>
    </w:p>
    <w:p w:rsidR="00482AE3" w:rsidRPr="00352574" w:rsidP="002F3C90" w14:paraId="0F95CDFD" w14:textId="77777777">
      <w:pPr>
        <w:spacing w:after="0" w:line="240" w:lineRule="auto"/>
        <w:rPr>
          <w:rFonts w:ascii="Times New Roman" w:hAnsi="Times New Roman" w:cs="Times New Roman"/>
        </w:rPr>
      </w:pPr>
    </w:p>
    <w:p w:rsidR="007E1E2F" w:rsidP="002F3C90" w14:paraId="0CAEA450" w14:textId="1568DA73">
      <w:pPr>
        <w:spacing w:after="0" w:line="240" w:lineRule="auto"/>
        <w:ind w:firstLine="720"/>
        <w:rPr>
          <w:rFonts w:ascii="Times New Roman" w:hAnsi="Times New Roman" w:cs="Times New Roman"/>
        </w:rPr>
      </w:pPr>
      <w:r w:rsidRPr="00352574">
        <w:rPr>
          <w:rFonts w:ascii="Times New Roman" w:hAnsi="Times New Roman" w:cs="Times New Roman"/>
        </w:rPr>
        <w:t xml:space="preserve">The NRC issues RGs to describe methods that are acceptable to the staff for implementing specific parts of the agency’s regulations, to explain techniques that the staff uses in evaluating specific issues or postulated events, and to </w:t>
      </w:r>
      <w:r w:rsidR="00BA77F0">
        <w:rPr>
          <w:rFonts w:ascii="Times New Roman" w:hAnsi="Times New Roman" w:cs="Times New Roman"/>
        </w:rPr>
        <w:t xml:space="preserve">describe information that the staff needs in its review of </w:t>
      </w:r>
      <w:r w:rsidRPr="00352574">
        <w:rPr>
          <w:rFonts w:ascii="Times New Roman" w:hAnsi="Times New Roman" w:cs="Times New Roman"/>
        </w:rPr>
        <w:t>applica</w:t>
      </w:r>
      <w:r w:rsidR="00BA77F0">
        <w:rPr>
          <w:rFonts w:ascii="Times New Roman" w:hAnsi="Times New Roman" w:cs="Times New Roman"/>
        </w:rPr>
        <w:t>tions for permits and licenses</w:t>
      </w:r>
      <w:r w:rsidR="008751C0">
        <w:rPr>
          <w:rFonts w:ascii="Times New Roman" w:hAnsi="Times New Roman" w:cs="Times New Roman"/>
        </w:rPr>
        <w:t xml:space="preserve">. </w:t>
      </w:r>
      <w:r w:rsidRPr="00352574">
        <w:rPr>
          <w:rFonts w:ascii="Times New Roman" w:hAnsi="Times New Roman" w:cs="Times New Roman"/>
        </w:rPr>
        <w:t>R</w:t>
      </w:r>
      <w:r w:rsidR="00CD2412">
        <w:rPr>
          <w:rFonts w:ascii="Times New Roman" w:hAnsi="Times New Roman" w:cs="Times New Roman"/>
        </w:rPr>
        <w:t>egulatory guides</w:t>
      </w:r>
      <w:r w:rsidRPr="00352574">
        <w:rPr>
          <w:rFonts w:ascii="Times New Roman" w:hAnsi="Times New Roman" w:cs="Times New Roman"/>
        </w:rPr>
        <w:t xml:space="preserve"> are not</w:t>
      </w:r>
      <w:r w:rsidR="00206CFF">
        <w:rPr>
          <w:rFonts w:ascii="Times New Roman" w:hAnsi="Times New Roman" w:cs="Times New Roman"/>
        </w:rPr>
        <w:t xml:space="preserve"> NRC</w:t>
      </w:r>
      <w:r w:rsidRPr="00352574">
        <w:rPr>
          <w:rFonts w:ascii="Times New Roman" w:hAnsi="Times New Roman" w:cs="Times New Roman"/>
        </w:rPr>
        <w:t xml:space="preserve"> regulations and compliance with them is not required</w:t>
      </w:r>
      <w:r w:rsidR="008751C0">
        <w:rPr>
          <w:rFonts w:ascii="Times New Roman" w:hAnsi="Times New Roman" w:cs="Times New Roman"/>
        </w:rPr>
        <w:t xml:space="preserve">. </w:t>
      </w:r>
      <w:r w:rsidRPr="00352574">
        <w:rPr>
          <w:rFonts w:ascii="Times New Roman" w:hAnsi="Times New Roman" w:cs="Times New Roman"/>
        </w:rPr>
        <w:t xml:space="preserve">Methods and solutions that differ from those set forth in RGs are acceptable if </w:t>
      </w:r>
      <w:r w:rsidR="001F051E">
        <w:rPr>
          <w:rFonts w:ascii="Times New Roman" w:hAnsi="Times New Roman" w:cs="Times New Roman"/>
        </w:rPr>
        <w:t>supported by a</w:t>
      </w:r>
      <w:r w:rsidRPr="00352574">
        <w:rPr>
          <w:rFonts w:ascii="Times New Roman" w:hAnsi="Times New Roman" w:cs="Times New Roman"/>
        </w:rPr>
        <w:t xml:space="preserve"> basis for the issuance or continuance of a permit or license by the Commission.</w:t>
      </w:r>
    </w:p>
    <w:p w:rsidR="006A4931" w:rsidRPr="00352574" w:rsidP="002F3C90" w14:paraId="37B26282" w14:textId="77777777">
      <w:pPr>
        <w:spacing w:after="0" w:line="240" w:lineRule="auto"/>
        <w:rPr>
          <w:rFonts w:ascii="Times New Roman" w:hAnsi="Times New Roman" w:cs="Times New Roman"/>
        </w:rPr>
      </w:pPr>
    </w:p>
    <w:p w:rsidR="00107D6B" w:rsidP="002F3C90" w14:paraId="2A83A769" w14:textId="105E4455">
      <w:pPr>
        <w:pStyle w:val="Heading2"/>
        <w:spacing w:line="240" w:lineRule="auto"/>
      </w:pPr>
      <w:r w:rsidRPr="00352574">
        <w:t>Paperwork Reduction Act</w:t>
      </w:r>
    </w:p>
    <w:p w:rsidR="0082122B" w:rsidP="002F3C90" w14:paraId="25DE5889" w14:textId="77777777">
      <w:pPr>
        <w:keepNext/>
        <w:spacing w:after="0" w:line="240" w:lineRule="auto"/>
      </w:pPr>
    </w:p>
    <w:p w:rsidR="00422BD6" w:rsidRPr="00BA356A" w:rsidP="002F3C90" w14:paraId="0F468EF8" w14:textId="6BF35D3B">
      <w:pPr>
        <w:keepNext/>
        <w:spacing w:after="0" w:line="240" w:lineRule="auto"/>
        <w:ind w:firstLine="720"/>
        <w:rPr>
          <w:rFonts w:ascii="Times New Roman" w:eastAsia="Times New Roman" w:hAnsi="Times New Roman" w:cs="Times New Roman"/>
        </w:rPr>
      </w:pPr>
      <w:r w:rsidRPr="00BA356A">
        <w:rPr>
          <w:rFonts w:ascii="Times New Roman" w:eastAsia="Times New Roman" w:hAnsi="Times New Roman" w:cs="Times New Roman"/>
        </w:rPr>
        <w:t xml:space="preserve">This RG provides voluntary guidance for implementing </w:t>
      </w:r>
      <w:r w:rsidRPr="009814AF">
        <w:rPr>
          <w:rFonts w:ascii="Times New Roman" w:hAnsi="Times New Roman" w:cs="Times New Roman"/>
        </w:rPr>
        <w:t>the</w:t>
      </w:r>
      <w:r w:rsidRPr="00BA356A">
        <w:rPr>
          <w:rFonts w:ascii="Times New Roman" w:eastAsia="Times New Roman" w:hAnsi="Times New Roman" w:cs="Times New Roman"/>
        </w:rPr>
        <w:t xml:space="preserve"> mandatory information collections in 10 CFR Parts 50</w:t>
      </w:r>
      <w:r w:rsidRPr="00BA356A">
        <w:rPr>
          <w:rFonts w:ascii="Times New Roman" w:eastAsia="Times New Roman" w:hAnsi="Times New Roman" w:cs="Times New Roman"/>
        </w:rPr>
        <w:t xml:space="preserve">, </w:t>
      </w:r>
      <w:r w:rsidRPr="00C05C8F">
        <w:rPr>
          <w:rFonts w:ascii="Times New Roman" w:eastAsia="Times New Roman" w:hAnsi="Times New Roman" w:cs="Times New Roman"/>
        </w:rPr>
        <w:t>52, 53</w:t>
      </w:r>
      <w:r w:rsidR="001F051E">
        <w:rPr>
          <w:rFonts w:ascii="Times New Roman" w:eastAsia="Times New Roman" w:hAnsi="Times New Roman" w:cs="Times New Roman"/>
        </w:rPr>
        <w:t>,</w:t>
      </w:r>
      <w:r w:rsidRPr="00C05C8F">
        <w:rPr>
          <w:rFonts w:ascii="Times New Roman" w:eastAsia="Times New Roman" w:hAnsi="Times New Roman" w:cs="Times New Roman"/>
        </w:rPr>
        <w:t xml:space="preserve"> and</w:t>
      </w:r>
      <w:r w:rsidRPr="00BA356A">
        <w:rPr>
          <w:rFonts w:ascii="Times New Roman" w:eastAsia="Times New Roman" w:hAnsi="Times New Roman" w:cs="Times New Roman"/>
        </w:rPr>
        <w:t xml:space="preserve"> 100 that are subject to the Paperwork Reduction Act of 1995</w:t>
      </w:r>
      <w:r w:rsidR="00754F2A">
        <w:rPr>
          <w:rFonts w:ascii="Times New Roman" w:eastAsia="Times New Roman" w:hAnsi="Times New Roman" w:cs="Times New Roman"/>
        </w:rPr>
        <w:t xml:space="preserve"> </w:t>
      </w:r>
      <w:r w:rsidRPr="00BA356A">
        <w:rPr>
          <w:rFonts w:ascii="Times New Roman" w:eastAsia="Times New Roman" w:hAnsi="Times New Roman" w:cs="Times New Roman"/>
        </w:rPr>
        <w:t xml:space="preserve">(44 U.S.C. 3501 et seq.). These information collections were approved by the Office of </w:t>
      </w:r>
      <w:r w:rsidRPr="00DB0FE6">
        <w:rPr>
          <w:rFonts w:ascii="Times New Roman" w:hAnsi="Times New Roman" w:cs="Times New Roman"/>
        </w:rPr>
        <w:t>Management</w:t>
      </w:r>
      <w:r w:rsidRPr="00BA356A">
        <w:rPr>
          <w:rFonts w:ascii="Times New Roman" w:eastAsia="Times New Roman" w:hAnsi="Times New Roman" w:cs="Times New Roman"/>
        </w:rPr>
        <w:t xml:space="preserve"> and Budget (OMB), under control numbers </w:t>
      </w:r>
      <w:r w:rsidRPr="00BE4623" w:rsidR="00440E4F">
        <w:rPr>
          <w:rFonts w:ascii="Times New Roman" w:eastAsia="Times New Roman" w:hAnsi="Times New Roman" w:cs="Times New Roman"/>
        </w:rPr>
        <w:t>3150-0011</w:t>
      </w:r>
      <w:r w:rsidRPr="00BE4623" w:rsidR="00440E4F">
        <w:rPr>
          <w:rFonts w:ascii="Times New Roman" w:eastAsia="Times New Roman" w:hAnsi="Times New Roman" w:cs="Times New Roman"/>
        </w:rPr>
        <w:t>, 3150-</w:t>
      </w:r>
      <w:r w:rsidRPr="00BE4623" w:rsidR="00440E4F">
        <w:rPr>
          <w:rFonts w:ascii="Times New Roman" w:eastAsia="Times New Roman" w:hAnsi="Times New Roman" w:cs="Times New Roman"/>
        </w:rPr>
        <w:t xml:space="preserve">0151, </w:t>
      </w:r>
      <w:r w:rsidRPr="00197B25" w:rsidR="00440E4F">
        <w:rPr>
          <w:rFonts w:ascii="Times New Roman" w:eastAsia="Times New Roman" w:hAnsi="Times New Roman" w:cs="Times New Roman"/>
        </w:rPr>
        <w:t>3150</w:t>
      </w:r>
      <w:r w:rsidRPr="00197B25" w:rsidR="00440E4F">
        <w:rPr>
          <w:rFonts w:ascii="Times New Roman" w:eastAsia="Times New Roman" w:hAnsi="Times New Roman" w:cs="Times New Roman"/>
        </w:rPr>
        <w:noBreakHyphen/>
        <w:t>0274</w:t>
      </w:r>
      <w:r w:rsidRPr="00BE4623" w:rsidR="00440E4F">
        <w:rPr>
          <w:rFonts w:ascii="Times New Roman" w:eastAsia="Times New Roman" w:hAnsi="Times New Roman" w:cs="Times New Roman"/>
        </w:rPr>
        <w:t xml:space="preserve"> and 3150-0093</w:t>
      </w:r>
      <w:r w:rsidRPr="00BA356A">
        <w:rPr>
          <w:rFonts w:ascii="Times New Roman" w:eastAsia="Times New Roman" w:hAnsi="Times New Roman" w:cs="Times New Roman"/>
        </w:rPr>
        <w:t>, respectively. Send comments regarding this information collection to the FOIA, Library, and Information Collections Branch (T6</w:t>
      </w:r>
      <w:r w:rsidR="001F051E">
        <w:rPr>
          <w:rFonts w:ascii="Times New Roman" w:eastAsia="Times New Roman" w:hAnsi="Times New Roman" w:cs="Times New Roman"/>
        </w:rPr>
        <w:noBreakHyphen/>
      </w:r>
      <w:r w:rsidRPr="00BA356A">
        <w:rPr>
          <w:rFonts w:ascii="Times New Roman" w:eastAsia="Times New Roman" w:hAnsi="Times New Roman" w:cs="Times New Roman"/>
        </w:rPr>
        <w:t>A10M), U.S.</w:t>
      </w:r>
      <w:r w:rsidR="001F051E">
        <w:rPr>
          <w:rFonts w:ascii="Times New Roman" w:eastAsia="Times New Roman" w:hAnsi="Times New Roman" w:cs="Times New Roman"/>
        </w:rPr>
        <w:t> </w:t>
      </w:r>
      <w:r w:rsidRPr="00BA356A">
        <w:rPr>
          <w:rFonts w:ascii="Times New Roman" w:eastAsia="Times New Roman" w:hAnsi="Times New Roman" w:cs="Times New Roman"/>
        </w:rPr>
        <w:t>Nuclear Regulatory Commission, Washington,</w:t>
      </w:r>
      <w:r w:rsidR="001F051E">
        <w:rPr>
          <w:rFonts w:ascii="Times New Roman" w:eastAsia="Times New Roman" w:hAnsi="Times New Roman" w:cs="Times New Roman"/>
        </w:rPr>
        <w:t> </w:t>
      </w:r>
      <w:r w:rsidRPr="00BA356A">
        <w:rPr>
          <w:rFonts w:ascii="Times New Roman" w:eastAsia="Times New Roman" w:hAnsi="Times New Roman" w:cs="Times New Roman"/>
        </w:rPr>
        <w:t>DC 20555</w:t>
      </w:r>
      <w:r w:rsidRPr="00BA356A">
        <w:rPr>
          <w:rFonts w:ascii="Times New Roman" w:eastAsia="Times New Roman" w:hAnsi="Times New Roman" w:cs="Times New Roman"/>
        </w:rPr>
        <w:noBreakHyphen/>
        <w:t xml:space="preserve">0001, or by email to </w:t>
      </w:r>
      <w:hyperlink r:id="rId10" w:history="1">
        <w:r w:rsidRPr="00BA356A">
          <w:rPr>
            <w:rFonts w:ascii="Times New Roman" w:eastAsia="Times New Roman" w:hAnsi="Times New Roman" w:cs="Times New Roman"/>
            <w:color w:val="0000FF"/>
            <w:u w:val="single"/>
          </w:rPr>
          <w:t>Infocollects.Resource@nrc.gov</w:t>
        </w:r>
      </w:hyperlink>
      <w:r w:rsidRPr="00BA356A">
        <w:rPr>
          <w:rFonts w:ascii="Times New Roman" w:eastAsia="Times New Roman" w:hAnsi="Times New Roman" w:cs="Times New Roman"/>
        </w:rPr>
        <w:t xml:space="preserve">, and to the </w:t>
      </w:r>
      <w:r w:rsidR="00515616">
        <w:rPr>
          <w:rFonts w:ascii="Times New Roman" w:eastAsia="Times New Roman" w:hAnsi="Times New Roman" w:cs="Times New Roman"/>
        </w:rPr>
        <w:t xml:space="preserve">OMB Office of Information and </w:t>
      </w:r>
      <w:r w:rsidR="00424EE7">
        <w:rPr>
          <w:rFonts w:ascii="Times New Roman" w:eastAsia="Times New Roman" w:hAnsi="Times New Roman" w:cs="Times New Roman"/>
        </w:rPr>
        <w:t>Regulatory</w:t>
      </w:r>
      <w:r w:rsidR="00515616">
        <w:rPr>
          <w:rFonts w:ascii="Times New Roman" w:eastAsia="Times New Roman" w:hAnsi="Times New Roman" w:cs="Times New Roman"/>
        </w:rPr>
        <w:t xml:space="preserve"> Affairs,</w:t>
      </w:r>
      <w:r w:rsidR="00424EE7">
        <w:rPr>
          <w:rFonts w:ascii="Times New Roman" w:eastAsia="Times New Roman" w:hAnsi="Times New Roman" w:cs="Times New Roman"/>
        </w:rPr>
        <w:t xml:space="preserve"> </w:t>
      </w:r>
      <w:r w:rsidR="005C6DA3">
        <w:rPr>
          <w:rFonts w:ascii="Times New Roman" w:eastAsia="Times New Roman" w:hAnsi="Times New Roman" w:cs="Times New Roman"/>
        </w:rPr>
        <w:t>(</w:t>
      </w:r>
      <w:r w:rsidRPr="00BE4623" w:rsidR="00440E4F">
        <w:rPr>
          <w:rFonts w:ascii="Times New Roman" w:eastAsia="Times New Roman" w:hAnsi="Times New Roman" w:cs="Times New Roman"/>
        </w:rPr>
        <w:t>3150-0011</w:t>
      </w:r>
      <w:r w:rsidRPr="00BE4623" w:rsidR="00440E4F">
        <w:rPr>
          <w:rFonts w:ascii="Times New Roman" w:eastAsia="Times New Roman" w:hAnsi="Times New Roman" w:cs="Times New Roman"/>
        </w:rPr>
        <w:t>, 3150-</w:t>
      </w:r>
      <w:r w:rsidRPr="00BE4623" w:rsidR="00440E4F">
        <w:rPr>
          <w:rFonts w:ascii="Times New Roman" w:eastAsia="Times New Roman" w:hAnsi="Times New Roman" w:cs="Times New Roman"/>
        </w:rPr>
        <w:t xml:space="preserve">0151, </w:t>
      </w:r>
      <w:r w:rsidRPr="00197B25" w:rsidR="00440E4F">
        <w:rPr>
          <w:rFonts w:ascii="Times New Roman" w:eastAsia="Times New Roman" w:hAnsi="Times New Roman" w:cs="Times New Roman"/>
        </w:rPr>
        <w:t>3150</w:t>
      </w:r>
      <w:r w:rsidRPr="00197B25" w:rsidR="00440E4F">
        <w:rPr>
          <w:rFonts w:ascii="Times New Roman" w:eastAsia="Times New Roman" w:hAnsi="Times New Roman" w:cs="Times New Roman"/>
        </w:rPr>
        <w:noBreakHyphen/>
        <w:t>0274</w:t>
      </w:r>
      <w:r w:rsidRPr="00BE4623" w:rsidR="00440E4F">
        <w:rPr>
          <w:rFonts w:ascii="Times New Roman" w:eastAsia="Times New Roman" w:hAnsi="Times New Roman" w:cs="Times New Roman"/>
        </w:rPr>
        <w:t xml:space="preserve"> and 3150-0093</w:t>
      </w:r>
      <w:r w:rsidR="005C6DA3">
        <w:rPr>
          <w:rFonts w:ascii="Times New Roman" w:eastAsia="Times New Roman" w:hAnsi="Times New Roman" w:cs="Times New Roman"/>
        </w:rPr>
        <w:t xml:space="preserve">), </w:t>
      </w:r>
      <w:r w:rsidR="00424EE7">
        <w:rPr>
          <w:rFonts w:ascii="Times New Roman" w:eastAsia="Times New Roman" w:hAnsi="Times New Roman" w:cs="Times New Roman"/>
        </w:rPr>
        <w:t>Attn: Desk Officer for the Nuclear Regulatory Commission, 725 1</w:t>
      </w:r>
      <w:r w:rsidR="0058148C">
        <w:rPr>
          <w:rFonts w:ascii="Times New Roman" w:eastAsia="Times New Roman" w:hAnsi="Times New Roman" w:cs="Times New Roman"/>
        </w:rPr>
        <w:t>7</w:t>
      </w:r>
      <w:r w:rsidRPr="00440E4F" w:rsidR="0058148C">
        <w:rPr>
          <w:rFonts w:ascii="Times New Roman" w:eastAsia="Times New Roman" w:hAnsi="Times New Roman" w:cs="Times New Roman"/>
          <w:vertAlign w:val="superscript"/>
        </w:rPr>
        <w:t>th</w:t>
      </w:r>
      <w:r w:rsidR="00424EE7">
        <w:rPr>
          <w:rFonts w:ascii="Times New Roman" w:eastAsia="Times New Roman" w:hAnsi="Times New Roman" w:cs="Times New Roman"/>
        </w:rPr>
        <w:t xml:space="preserve"> Street, NW Washington, DC</w:t>
      </w:r>
      <w:r w:rsidR="005C6DA3">
        <w:rPr>
          <w:rFonts w:ascii="Times New Roman" w:eastAsia="Times New Roman" w:hAnsi="Times New Roman" w:cs="Times New Roman"/>
        </w:rPr>
        <w:t>,</w:t>
      </w:r>
      <w:r w:rsidR="00424EE7">
        <w:rPr>
          <w:rFonts w:ascii="Times New Roman" w:eastAsia="Times New Roman" w:hAnsi="Times New Roman" w:cs="Times New Roman"/>
        </w:rPr>
        <w:t xml:space="preserve"> 20503</w:t>
      </w:r>
      <w:r w:rsidRPr="00BA356A">
        <w:rPr>
          <w:rFonts w:ascii="Times New Roman" w:eastAsia="Times New Roman" w:hAnsi="Times New Roman" w:cs="Times New Roman"/>
        </w:rPr>
        <w:t>.</w:t>
      </w:r>
    </w:p>
    <w:p w:rsidR="00482AE3" w:rsidRPr="00352574" w:rsidP="002F3C90" w14:paraId="3E187C21" w14:textId="77777777">
      <w:pPr>
        <w:spacing w:after="0" w:line="240" w:lineRule="auto"/>
        <w:rPr>
          <w:rFonts w:ascii="Times New Roman" w:hAnsi="Times New Roman" w:cs="Times New Roman"/>
        </w:rPr>
      </w:pPr>
    </w:p>
    <w:p w:rsidR="00C97CBA" w:rsidRPr="00352574" w:rsidP="002F3C90" w14:paraId="0772CB71" w14:textId="35CA8B2E">
      <w:pPr>
        <w:pStyle w:val="Heading2"/>
        <w:spacing w:line="240" w:lineRule="auto"/>
      </w:pPr>
      <w:r w:rsidRPr="00352574">
        <w:t>Public Protection Notification</w:t>
      </w:r>
    </w:p>
    <w:p w:rsidR="00482AE3" w:rsidRPr="00352574" w:rsidP="002F3C90" w14:paraId="47FBECED" w14:textId="26BD18BD">
      <w:pPr>
        <w:spacing w:after="0" w:line="240" w:lineRule="auto"/>
        <w:rPr>
          <w:rFonts w:ascii="Times New Roman" w:hAnsi="Times New Roman" w:cs="Times New Roman"/>
        </w:rPr>
      </w:pPr>
    </w:p>
    <w:p w:rsidR="00932A43" w:rsidP="002F3C90" w14:paraId="3F400469" w14:textId="0EAA2668">
      <w:pPr>
        <w:spacing w:after="0" w:line="240" w:lineRule="auto"/>
        <w:ind w:firstLine="720"/>
        <w:rPr>
          <w:rFonts w:ascii="Times New Roman" w:hAnsi="Times New Roman" w:cs="Times New Roman"/>
        </w:rPr>
      </w:pPr>
      <w:r w:rsidRPr="00352574">
        <w:rPr>
          <w:rFonts w:ascii="Times New Roman" w:hAnsi="Times New Roman" w:cs="Times New Roman"/>
        </w:rPr>
        <w:t xml:space="preserve">The NRC may not conduct or sponsor, and a person is not required to respond </w:t>
      </w:r>
      <w:r w:rsidRPr="00352574">
        <w:rPr>
          <w:rFonts w:ascii="Times New Roman" w:hAnsi="Times New Roman" w:cs="Times New Roman"/>
        </w:rPr>
        <w:t>to,</w:t>
      </w:r>
      <w:r w:rsidRPr="00352574">
        <w:rPr>
          <w:rFonts w:ascii="Times New Roman" w:hAnsi="Times New Roman" w:cs="Times New Roman"/>
        </w:rPr>
        <w:t xml:space="preserve"> a collection of information unless the document requesting or requiring the collection displays a currently valid OMB control number.</w:t>
      </w:r>
      <w:r>
        <w:rPr>
          <w:rFonts w:ascii="Times New Roman" w:hAnsi="Times New Roman" w:cs="Times New Roman"/>
        </w:rPr>
        <w:br w:type="page"/>
      </w:r>
    </w:p>
    <w:p w:rsidR="00A2632B" w:rsidRPr="00C53546" w:rsidP="002F3C90" w14:paraId="13FB38DA" w14:textId="2FD513A8">
      <w:pPr>
        <w:pStyle w:val="Heading1"/>
        <w:spacing w:line="240" w:lineRule="auto"/>
      </w:pPr>
      <w:r w:rsidRPr="00C53546">
        <w:t xml:space="preserve">B. </w:t>
      </w:r>
      <w:r w:rsidR="00064630">
        <w:t xml:space="preserve"> </w:t>
      </w:r>
      <w:r w:rsidRPr="00C53546">
        <w:t>DISCUSSION</w:t>
      </w:r>
    </w:p>
    <w:p w:rsidR="00A2632B" w:rsidRPr="00D15BFC" w:rsidP="002F3C90" w14:paraId="21BE2980" w14:textId="77777777">
      <w:pPr>
        <w:spacing w:after="0" w:line="240" w:lineRule="auto"/>
        <w:rPr>
          <w:rFonts w:ascii="Times New Roman" w:hAnsi="Times New Roman"/>
          <w:sz w:val="28"/>
        </w:rPr>
      </w:pPr>
    </w:p>
    <w:p w:rsidR="00A2632B" w:rsidRPr="00352574" w:rsidP="002F3C90" w14:paraId="74F27860" w14:textId="174F43C0">
      <w:pPr>
        <w:pStyle w:val="Heading2"/>
        <w:spacing w:line="240" w:lineRule="auto"/>
      </w:pPr>
      <w:r w:rsidRPr="00352574">
        <w:t xml:space="preserve">Reason </w:t>
      </w:r>
      <w:r w:rsidR="004D7B93">
        <w:t>for</w:t>
      </w:r>
      <w:r w:rsidRPr="00352574" w:rsidR="004D7B93">
        <w:t xml:space="preserve"> </w:t>
      </w:r>
      <w:r w:rsidRPr="00352574">
        <w:t>Issuance</w:t>
      </w:r>
    </w:p>
    <w:p w:rsidR="00A2632B" w:rsidRPr="00352574" w:rsidP="002F3C90" w14:paraId="69308CD9" w14:textId="06985E6A">
      <w:pPr>
        <w:spacing w:after="0" w:line="240" w:lineRule="auto"/>
        <w:rPr>
          <w:rFonts w:ascii="Times New Roman" w:hAnsi="Times New Roman" w:cs="Times New Roman"/>
        </w:rPr>
      </w:pPr>
    </w:p>
    <w:p w:rsidR="00A2632B" w:rsidP="002F3C90" w14:paraId="75F231AD" w14:textId="792C2C52">
      <w:pPr>
        <w:spacing w:after="0" w:line="240" w:lineRule="auto"/>
        <w:ind w:firstLine="720"/>
        <w:rPr>
          <w:rFonts w:ascii="Times New Roman" w:hAnsi="Times New Roman" w:cs="Times New Roman"/>
        </w:rPr>
      </w:pPr>
      <w:r>
        <w:rPr>
          <w:rFonts w:ascii="Times New Roman" w:hAnsi="Times New Roman" w:cs="Times New Roman"/>
        </w:rPr>
        <w:t>The NRC is issuing t</w:t>
      </w:r>
      <w:r w:rsidRPr="00752381" w:rsidR="00752381">
        <w:rPr>
          <w:rFonts w:ascii="Times New Roman" w:hAnsi="Times New Roman" w:cs="Times New Roman"/>
        </w:rPr>
        <w:t xml:space="preserve">his </w:t>
      </w:r>
      <w:r w:rsidR="009D57DD">
        <w:rPr>
          <w:rFonts w:ascii="Times New Roman" w:hAnsi="Times New Roman" w:cs="Times New Roman"/>
        </w:rPr>
        <w:t xml:space="preserve">RG to </w:t>
      </w:r>
      <w:r w:rsidRPr="00752381" w:rsidR="00752381">
        <w:rPr>
          <w:rFonts w:ascii="Times New Roman" w:hAnsi="Times New Roman" w:cs="Times New Roman"/>
        </w:rPr>
        <w:t xml:space="preserve">provide technology-inclusive guidance for identifying </w:t>
      </w:r>
      <w:r w:rsidR="00F67317">
        <w:rPr>
          <w:rFonts w:ascii="Times New Roman" w:hAnsi="Times New Roman" w:cs="Times New Roman"/>
        </w:rPr>
        <w:t xml:space="preserve">a comprehensive set of </w:t>
      </w:r>
      <w:r w:rsidRPr="00752381" w:rsidR="00752381">
        <w:rPr>
          <w:rFonts w:ascii="Times New Roman" w:hAnsi="Times New Roman" w:cs="Times New Roman"/>
        </w:rPr>
        <w:t xml:space="preserve">licensing events without preconceptions or </w:t>
      </w:r>
      <w:r w:rsidR="00145746">
        <w:rPr>
          <w:rFonts w:ascii="Times New Roman" w:hAnsi="Times New Roman" w:cs="Times New Roman"/>
        </w:rPr>
        <w:t>reliance on</w:t>
      </w:r>
      <w:r w:rsidRPr="00752381" w:rsidR="00752381">
        <w:rPr>
          <w:rFonts w:ascii="Times New Roman" w:hAnsi="Times New Roman" w:cs="Times New Roman"/>
        </w:rPr>
        <w:t xml:space="preserve"> predefined lists (i.e.,</w:t>
      </w:r>
      <w:r w:rsidR="003E107E">
        <w:rPr>
          <w:rFonts w:ascii="Times New Roman" w:hAnsi="Times New Roman" w:cs="Times New Roman"/>
        </w:rPr>
        <w:t> </w:t>
      </w:r>
      <w:r w:rsidRPr="00752381" w:rsidR="00752381">
        <w:rPr>
          <w:rFonts w:ascii="Times New Roman" w:hAnsi="Times New Roman" w:cs="Times New Roman"/>
        </w:rPr>
        <w:t xml:space="preserve">“starting with a blank sheet of paper”) and determining an appropriate level of information for parts of </w:t>
      </w:r>
      <w:r w:rsidR="0076591E">
        <w:rPr>
          <w:rFonts w:ascii="Times New Roman" w:hAnsi="Times New Roman" w:cs="Times New Roman"/>
        </w:rPr>
        <w:t xml:space="preserve">an application, including </w:t>
      </w:r>
      <w:r w:rsidRPr="00752381" w:rsidR="00752381">
        <w:rPr>
          <w:rFonts w:ascii="Times New Roman" w:hAnsi="Times New Roman" w:cs="Times New Roman"/>
        </w:rPr>
        <w:t xml:space="preserve">preliminary or </w:t>
      </w:r>
      <w:r w:rsidR="003E107E">
        <w:rPr>
          <w:rFonts w:ascii="Times New Roman" w:hAnsi="Times New Roman" w:cs="Times New Roman"/>
        </w:rPr>
        <w:t>f</w:t>
      </w:r>
      <w:r w:rsidRPr="00752381" w:rsidR="00752381">
        <w:rPr>
          <w:rFonts w:ascii="Times New Roman" w:hAnsi="Times New Roman" w:cs="Times New Roman"/>
        </w:rPr>
        <w:t xml:space="preserve">inal </w:t>
      </w:r>
      <w:r w:rsidR="003E107E">
        <w:rPr>
          <w:rFonts w:ascii="Times New Roman" w:hAnsi="Times New Roman" w:cs="Times New Roman"/>
        </w:rPr>
        <w:t>s</w:t>
      </w:r>
      <w:r w:rsidRPr="00752381" w:rsidR="00752381">
        <w:rPr>
          <w:rFonts w:ascii="Times New Roman" w:hAnsi="Times New Roman" w:cs="Times New Roman"/>
        </w:rPr>
        <w:t xml:space="preserve">afety </w:t>
      </w:r>
      <w:r w:rsidR="003E107E">
        <w:rPr>
          <w:rFonts w:ascii="Times New Roman" w:hAnsi="Times New Roman" w:cs="Times New Roman"/>
        </w:rPr>
        <w:t>a</w:t>
      </w:r>
      <w:r w:rsidRPr="00752381" w:rsidR="00752381">
        <w:rPr>
          <w:rFonts w:ascii="Times New Roman" w:hAnsi="Times New Roman" w:cs="Times New Roman"/>
        </w:rPr>
        <w:t xml:space="preserve">nalysis </w:t>
      </w:r>
      <w:r w:rsidR="003E107E">
        <w:rPr>
          <w:rFonts w:ascii="Times New Roman" w:hAnsi="Times New Roman" w:cs="Times New Roman"/>
        </w:rPr>
        <w:t>r</w:t>
      </w:r>
      <w:r w:rsidRPr="00752381" w:rsidR="00752381">
        <w:rPr>
          <w:rFonts w:ascii="Times New Roman" w:hAnsi="Times New Roman" w:cs="Times New Roman"/>
        </w:rPr>
        <w:t xml:space="preserve">eports for commercial nuclear plants. NRC regulations require that applications for a CP, OL, DC, COL, </w:t>
      </w:r>
      <w:r w:rsidR="009767DC">
        <w:rPr>
          <w:rFonts w:ascii="Times New Roman" w:hAnsi="Times New Roman" w:cs="Times New Roman"/>
        </w:rPr>
        <w:t xml:space="preserve">SDA, </w:t>
      </w:r>
      <w:r w:rsidRPr="00752381" w:rsidR="00752381">
        <w:rPr>
          <w:rFonts w:ascii="Times New Roman" w:hAnsi="Times New Roman" w:cs="Times New Roman"/>
        </w:rPr>
        <w:t xml:space="preserve">or ML include </w:t>
      </w:r>
      <w:r w:rsidR="00C44E55">
        <w:rPr>
          <w:rFonts w:ascii="Times New Roman" w:hAnsi="Times New Roman" w:cs="Times New Roman"/>
        </w:rPr>
        <w:t>a</w:t>
      </w:r>
      <w:r w:rsidRPr="00752381" w:rsidR="00752381">
        <w:rPr>
          <w:rFonts w:ascii="Times New Roman" w:hAnsi="Times New Roman" w:cs="Times New Roman"/>
        </w:rPr>
        <w:t xml:space="preserve"> level of information sufficient to enable the Commission to reach a </w:t>
      </w:r>
      <w:r w:rsidR="00814094">
        <w:rPr>
          <w:rFonts w:ascii="Times New Roman" w:hAnsi="Times New Roman" w:cs="Times New Roman"/>
        </w:rPr>
        <w:t xml:space="preserve">safety </w:t>
      </w:r>
      <w:r w:rsidRPr="00752381" w:rsidR="00752381">
        <w:rPr>
          <w:rFonts w:ascii="Times New Roman" w:hAnsi="Times New Roman" w:cs="Times New Roman"/>
        </w:rPr>
        <w:t>conclusion before issuing a permit, license, or certification.</w:t>
      </w:r>
      <w:r w:rsidR="001E2977">
        <w:rPr>
          <w:rFonts w:ascii="Times New Roman" w:hAnsi="Times New Roman" w:cs="Times New Roman"/>
        </w:rPr>
        <w:t xml:space="preserve"> </w:t>
      </w:r>
    </w:p>
    <w:p w:rsidR="00A87BE4" w:rsidRPr="00352574" w:rsidP="002F3C90" w14:paraId="64AB0712" w14:textId="77777777">
      <w:pPr>
        <w:spacing w:after="0" w:line="240" w:lineRule="auto"/>
        <w:rPr>
          <w:rFonts w:ascii="Times New Roman" w:hAnsi="Times New Roman" w:cs="Times New Roman"/>
        </w:rPr>
      </w:pPr>
    </w:p>
    <w:p w:rsidR="00A2632B" w:rsidRPr="00352574" w:rsidP="002F3C90" w14:paraId="1500DEFB" w14:textId="06F850B4">
      <w:pPr>
        <w:pStyle w:val="Heading2"/>
        <w:spacing w:line="240" w:lineRule="auto"/>
      </w:pPr>
      <w:r w:rsidRPr="00352574">
        <w:t>Background</w:t>
      </w:r>
    </w:p>
    <w:p w:rsidR="00C35CD0" w:rsidP="002F3C90" w14:paraId="1A38B168" w14:textId="77777777">
      <w:pPr>
        <w:spacing w:after="0" w:line="240" w:lineRule="auto"/>
        <w:rPr>
          <w:rFonts w:ascii="Times New Roman" w:hAnsi="Times New Roman" w:cs="Times New Roman"/>
        </w:rPr>
      </w:pPr>
    </w:p>
    <w:p w:rsidR="00147BA6" w:rsidP="002F3C90" w14:paraId="10D32823" w14:textId="4834F517">
      <w:pPr>
        <w:spacing w:after="0" w:line="240" w:lineRule="auto"/>
        <w:ind w:firstLine="720"/>
        <w:rPr>
          <w:rFonts w:ascii="Times New Roman" w:hAnsi="Times New Roman" w:cs="Times New Roman"/>
        </w:rPr>
      </w:pPr>
      <w:r w:rsidRPr="00EC64FD">
        <w:rPr>
          <w:rFonts w:ascii="Times New Roman" w:hAnsi="Times New Roman" w:cs="Times New Roman"/>
        </w:rPr>
        <w:t xml:space="preserve">This RG provides a technology-inclusive, systematic, and comprehensive approach to identifying licensing events that may be applied to any commercial nuclear plant licensing pathway. It has been developed by considering historical licensing practices and recommendations from the Advisory Committee on Reactor Safeguards (ACRS) and </w:t>
      </w:r>
      <w:r w:rsidRPr="00EC64FD" w:rsidR="003E107E">
        <w:rPr>
          <w:rFonts w:ascii="Times New Roman" w:hAnsi="Times New Roman" w:cs="Times New Roman"/>
        </w:rPr>
        <w:t>u</w:t>
      </w:r>
      <w:r w:rsidR="003E107E">
        <w:rPr>
          <w:rFonts w:ascii="Times New Roman" w:hAnsi="Times New Roman" w:cs="Times New Roman"/>
        </w:rPr>
        <w:t>s</w:t>
      </w:r>
      <w:r w:rsidRPr="00EC64FD" w:rsidR="003E107E">
        <w:rPr>
          <w:rFonts w:ascii="Times New Roman" w:hAnsi="Times New Roman" w:cs="Times New Roman"/>
        </w:rPr>
        <w:t xml:space="preserve">es </w:t>
      </w:r>
      <w:r w:rsidRPr="00EC64FD">
        <w:rPr>
          <w:rFonts w:ascii="Times New Roman" w:hAnsi="Times New Roman" w:cs="Times New Roman"/>
        </w:rPr>
        <w:t>information and insights from risk evaluations that may be performed in support of an application for a commercial nuclear plant permit, license, certification, or approval.</w:t>
      </w:r>
      <w:r>
        <w:rPr>
          <w:rFonts w:ascii="Times New Roman" w:hAnsi="Times New Roman" w:cs="Times New Roman"/>
        </w:rPr>
        <w:t xml:space="preserve"> </w:t>
      </w:r>
      <w:r w:rsidRPr="00307707" w:rsidR="00307707">
        <w:rPr>
          <w:rFonts w:ascii="Times New Roman" w:hAnsi="Times New Roman" w:cs="Times New Roman"/>
        </w:rPr>
        <w:t>The sections</w:t>
      </w:r>
      <w:r w:rsidR="00206CFF">
        <w:rPr>
          <w:rFonts w:ascii="Times New Roman" w:hAnsi="Times New Roman" w:cs="Times New Roman"/>
        </w:rPr>
        <w:t xml:space="preserve"> below</w:t>
      </w:r>
      <w:r w:rsidRPr="00307707" w:rsidR="00307707">
        <w:rPr>
          <w:rFonts w:ascii="Times New Roman" w:hAnsi="Times New Roman" w:cs="Times New Roman"/>
        </w:rPr>
        <w:t xml:space="preserve"> </w:t>
      </w:r>
      <w:r w:rsidRPr="00307707" w:rsidR="00F95B33">
        <w:rPr>
          <w:rFonts w:ascii="Times New Roman" w:hAnsi="Times New Roman" w:cs="Times New Roman"/>
        </w:rPr>
        <w:t xml:space="preserve">discuss the </w:t>
      </w:r>
      <w:r w:rsidR="00D9427C">
        <w:rPr>
          <w:rFonts w:ascii="Times New Roman" w:hAnsi="Times New Roman" w:cs="Times New Roman"/>
        </w:rPr>
        <w:t>relation between</w:t>
      </w:r>
      <w:r w:rsidRPr="00307707" w:rsidR="00B42E07">
        <w:rPr>
          <w:rFonts w:ascii="Times New Roman" w:hAnsi="Times New Roman" w:cs="Times New Roman"/>
        </w:rPr>
        <w:t xml:space="preserve"> </w:t>
      </w:r>
      <w:r w:rsidRPr="00307707" w:rsidR="00F95B33">
        <w:rPr>
          <w:rFonts w:ascii="Times New Roman" w:hAnsi="Times New Roman" w:cs="Times New Roman"/>
        </w:rPr>
        <w:t>licensing events</w:t>
      </w:r>
      <w:r w:rsidR="00D9427C">
        <w:rPr>
          <w:rFonts w:ascii="Times New Roman" w:hAnsi="Times New Roman" w:cs="Times New Roman"/>
        </w:rPr>
        <w:t xml:space="preserve"> and</w:t>
      </w:r>
      <w:r w:rsidR="00A07E0D">
        <w:rPr>
          <w:rFonts w:ascii="Times New Roman" w:hAnsi="Times New Roman" w:cs="Times New Roman"/>
        </w:rPr>
        <w:t xml:space="preserve"> commercial nuclear plant </w:t>
      </w:r>
      <w:r w:rsidRPr="00A37DC7" w:rsidR="00A07E0D">
        <w:rPr>
          <w:rFonts w:ascii="Times New Roman" w:hAnsi="Times New Roman" w:cs="Times New Roman"/>
        </w:rPr>
        <w:t xml:space="preserve">licensing </w:t>
      </w:r>
      <w:r w:rsidR="00EC65EC">
        <w:rPr>
          <w:rFonts w:ascii="Times New Roman" w:hAnsi="Times New Roman" w:cs="Times New Roman"/>
        </w:rPr>
        <w:t>pathways</w:t>
      </w:r>
      <w:r w:rsidRPr="00A37DC7" w:rsidR="00A07E0D">
        <w:rPr>
          <w:rFonts w:ascii="Times New Roman" w:hAnsi="Times New Roman" w:cs="Times New Roman"/>
        </w:rPr>
        <w:t xml:space="preserve">, </w:t>
      </w:r>
      <w:r w:rsidRPr="00A37DC7" w:rsidR="00244EBC">
        <w:rPr>
          <w:rFonts w:ascii="Times New Roman" w:hAnsi="Times New Roman" w:cs="Times New Roman"/>
        </w:rPr>
        <w:t xml:space="preserve">review historical practices for identifying licensing events, </w:t>
      </w:r>
      <w:r w:rsidRPr="00A37DC7" w:rsidR="004E5884">
        <w:rPr>
          <w:rFonts w:ascii="Times New Roman" w:hAnsi="Times New Roman" w:cs="Times New Roman"/>
        </w:rPr>
        <w:t>and provide the staff’s perspectives.</w:t>
      </w:r>
    </w:p>
    <w:p w:rsidR="009D7312" w:rsidP="002F3C90" w14:paraId="5D70DE9B" w14:textId="3FCFDEEE">
      <w:pPr>
        <w:spacing w:after="0" w:line="240" w:lineRule="auto"/>
        <w:rPr>
          <w:rFonts w:ascii="Times New Roman" w:hAnsi="Times New Roman" w:cs="Times New Roman"/>
        </w:rPr>
      </w:pPr>
    </w:p>
    <w:p w:rsidR="005603CD" w:rsidRPr="009C5AC8" w:rsidP="002F3C90" w14:paraId="19745EB7" w14:textId="77777777">
      <w:pPr>
        <w:spacing w:after="0" w:line="240" w:lineRule="auto"/>
        <w:rPr>
          <w:rFonts w:ascii="Times New Roman" w:hAnsi="Times New Roman" w:cs="Times New Roman"/>
          <w:u w:val="single"/>
        </w:rPr>
      </w:pPr>
      <w:r>
        <w:rPr>
          <w:rFonts w:ascii="Times New Roman" w:hAnsi="Times New Roman" w:cs="Times New Roman"/>
          <w:u w:val="single"/>
        </w:rPr>
        <w:t xml:space="preserve">The Relation Between </w:t>
      </w:r>
      <w:r>
        <w:rPr>
          <w:rFonts w:ascii="Times New Roman" w:hAnsi="Times New Roman" w:cs="Times New Roman"/>
          <w:u w:val="single"/>
        </w:rPr>
        <w:t>Licensing Event</w:t>
      </w:r>
      <w:r>
        <w:rPr>
          <w:rFonts w:ascii="Times New Roman" w:hAnsi="Times New Roman" w:cs="Times New Roman"/>
          <w:u w:val="single"/>
        </w:rPr>
        <w:t>s and Licensing Pathways</w:t>
      </w:r>
    </w:p>
    <w:p w:rsidR="004E5F78" w:rsidP="002F3C90" w14:paraId="55D3B93D" w14:textId="77777777">
      <w:pPr>
        <w:spacing w:after="0" w:line="240" w:lineRule="auto"/>
        <w:rPr>
          <w:rFonts w:ascii="Times New Roman" w:hAnsi="Times New Roman" w:cs="Times New Roman"/>
        </w:rPr>
      </w:pPr>
    </w:p>
    <w:p w:rsidR="00915196" w:rsidP="002F3C90" w14:paraId="27B0B62C" w14:textId="309010F7">
      <w:pPr>
        <w:spacing w:after="0" w:line="240" w:lineRule="auto"/>
        <w:ind w:firstLine="720"/>
        <w:rPr>
          <w:rFonts w:ascii="Times New Roman" w:hAnsi="Times New Roman" w:cs="Times New Roman"/>
        </w:rPr>
      </w:pPr>
      <w:r>
        <w:rPr>
          <w:rFonts w:ascii="Times New Roman" w:hAnsi="Times New Roman" w:cs="Times New Roman"/>
        </w:rPr>
        <w:t xml:space="preserve">For ease of reference, </w:t>
      </w:r>
      <w:r w:rsidRPr="007D2B11" w:rsidR="006B344D">
        <w:rPr>
          <w:rFonts w:ascii="Times New Roman" w:hAnsi="Times New Roman" w:cs="Times New Roman"/>
        </w:rPr>
        <w:t xml:space="preserve">this </w:t>
      </w:r>
      <w:r w:rsidR="00D55263">
        <w:rPr>
          <w:rFonts w:ascii="Times New Roman" w:hAnsi="Times New Roman" w:cs="Times New Roman"/>
        </w:rPr>
        <w:t>R</w:t>
      </w:r>
      <w:r w:rsidRPr="00135190" w:rsidR="00636E9A">
        <w:rPr>
          <w:rFonts w:ascii="Times New Roman" w:hAnsi="Times New Roman" w:cs="Times New Roman"/>
        </w:rPr>
        <w:t>G</w:t>
      </w:r>
      <w:r w:rsidRPr="00893F17" w:rsidR="006B344D">
        <w:rPr>
          <w:rFonts w:ascii="Times New Roman" w:hAnsi="Times New Roman" w:cs="Times New Roman"/>
        </w:rPr>
        <w:t xml:space="preserve"> </w:t>
      </w:r>
      <w:r>
        <w:rPr>
          <w:rFonts w:ascii="Times New Roman" w:hAnsi="Times New Roman" w:cs="Times New Roman"/>
        </w:rPr>
        <w:t xml:space="preserve">uses </w:t>
      </w:r>
      <w:r w:rsidRPr="00893F17" w:rsidR="006B344D">
        <w:rPr>
          <w:rFonts w:ascii="Times New Roman" w:hAnsi="Times New Roman" w:cs="Times New Roman"/>
        </w:rPr>
        <w:t>the term “licensing event</w:t>
      </w:r>
      <w:r w:rsidR="000F3BF5">
        <w:rPr>
          <w:rFonts w:ascii="Times New Roman" w:hAnsi="Times New Roman" w:cs="Times New Roman"/>
        </w:rPr>
        <w:t>s</w:t>
      </w:r>
      <w:r w:rsidRPr="00893F17" w:rsidR="006B344D">
        <w:rPr>
          <w:rFonts w:ascii="Times New Roman" w:hAnsi="Times New Roman" w:cs="Times New Roman"/>
        </w:rPr>
        <w:t xml:space="preserve">” in a generic sense to refer </w:t>
      </w:r>
      <w:r w:rsidRPr="00893F17" w:rsidR="00724C10">
        <w:rPr>
          <w:rFonts w:ascii="Times New Roman" w:hAnsi="Times New Roman" w:cs="Times New Roman"/>
        </w:rPr>
        <w:t>to</w:t>
      </w:r>
      <w:r w:rsidRPr="00893F17" w:rsidR="009668A9">
        <w:rPr>
          <w:rFonts w:ascii="Times New Roman" w:hAnsi="Times New Roman" w:cs="Times New Roman"/>
        </w:rPr>
        <w:t xml:space="preserve"> </w:t>
      </w:r>
      <w:r w:rsidRPr="00893F17" w:rsidR="009668A9">
        <w:rPr>
          <w:rStyle w:val="normaltextrun"/>
          <w:rFonts w:ascii="Times New Roman" w:hAnsi="Times New Roman" w:cs="Times New Roman"/>
          <w:color w:val="000000"/>
          <w:shd w:val="clear" w:color="auto" w:fill="FFFFFF"/>
        </w:rPr>
        <w:t xml:space="preserve">collections of designated event </w:t>
      </w:r>
      <w:r w:rsidRPr="00893F17" w:rsidR="009668A9">
        <w:rPr>
          <w:rFonts w:ascii="Times New Roman" w:hAnsi="Times New Roman" w:cs="Times New Roman"/>
        </w:rPr>
        <w:t>categories</w:t>
      </w:r>
      <w:r w:rsidR="003E107E">
        <w:rPr>
          <w:rFonts w:ascii="Times New Roman" w:hAnsi="Times New Roman" w:cs="Times New Roman"/>
        </w:rPr>
        <w:t>,</w:t>
      </w:r>
      <w:r w:rsidRPr="00893F17" w:rsidR="009668A9">
        <w:rPr>
          <w:rFonts w:ascii="Times New Roman" w:hAnsi="Times New Roman" w:cs="Times New Roman"/>
        </w:rPr>
        <w:t xml:space="preserve"> such as AOOs, DBAs, design</w:t>
      </w:r>
      <w:r w:rsidR="000E6BEE">
        <w:rPr>
          <w:rFonts w:ascii="Times New Roman" w:hAnsi="Times New Roman" w:cs="Times New Roman"/>
        </w:rPr>
        <w:t>-</w:t>
      </w:r>
      <w:r w:rsidRPr="00893F17" w:rsidR="00923630">
        <w:rPr>
          <w:rFonts w:ascii="Times New Roman" w:hAnsi="Times New Roman" w:cs="Times New Roman"/>
        </w:rPr>
        <w:t>basis</w:t>
      </w:r>
      <w:r w:rsidRPr="00893F17" w:rsidR="009668A9">
        <w:rPr>
          <w:rFonts w:ascii="Times New Roman" w:hAnsi="Times New Roman" w:cs="Times New Roman"/>
        </w:rPr>
        <w:t xml:space="preserve"> events (DBEs), beyond</w:t>
      </w:r>
      <w:r w:rsidR="00EF7CE2">
        <w:rPr>
          <w:rFonts w:ascii="Times New Roman" w:hAnsi="Times New Roman" w:cs="Times New Roman"/>
        </w:rPr>
        <w:noBreakHyphen/>
      </w:r>
      <w:r w:rsidRPr="00893F17" w:rsidR="002373CA">
        <w:rPr>
          <w:rFonts w:ascii="Times New Roman" w:hAnsi="Times New Roman" w:cs="Times New Roman"/>
        </w:rPr>
        <w:t>design</w:t>
      </w:r>
      <w:r w:rsidR="000E6BEE">
        <w:rPr>
          <w:rFonts w:ascii="Times New Roman" w:hAnsi="Times New Roman" w:cs="Times New Roman"/>
        </w:rPr>
        <w:t>-</w:t>
      </w:r>
      <w:r w:rsidRPr="00893F17" w:rsidR="002373CA">
        <w:rPr>
          <w:rFonts w:ascii="Times New Roman" w:hAnsi="Times New Roman" w:cs="Times New Roman"/>
        </w:rPr>
        <w:t>basis</w:t>
      </w:r>
      <w:r w:rsidRPr="00893F17" w:rsidR="009668A9">
        <w:rPr>
          <w:rFonts w:ascii="Times New Roman" w:hAnsi="Times New Roman" w:cs="Times New Roman"/>
        </w:rPr>
        <w:t xml:space="preserve"> events (BDBEs), and postulated accidents.</w:t>
      </w:r>
      <w:r w:rsidRPr="00893F17" w:rsidR="00E111DD">
        <w:rPr>
          <w:rFonts w:ascii="Times New Roman" w:hAnsi="Times New Roman" w:cs="Times New Roman"/>
        </w:rPr>
        <w:t xml:space="preserve"> </w:t>
      </w:r>
      <w:r w:rsidRPr="00893F17" w:rsidR="006B344D">
        <w:rPr>
          <w:rFonts w:ascii="Times New Roman" w:hAnsi="Times New Roman" w:cs="Times New Roman"/>
        </w:rPr>
        <w:t>Th</w:t>
      </w:r>
      <w:r w:rsidR="00821E29">
        <w:rPr>
          <w:rFonts w:ascii="Times New Roman" w:hAnsi="Times New Roman" w:cs="Times New Roman"/>
        </w:rPr>
        <w:t>e</w:t>
      </w:r>
      <w:r w:rsidRPr="00893F17" w:rsidR="006B344D">
        <w:rPr>
          <w:rFonts w:ascii="Times New Roman" w:hAnsi="Times New Roman" w:cs="Times New Roman"/>
        </w:rPr>
        <w:t xml:space="preserve"> term </w:t>
      </w:r>
      <w:r w:rsidR="00821E29">
        <w:rPr>
          <w:rFonts w:ascii="Times New Roman" w:hAnsi="Times New Roman" w:cs="Times New Roman"/>
        </w:rPr>
        <w:t xml:space="preserve">“licensing event” </w:t>
      </w:r>
      <w:r w:rsidRPr="00893F17" w:rsidR="006B344D">
        <w:rPr>
          <w:rFonts w:ascii="Times New Roman" w:hAnsi="Times New Roman" w:cs="Times New Roman"/>
        </w:rPr>
        <w:t xml:space="preserve">does not appear, per se, in NRC regulations; however, various designated </w:t>
      </w:r>
      <w:r w:rsidRPr="00893F17" w:rsidR="00A25CDE">
        <w:rPr>
          <w:rFonts w:ascii="Times New Roman" w:hAnsi="Times New Roman" w:cs="Times New Roman"/>
        </w:rPr>
        <w:t xml:space="preserve">licensing </w:t>
      </w:r>
      <w:r w:rsidRPr="00893F17" w:rsidR="006B344D">
        <w:rPr>
          <w:rFonts w:ascii="Times New Roman" w:hAnsi="Times New Roman" w:cs="Times New Roman"/>
        </w:rPr>
        <w:t>event categories are identified in 10</w:t>
      </w:r>
      <w:r w:rsidR="001C77AD">
        <w:rPr>
          <w:rFonts w:ascii="Times New Roman" w:hAnsi="Times New Roman" w:cs="Times New Roman"/>
        </w:rPr>
        <w:t> </w:t>
      </w:r>
      <w:r w:rsidRPr="00893F17" w:rsidR="006B344D">
        <w:rPr>
          <w:rFonts w:ascii="Times New Roman" w:hAnsi="Times New Roman" w:cs="Times New Roman"/>
        </w:rPr>
        <w:t>CFR</w:t>
      </w:r>
      <w:r w:rsidR="001C77AD">
        <w:rPr>
          <w:rFonts w:ascii="Times New Roman" w:hAnsi="Times New Roman" w:cs="Times New Roman"/>
        </w:rPr>
        <w:t> </w:t>
      </w:r>
      <w:r w:rsidRPr="00893F17" w:rsidR="006B344D">
        <w:rPr>
          <w:rFonts w:ascii="Times New Roman" w:hAnsi="Times New Roman" w:cs="Times New Roman"/>
        </w:rPr>
        <w:t>Part</w:t>
      </w:r>
      <w:r w:rsidR="001C77AD">
        <w:rPr>
          <w:rFonts w:ascii="Times New Roman" w:hAnsi="Times New Roman" w:cs="Times New Roman"/>
        </w:rPr>
        <w:t> </w:t>
      </w:r>
      <w:r w:rsidRPr="00893F17" w:rsidR="006B344D">
        <w:rPr>
          <w:rFonts w:ascii="Times New Roman" w:hAnsi="Times New Roman" w:cs="Times New Roman"/>
        </w:rPr>
        <w:t xml:space="preserve">50, </w:t>
      </w:r>
      <w:r w:rsidR="00584A8F">
        <w:rPr>
          <w:rFonts w:ascii="Times New Roman" w:hAnsi="Times New Roman" w:cs="Times New Roman"/>
        </w:rPr>
        <w:t>10 CFR Part </w:t>
      </w:r>
      <w:r w:rsidRPr="00893F17" w:rsidR="006B344D">
        <w:rPr>
          <w:rFonts w:ascii="Times New Roman" w:hAnsi="Times New Roman" w:cs="Times New Roman"/>
        </w:rPr>
        <w:t>52, and</w:t>
      </w:r>
      <w:r w:rsidR="00584A8F">
        <w:rPr>
          <w:rFonts w:ascii="Times New Roman" w:hAnsi="Times New Roman" w:cs="Times New Roman"/>
        </w:rPr>
        <w:t xml:space="preserve"> 10 CFR Part </w:t>
      </w:r>
      <w:r w:rsidRPr="00893F17" w:rsidR="006B344D">
        <w:rPr>
          <w:rFonts w:ascii="Times New Roman" w:hAnsi="Times New Roman" w:cs="Times New Roman"/>
        </w:rPr>
        <w:t>53</w:t>
      </w:r>
      <w:r w:rsidR="00854F40">
        <w:rPr>
          <w:rFonts w:ascii="Times New Roman" w:hAnsi="Times New Roman" w:cs="Times New Roman"/>
        </w:rPr>
        <w:t>;</w:t>
      </w:r>
      <w:r w:rsidRPr="00893F17" w:rsidR="006B344D">
        <w:rPr>
          <w:rFonts w:ascii="Times New Roman" w:hAnsi="Times New Roman" w:cs="Times New Roman"/>
        </w:rPr>
        <w:t xml:space="preserve"> regulatory guidance</w:t>
      </w:r>
      <w:r w:rsidR="00854F40">
        <w:rPr>
          <w:rFonts w:ascii="Times New Roman" w:hAnsi="Times New Roman" w:cs="Times New Roman"/>
        </w:rPr>
        <w:t>;</w:t>
      </w:r>
      <w:r w:rsidRPr="00893F17" w:rsidR="006B344D">
        <w:rPr>
          <w:rFonts w:ascii="Times New Roman" w:hAnsi="Times New Roman" w:cs="Times New Roman"/>
        </w:rPr>
        <w:t xml:space="preserve"> and </w:t>
      </w:r>
      <w:r w:rsidR="00854F40">
        <w:rPr>
          <w:rFonts w:ascii="Times New Roman" w:hAnsi="Times New Roman" w:cs="Times New Roman"/>
        </w:rPr>
        <w:t xml:space="preserve">the </w:t>
      </w:r>
      <w:r w:rsidRPr="00893F17" w:rsidR="006B344D">
        <w:rPr>
          <w:rFonts w:ascii="Times New Roman" w:hAnsi="Times New Roman" w:cs="Times New Roman"/>
        </w:rPr>
        <w:t xml:space="preserve">NRC </w:t>
      </w:r>
      <w:r w:rsidR="002F4B1B">
        <w:rPr>
          <w:rFonts w:ascii="Times New Roman" w:hAnsi="Times New Roman" w:cs="Times New Roman"/>
        </w:rPr>
        <w:t>SRP</w:t>
      </w:r>
      <w:r w:rsidR="00FC4C43">
        <w:rPr>
          <w:rFonts w:ascii="Times New Roman" w:hAnsi="Times New Roman" w:cs="Times New Roman"/>
        </w:rPr>
        <w:t xml:space="preserve"> for LWRs</w:t>
      </w:r>
      <w:r w:rsidRPr="00893F17" w:rsidR="004407FF">
        <w:rPr>
          <w:rFonts w:ascii="Times New Roman" w:hAnsi="Times New Roman" w:cs="Times New Roman"/>
        </w:rPr>
        <w:t>.</w:t>
      </w:r>
      <w:r>
        <w:rPr>
          <w:rFonts w:ascii="Times New Roman" w:hAnsi="Times New Roman" w:cs="Times New Roman"/>
        </w:rPr>
        <w:t xml:space="preserve"> </w:t>
      </w:r>
    </w:p>
    <w:p w:rsidR="00915196" w:rsidP="002F3C90" w14:paraId="756EBF99" w14:textId="77777777">
      <w:pPr>
        <w:spacing w:after="0" w:line="240" w:lineRule="auto"/>
        <w:ind w:firstLine="720"/>
        <w:rPr>
          <w:rFonts w:ascii="Times New Roman" w:hAnsi="Times New Roman" w:cs="Times New Roman"/>
        </w:rPr>
      </w:pPr>
    </w:p>
    <w:p w:rsidR="00915196" w:rsidRPr="00F15C7B" w:rsidP="002F3C90" w14:paraId="35E73319" w14:textId="3C7358ED">
      <w:pPr>
        <w:spacing w:after="0" w:line="240" w:lineRule="auto"/>
        <w:ind w:firstLine="720"/>
        <w:rPr>
          <w:rFonts w:ascii="Times New Roman" w:hAnsi="Times New Roman" w:cs="Times New Roman"/>
        </w:rPr>
      </w:pPr>
      <w:r w:rsidRPr="00F15C7B">
        <w:rPr>
          <w:rFonts w:ascii="Times New Roman" w:hAnsi="Times New Roman" w:cs="Times New Roman"/>
        </w:rPr>
        <w:t>The identification of a comprehensive set of licensing events is fundamental to the safe design of commercial nuclear plants. Specifically, the safety of a commercial nuclear plant is shown by analyses of the response</w:t>
      </w:r>
      <w:r>
        <w:rPr>
          <w:rFonts w:ascii="Times New Roman" w:hAnsi="Times New Roman" w:cs="Times New Roman"/>
        </w:rPr>
        <w:t>s</w:t>
      </w:r>
      <w:r w:rsidRPr="00F15C7B">
        <w:rPr>
          <w:rFonts w:ascii="Times New Roman" w:hAnsi="Times New Roman" w:cs="Times New Roman"/>
        </w:rPr>
        <w:t xml:space="preserve"> of the plant to licensing events, which include postulated disturbances in process variables and postulated malfunctions or failures of equipment. The results of such safety analyses are used to (1)</w:t>
      </w:r>
      <w:r w:rsidR="001C77AD">
        <w:rPr>
          <w:rFonts w:ascii="Times New Roman" w:hAnsi="Times New Roman" w:cs="Times New Roman"/>
        </w:rPr>
        <w:t> </w:t>
      </w:r>
      <w:r w:rsidRPr="00F15C7B">
        <w:rPr>
          <w:rFonts w:ascii="Times New Roman" w:hAnsi="Times New Roman" w:cs="Times New Roman"/>
        </w:rPr>
        <w:t xml:space="preserve">demonstrate compliance with NRC regulations or justify </w:t>
      </w:r>
      <w:r>
        <w:rPr>
          <w:rFonts w:ascii="Times New Roman" w:hAnsi="Times New Roman" w:cs="Times New Roman"/>
        </w:rPr>
        <w:t xml:space="preserve">requested </w:t>
      </w:r>
      <w:r w:rsidRPr="00F15C7B">
        <w:rPr>
          <w:rFonts w:ascii="Times New Roman" w:hAnsi="Times New Roman" w:cs="Times New Roman"/>
        </w:rPr>
        <w:t>exemptions from specific NRC regulations</w:t>
      </w:r>
      <w:r w:rsidR="001C77AD">
        <w:rPr>
          <w:rFonts w:ascii="Times New Roman" w:hAnsi="Times New Roman" w:cs="Times New Roman"/>
        </w:rPr>
        <w:t>,</w:t>
      </w:r>
      <w:r w:rsidRPr="00F15C7B">
        <w:rPr>
          <w:rFonts w:ascii="Times New Roman" w:hAnsi="Times New Roman" w:cs="Times New Roman"/>
        </w:rPr>
        <w:t xml:space="preserve"> (2)</w:t>
      </w:r>
      <w:r w:rsidR="001C77AD">
        <w:rPr>
          <w:rFonts w:ascii="Times New Roman" w:hAnsi="Times New Roman" w:cs="Times New Roman"/>
        </w:rPr>
        <w:t> </w:t>
      </w:r>
      <w:r w:rsidRPr="00F15C7B">
        <w:rPr>
          <w:rFonts w:ascii="Times New Roman" w:hAnsi="Times New Roman" w:cs="Times New Roman"/>
        </w:rPr>
        <w:t xml:space="preserve">inform the selection of limiting conditions for operation, limiting safety system settings, and design specifications for </w:t>
      </w:r>
      <w:r>
        <w:rPr>
          <w:rFonts w:ascii="Times New Roman" w:hAnsi="Times New Roman" w:cs="Times New Roman"/>
        </w:rPr>
        <w:t>SSCs</w:t>
      </w:r>
      <w:r w:rsidRPr="00F15C7B">
        <w:rPr>
          <w:rFonts w:ascii="Times New Roman" w:hAnsi="Times New Roman" w:cs="Times New Roman"/>
        </w:rPr>
        <w:t xml:space="preserve"> to protect public health and safety</w:t>
      </w:r>
      <w:r w:rsidR="001C77AD">
        <w:rPr>
          <w:rFonts w:ascii="Times New Roman" w:hAnsi="Times New Roman" w:cs="Times New Roman"/>
        </w:rPr>
        <w:t>,</w:t>
      </w:r>
      <w:r w:rsidRPr="00F15C7B">
        <w:rPr>
          <w:rFonts w:ascii="Times New Roman" w:hAnsi="Times New Roman" w:cs="Times New Roman"/>
        </w:rPr>
        <w:t xml:space="preserve"> and (3)</w:t>
      </w:r>
      <w:r w:rsidR="001C77AD">
        <w:rPr>
          <w:rFonts w:ascii="Times New Roman" w:hAnsi="Times New Roman" w:cs="Times New Roman"/>
        </w:rPr>
        <w:t> </w:t>
      </w:r>
      <w:r w:rsidRPr="00F15C7B">
        <w:rPr>
          <w:rFonts w:ascii="Times New Roman" w:hAnsi="Times New Roman" w:cs="Times New Roman"/>
        </w:rPr>
        <w:t xml:space="preserve">identify the appropriate scope and depth of information that commercial nuclear plant designers and applicants should provide in applications for permits, licenses, certifications, and approvals. Accordingly, it is essential to identify a comprehensive set of licensing events that </w:t>
      </w:r>
      <w:r w:rsidRPr="00F15C7B">
        <w:rPr>
          <w:rFonts w:ascii="Times New Roman" w:hAnsi="Times New Roman" w:cs="Times New Roman"/>
        </w:rPr>
        <w:t>considers</w:t>
      </w:r>
      <w:r w:rsidRPr="00F15C7B">
        <w:rPr>
          <w:rFonts w:ascii="Times New Roman" w:hAnsi="Times New Roman" w:cs="Times New Roman"/>
        </w:rPr>
        <w:t xml:space="preserve"> all radiological sources at the plant, all internal and external hazards, and all plant operating</w:t>
      </w:r>
      <w:r>
        <w:rPr>
          <w:rFonts w:ascii="Times New Roman" w:hAnsi="Times New Roman" w:cs="Times New Roman"/>
        </w:rPr>
        <w:t xml:space="preserve"> states</w:t>
      </w:r>
      <w:r w:rsidRPr="00F15C7B">
        <w:rPr>
          <w:rFonts w:ascii="Times New Roman" w:hAnsi="Times New Roman" w:cs="Times New Roman"/>
        </w:rPr>
        <w:t>.</w:t>
      </w:r>
    </w:p>
    <w:p w:rsidR="00ED3582" w:rsidRPr="005F2B1E" w:rsidP="002F3C90" w14:paraId="24B208AF" w14:textId="5D03FAAA">
      <w:pPr>
        <w:spacing w:after="0" w:line="240" w:lineRule="auto"/>
        <w:rPr>
          <w:rFonts w:ascii="Times New Roman" w:hAnsi="Times New Roman" w:cs="Times New Roman"/>
        </w:rPr>
      </w:pPr>
    </w:p>
    <w:p w:rsidR="000123B0" w:rsidP="002F3C90" w14:paraId="2E02ED9F" w14:textId="015DE8C9">
      <w:pPr>
        <w:spacing w:after="0" w:line="240" w:lineRule="auto"/>
        <w:ind w:firstLine="720"/>
        <w:rPr>
          <w:rFonts w:ascii="Times New Roman" w:hAnsi="Times New Roman" w:cs="Times New Roman"/>
        </w:rPr>
      </w:pPr>
      <w:r>
        <w:rPr>
          <w:rFonts w:ascii="Times New Roman" w:hAnsi="Times New Roman" w:cs="Times New Roman"/>
        </w:rPr>
        <w:t xml:space="preserve">NRC regulations provide a variety of </w:t>
      </w:r>
      <w:r w:rsidR="00EE083D">
        <w:rPr>
          <w:rFonts w:ascii="Times New Roman" w:hAnsi="Times New Roman" w:cs="Times New Roman"/>
        </w:rPr>
        <w:t xml:space="preserve">regulatory </w:t>
      </w:r>
      <w:r>
        <w:rPr>
          <w:rFonts w:ascii="Times New Roman" w:hAnsi="Times New Roman" w:cs="Times New Roman"/>
        </w:rPr>
        <w:t>frameworks for commercial nuclear plant</w:t>
      </w:r>
      <w:r w:rsidR="002367B0">
        <w:rPr>
          <w:rFonts w:ascii="Times New Roman" w:hAnsi="Times New Roman" w:cs="Times New Roman"/>
        </w:rPr>
        <w:t xml:space="preserve"> licensing, thus giving desi</w:t>
      </w:r>
      <w:r w:rsidR="004321F7">
        <w:rPr>
          <w:rFonts w:ascii="Times New Roman" w:hAnsi="Times New Roman" w:cs="Times New Roman"/>
        </w:rPr>
        <w:t>gn</w:t>
      </w:r>
      <w:r w:rsidR="002367B0">
        <w:rPr>
          <w:rFonts w:ascii="Times New Roman" w:hAnsi="Times New Roman" w:cs="Times New Roman"/>
        </w:rPr>
        <w:t>ers and applicants considerable flexibility while also ensuring an acceptable</w:t>
      </w:r>
      <w:r w:rsidR="00E92947">
        <w:rPr>
          <w:rFonts w:ascii="Times New Roman" w:hAnsi="Times New Roman" w:cs="Times New Roman"/>
        </w:rPr>
        <w:t xml:space="preserve"> level of safety. </w:t>
      </w:r>
      <w:r w:rsidR="001A5475">
        <w:rPr>
          <w:rFonts w:ascii="Times New Roman" w:hAnsi="Times New Roman" w:cs="Times New Roman"/>
        </w:rPr>
        <w:t xml:space="preserve">The choices made by </w:t>
      </w:r>
      <w:r w:rsidR="00E92947">
        <w:rPr>
          <w:rFonts w:ascii="Times New Roman" w:hAnsi="Times New Roman" w:cs="Times New Roman"/>
        </w:rPr>
        <w:t>designer</w:t>
      </w:r>
      <w:r w:rsidR="001A5475">
        <w:rPr>
          <w:rFonts w:ascii="Times New Roman" w:hAnsi="Times New Roman" w:cs="Times New Roman"/>
        </w:rPr>
        <w:t>s</w:t>
      </w:r>
      <w:r w:rsidR="00E92947">
        <w:rPr>
          <w:rFonts w:ascii="Times New Roman" w:hAnsi="Times New Roman" w:cs="Times New Roman"/>
        </w:rPr>
        <w:t xml:space="preserve"> and applicant</w:t>
      </w:r>
      <w:r w:rsidR="001A5475">
        <w:rPr>
          <w:rFonts w:ascii="Times New Roman" w:hAnsi="Times New Roman" w:cs="Times New Roman"/>
        </w:rPr>
        <w:t>s</w:t>
      </w:r>
      <w:r w:rsidR="005B03FB">
        <w:rPr>
          <w:rFonts w:ascii="Times New Roman" w:hAnsi="Times New Roman" w:cs="Times New Roman"/>
        </w:rPr>
        <w:t xml:space="preserve"> have </w:t>
      </w:r>
      <w:r w:rsidR="004321F7">
        <w:rPr>
          <w:rFonts w:ascii="Times New Roman" w:hAnsi="Times New Roman" w:cs="Times New Roman"/>
        </w:rPr>
        <w:t xml:space="preserve">implications concerning </w:t>
      </w:r>
      <w:r w:rsidR="00FE627D">
        <w:rPr>
          <w:rFonts w:ascii="Times New Roman" w:hAnsi="Times New Roman" w:cs="Times New Roman"/>
        </w:rPr>
        <w:t>the approach used to identify licensing events</w:t>
      </w:r>
      <w:r w:rsidR="00990E8B">
        <w:rPr>
          <w:rFonts w:ascii="Times New Roman" w:hAnsi="Times New Roman" w:cs="Times New Roman"/>
        </w:rPr>
        <w:t>,</w:t>
      </w:r>
      <w:r w:rsidR="00F442A4">
        <w:rPr>
          <w:rFonts w:ascii="Times New Roman" w:hAnsi="Times New Roman" w:cs="Times New Roman"/>
        </w:rPr>
        <w:t xml:space="preserve"> as summarized in Table</w:t>
      </w:r>
      <w:r w:rsidR="00990E8B">
        <w:rPr>
          <w:rFonts w:ascii="Times New Roman" w:hAnsi="Times New Roman" w:cs="Times New Roman"/>
        </w:rPr>
        <w:t> </w:t>
      </w:r>
      <w:r w:rsidR="00F442A4">
        <w:rPr>
          <w:rFonts w:ascii="Times New Roman" w:hAnsi="Times New Roman" w:cs="Times New Roman"/>
        </w:rPr>
        <w:t>1</w:t>
      </w:r>
      <w:r w:rsidR="00BF1BD3">
        <w:rPr>
          <w:rFonts w:ascii="Times New Roman" w:hAnsi="Times New Roman" w:cs="Times New Roman"/>
        </w:rPr>
        <w:t xml:space="preserve">. </w:t>
      </w:r>
    </w:p>
    <w:tbl>
      <w:tblPr>
        <w:tblStyle w:val="TableGrid"/>
        <w:tblW w:w="9525" w:type="dxa"/>
        <w:tblInd w:w="10" w:type="dxa"/>
        <w:tblLook w:val="04A0"/>
      </w:tblPr>
      <w:tblGrid>
        <w:gridCol w:w="2399"/>
        <w:gridCol w:w="1281"/>
        <w:gridCol w:w="925"/>
        <w:gridCol w:w="2945"/>
        <w:gridCol w:w="1975"/>
      </w:tblGrid>
      <w:tr w14:paraId="1A629719" w14:textId="77777777" w:rsidTr="00D15BFC">
        <w:tblPrEx>
          <w:tblW w:w="9525" w:type="dxa"/>
          <w:tblInd w:w="10" w:type="dxa"/>
          <w:tblLook w:val="04A0"/>
        </w:tblPrEx>
        <w:trPr>
          <w:cantSplit/>
          <w:tblHeader/>
        </w:trPr>
        <w:tc>
          <w:tcPr>
            <w:tcW w:w="9525" w:type="dxa"/>
            <w:gridSpan w:val="5"/>
            <w:tcBorders>
              <w:top w:val="nil"/>
              <w:left w:val="nil"/>
              <w:bottom w:val="single" w:sz="12" w:space="0" w:color="auto"/>
              <w:right w:val="nil"/>
            </w:tcBorders>
            <w:vAlign w:val="bottom"/>
          </w:tcPr>
          <w:p w:rsidR="000E45BE" w:rsidRPr="00E31530" w:rsidP="002F3C90" w14:paraId="6242C842" w14:textId="76462D8C">
            <w:pPr>
              <w:jc w:val="center"/>
              <w:rPr>
                <w:rFonts w:ascii="Times New Roman" w:hAnsi="Times New Roman" w:cs="Times New Roman"/>
                <w:b/>
                <w:bCs/>
              </w:rPr>
            </w:pPr>
            <w:r>
              <w:rPr>
                <w:rFonts w:ascii="Times New Roman" w:hAnsi="Times New Roman" w:cs="Times New Roman"/>
                <w:b/>
                <w:bCs/>
              </w:rPr>
              <w:t>Table 1. Licensing Pathways and Licensing Events</w:t>
            </w:r>
          </w:p>
        </w:tc>
      </w:tr>
      <w:tr w14:paraId="3D4F3BAC" w14:textId="77777777" w:rsidTr="009C34D8">
        <w:tblPrEx>
          <w:tblW w:w="9525" w:type="dxa"/>
          <w:tblInd w:w="10" w:type="dxa"/>
          <w:tblLook w:val="04A0"/>
        </w:tblPrEx>
        <w:trPr>
          <w:cantSplit/>
          <w:tblHeader/>
        </w:trPr>
        <w:tc>
          <w:tcPr>
            <w:tcW w:w="2399" w:type="dxa"/>
            <w:tcBorders>
              <w:top w:val="single" w:sz="12" w:space="0" w:color="auto"/>
              <w:left w:val="single" w:sz="12" w:space="0" w:color="auto"/>
              <w:bottom w:val="single" w:sz="12" w:space="0" w:color="auto"/>
            </w:tcBorders>
            <w:vAlign w:val="bottom"/>
          </w:tcPr>
          <w:p w:rsidR="000E45BE" w:rsidRPr="00E31530" w:rsidP="002F3C90" w14:paraId="00E6D9D5" w14:textId="583591EF">
            <w:pPr>
              <w:jc w:val="center"/>
              <w:rPr>
                <w:rFonts w:ascii="Times New Roman" w:hAnsi="Times New Roman" w:cs="Times New Roman"/>
                <w:b/>
                <w:bCs/>
              </w:rPr>
            </w:pPr>
            <w:r>
              <w:rPr>
                <w:rFonts w:ascii="Times New Roman" w:hAnsi="Times New Roman" w:cs="Times New Roman"/>
                <w:b/>
                <w:bCs/>
              </w:rPr>
              <w:t>Regulation and Application Type</w:t>
            </w:r>
          </w:p>
        </w:tc>
        <w:tc>
          <w:tcPr>
            <w:tcW w:w="1281" w:type="dxa"/>
            <w:tcBorders>
              <w:top w:val="single" w:sz="12" w:space="0" w:color="auto"/>
              <w:bottom w:val="single" w:sz="12" w:space="0" w:color="auto"/>
            </w:tcBorders>
            <w:vAlign w:val="bottom"/>
          </w:tcPr>
          <w:p w:rsidR="000E45BE" w:rsidRPr="00E31530" w:rsidP="002F3C90" w14:paraId="333F6A57" w14:textId="77777777">
            <w:pPr>
              <w:jc w:val="center"/>
              <w:rPr>
                <w:rFonts w:ascii="Times New Roman" w:hAnsi="Times New Roman" w:cs="Times New Roman"/>
                <w:b/>
                <w:bCs/>
              </w:rPr>
            </w:pPr>
            <w:r w:rsidRPr="00E31530">
              <w:rPr>
                <w:rFonts w:ascii="Times New Roman" w:hAnsi="Times New Roman" w:cs="Times New Roman"/>
                <w:b/>
                <w:bCs/>
              </w:rPr>
              <w:t>Reactor Type</w:t>
            </w:r>
          </w:p>
        </w:tc>
        <w:tc>
          <w:tcPr>
            <w:tcW w:w="925" w:type="dxa"/>
            <w:tcBorders>
              <w:top w:val="single" w:sz="12" w:space="0" w:color="auto"/>
              <w:bottom w:val="single" w:sz="12" w:space="0" w:color="auto"/>
            </w:tcBorders>
            <w:vAlign w:val="bottom"/>
          </w:tcPr>
          <w:p w:rsidR="000E45BE" w:rsidRPr="00E31530" w:rsidP="002F3C90" w14:paraId="6DA5B635" w14:textId="6B1453D6">
            <w:pPr>
              <w:jc w:val="center"/>
              <w:rPr>
                <w:rFonts w:ascii="Times New Roman" w:hAnsi="Times New Roman" w:cs="Times New Roman"/>
                <w:b/>
                <w:bCs/>
              </w:rPr>
            </w:pPr>
            <w:r>
              <w:rPr>
                <w:rFonts w:ascii="Times New Roman" w:hAnsi="Times New Roman" w:cs="Times New Roman"/>
                <w:b/>
                <w:bCs/>
              </w:rPr>
              <w:t xml:space="preserve">Use of </w:t>
            </w:r>
            <w:r w:rsidRPr="00E31530">
              <w:rPr>
                <w:rFonts w:ascii="Times New Roman" w:hAnsi="Times New Roman" w:cs="Times New Roman"/>
                <w:b/>
                <w:bCs/>
              </w:rPr>
              <w:t>LMP</w:t>
            </w:r>
            <w:r w:rsidRPr="00E200ED">
              <w:rPr>
                <w:rFonts w:ascii="Times New Roman" w:hAnsi="Times New Roman" w:cs="Times New Roman"/>
                <w:b/>
                <w:bCs/>
                <w:vertAlign w:val="superscript"/>
              </w:rPr>
              <w:t>a</w:t>
            </w:r>
          </w:p>
        </w:tc>
        <w:tc>
          <w:tcPr>
            <w:tcW w:w="2945" w:type="dxa"/>
            <w:tcBorders>
              <w:top w:val="single" w:sz="12" w:space="0" w:color="auto"/>
              <w:bottom w:val="single" w:sz="12" w:space="0" w:color="auto"/>
            </w:tcBorders>
            <w:vAlign w:val="bottom"/>
          </w:tcPr>
          <w:p w:rsidR="000E45BE" w:rsidRPr="00E31530" w:rsidP="002F3C90" w14:paraId="094C0947" w14:textId="6DB3E214">
            <w:pPr>
              <w:jc w:val="center"/>
              <w:rPr>
                <w:rFonts w:ascii="Times New Roman" w:hAnsi="Times New Roman" w:cs="Times New Roman"/>
                <w:b/>
                <w:bCs/>
              </w:rPr>
            </w:pPr>
            <w:r>
              <w:rPr>
                <w:rFonts w:ascii="Times New Roman" w:hAnsi="Times New Roman" w:cs="Times New Roman"/>
                <w:b/>
                <w:bCs/>
              </w:rPr>
              <w:t xml:space="preserve">Licensing Event </w:t>
            </w:r>
            <w:r w:rsidRPr="00E31530">
              <w:rPr>
                <w:rFonts w:ascii="Times New Roman" w:hAnsi="Times New Roman" w:cs="Times New Roman"/>
                <w:b/>
                <w:bCs/>
              </w:rPr>
              <w:t>Categories</w:t>
            </w:r>
          </w:p>
        </w:tc>
        <w:tc>
          <w:tcPr>
            <w:tcW w:w="1975" w:type="dxa"/>
            <w:tcBorders>
              <w:top w:val="single" w:sz="12" w:space="0" w:color="auto"/>
              <w:bottom w:val="single" w:sz="12" w:space="0" w:color="auto"/>
              <w:right w:val="single" w:sz="12" w:space="0" w:color="auto"/>
            </w:tcBorders>
            <w:vAlign w:val="bottom"/>
          </w:tcPr>
          <w:p w:rsidR="000E45BE" w:rsidRPr="00E31530" w:rsidP="002F3C90" w14:paraId="450CA7F5" w14:textId="1968F808">
            <w:pPr>
              <w:jc w:val="center"/>
              <w:rPr>
                <w:rFonts w:ascii="Times New Roman" w:hAnsi="Times New Roman" w:cs="Times New Roman"/>
                <w:b/>
                <w:bCs/>
              </w:rPr>
            </w:pPr>
            <w:r w:rsidRPr="00E31530">
              <w:rPr>
                <w:rFonts w:ascii="Times New Roman" w:hAnsi="Times New Roman" w:cs="Times New Roman"/>
                <w:b/>
                <w:bCs/>
              </w:rPr>
              <w:t>Risk Evaluation</w:t>
            </w:r>
          </w:p>
        </w:tc>
      </w:tr>
      <w:tr w14:paraId="4C885FDA" w14:textId="77777777" w:rsidTr="009C34D8">
        <w:tblPrEx>
          <w:tblW w:w="9525" w:type="dxa"/>
          <w:tblInd w:w="10" w:type="dxa"/>
          <w:tblLook w:val="04A0"/>
        </w:tblPrEx>
        <w:trPr>
          <w:cantSplit/>
          <w:trHeight w:val="1020"/>
        </w:trPr>
        <w:tc>
          <w:tcPr>
            <w:tcW w:w="2399" w:type="dxa"/>
            <w:tcBorders>
              <w:top w:val="single" w:sz="12" w:space="0" w:color="auto"/>
              <w:left w:val="single" w:sz="12" w:space="0" w:color="auto"/>
            </w:tcBorders>
            <w:vAlign w:val="center"/>
          </w:tcPr>
          <w:p w:rsidR="00D655AA" w:rsidP="002F3C90" w14:paraId="7F7DB6FD" w14:textId="41C01884">
            <w:pPr>
              <w:jc w:val="center"/>
              <w:rPr>
                <w:rFonts w:ascii="Times New Roman" w:hAnsi="Times New Roman" w:cs="Times New Roman"/>
              </w:rPr>
            </w:pPr>
            <w:r>
              <w:rPr>
                <w:rFonts w:ascii="Times New Roman" w:hAnsi="Times New Roman" w:cs="Times New Roman"/>
              </w:rPr>
              <w:t>10 CFR Part 50</w:t>
            </w:r>
          </w:p>
          <w:p w:rsidR="00D655AA" w:rsidRPr="00E72381" w:rsidP="002F3C90" w14:paraId="14E21095" w14:textId="77777777">
            <w:pPr>
              <w:jc w:val="center"/>
              <w:rPr>
                <w:rFonts w:ascii="Times New Roman" w:hAnsi="Times New Roman" w:cs="Times New Roman"/>
              </w:rPr>
            </w:pPr>
            <w:r>
              <w:rPr>
                <w:rFonts w:ascii="Times New Roman" w:hAnsi="Times New Roman" w:cs="Times New Roman"/>
              </w:rPr>
              <w:t>CP, OL</w:t>
            </w:r>
          </w:p>
        </w:tc>
        <w:tc>
          <w:tcPr>
            <w:tcW w:w="1281" w:type="dxa"/>
            <w:vMerge w:val="restart"/>
            <w:tcBorders>
              <w:top w:val="single" w:sz="12" w:space="0" w:color="auto"/>
            </w:tcBorders>
            <w:vAlign w:val="center"/>
          </w:tcPr>
          <w:p w:rsidR="00D655AA" w:rsidRPr="00E72381" w:rsidP="002F3C90" w14:paraId="3FA2E398" w14:textId="77777777">
            <w:pPr>
              <w:jc w:val="center"/>
              <w:rPr>
                <w:rFonts w:ascii="Times New Roman" w:hAnsi="Times New Roman" w:cs="Times New Roman"/>
              </w:rPr>
            </w:pPr>
            <w:r>
              <w:rPr>
                <w:rFonts w:ascii="Times New Roman" w:hAnsi="Times New Roman" w:cs="Times New Roman"/>
              </w:rPr>
              <w:t>LWR</w:t>
            </w:r>
          </w:p>
        </w:tc>
        <w:tc>
          <w:tcPr>
            <w:tcW w:w="925" w:type="dxa"/>
            <w:vMerge w:val="restart"/>
            <w:tcBorders>
              <w:top w:val="single" w:sz="12" w:space="0" w:color="auto"/>
            </w:tcBorders>
            <w:vAlign w:val="center"/>
          </w:tcPr>
          <w:p w:rsidR="00D655AA" w:rsidRPr="00E72381" w:rsidP="002F3C90" w14:paraId="67021249" w14:textId="069660A3">
            <w:pPr>
              <w:jc w:val="center"/>
              <w:rPr>
                <w:rFonts w:ascii="Times New Roman" w:hAnsi="Times New Roman" w:cs="Times New Roman"/>
              </w:rPr>
            </w:pPr>
            <w:r>
              <w:rPr>
                <w:rFonts w:ascii="Times New Roman" w:hAnsi="Times New Roman" w:cs="Times New Roman"/>
              </w:rPr>
              <w:t>n/a</w:t>
            </w:r>
          </w:p>
        </w:tc>
        <w:tc>
          <w:tcPr>
            <w:tcW w:w="2945" w:type="dxa"/>
            <w:vMerge w:val="restart"/>
            <w:tcBorders>
              <w:top w:val="single" w:sz="12" w:space="0" w:color="auto"/>
            </w:tcBorders>
          </w:tcPr>
          <w:p w:rsidR="00D655AA" w:rsidRPr="008F28B4" w:rsidP="002F3C90" w14:paraId="55847314" w14:textId="6635E688">
            <w:pPr>
              <w:pStyle w:val="ListParagraph"/>
              <w:numPr>
                <w:ilvl w:val="0"/>
                <w:numId w:val="28"/>
              </w:numPr>
              <w:ind w:left="340"/>
              <w:rPr>
                <w:rFonts w:ascii="Times New Roman" w:hAnsi="Times New Roman" w:cs="Times New Roman"/>
              </w:rPr>
            </w:pPr>
            <w:r>
              <w:rPr>
                <w:rFonts w:ascii="Times New Roman" w:hAnsi="Times New Roman" w:cs="Times New Roman"/>
              </w:rPr>
              <w:t>DBEs</w:t>
            </w:r>
            <w:r w:rsidRPr="0055096D">
              <w:rPr>
                <w:rFonts w:ascii="Times New Roman" w:hAnsi="Times New Roman" w:cs="Times New Roman"/>
                <w:vertAlign w:val="superscript"/>
              </w:rPr>
              <w:t>b</w:t>
            </w:r>
            <w:r>
              <w:rPr>
                <w:rFonts w:ascii="Times New Roman" w:hAnsi="Times New Roman" w:cs="Times New Roman"/>
              </w:rPr>
              <w:t>—this term is used in the 10 CFR 50.2 definition of safety-related SSCs; 10 CFR </w:t>
            </w:r>
            <w:r w:rsidRPr="008F28B4">
              <w:rPr>
                <w:rFonts w:ascii="Times New Roman" w:hAnsi="Times New Roman" w:cs="Times New Roman"/>
              </w:rPr>
              <w:t xml:space="preserve">50.49 </w:t>
            </w:r>
            <w:r>
              <w:rPr>
                <w:rFonts w:ascii="Times New Roman" w:hAnsi="Times New Roman" w:cs="Times New Roman"/>
              </w:rPr>
              <w:t>identif</w:t>
            </w:r>
            <w:r w:rsidRPr="008F28B4">
              <w:rPr>
                <w:rFonts w:ascii="Times New Roman" w:hAnsi="Times New Roman" w:cs="Times New Roman"/>
              </w:rPr>
              <w:t>ies four subcategories</w:t>
            </w:r>
            <w:r>
              <w:rPr>
                <w:rFonts w:ascii="Times New Roman" w:hAnsi="Times New Roman" w:cs="Times New Roman"/>
              </w:rPr>
              <w:t xml:space="preserve"> of DBEs as follows</w:t>
            </w:r>
            <w:r w:rsidRPr="008F28B4">
              <w:rPr>
                <w:rFonts w:ascii="Times New Roman" w:hAnsi="Times New Roman" w:cs="Times New Roman"/>
              </w:rPr>
              <w:t>:</w:t>
            </w:r>
          </w:p>
          <w:p w:rsidR="00D655AA" w:rsidRPr="00A075CE" w:rsidP="002F3C90" w14:paraId="553FAA12" w14:textId="77777777">
            <w:pPr>
              <w:pStyle w:val="ListParagraph"/>
              <w:numPr>
                <w:ilvl w:val="0"/>
                <w:numId w:val="43"/>
              </w:numPr>
              <w:rPr>
                <w:rFonts w:ascii="Times New Roman" w:hAnsi="Times New Roman" w:cs="Times New Roman"/>
              </w:rPr>
            </w:pPr>
            <w:r w:rsidRPr="00A075CE">
              <w:rPr>
                <w:rFonts w:ascii="Times New Roman" w:hAnsi="Times New Roman" w:cs="Times New Roman"/>
              </w:rPr>
              <w:t>AOOs</w:t>
            </w:r>
          </w:p>
          <w:p w:rsidR="00D655AA" w:rsidP="002F3C90" w14:paraId="066C4C49" w14:textId="3CD9D562">
            <w:pPr>
              <w:pStyle w:val="ListParagraph"/>
              <w:numPr>
                <w:ilvl w:val="0"/>
                <w:numId w:val="43"/>
              </w:numPr>
              <w:rPr>
                <w:rFonts w:ascii="Times New Roman" w:hAnsi="Times New Roman" w:cs="Times New Roman"/>
              </w:rPr>
            </w:pPr>
            <w:r>
              <w:rPr>
                <w:rFonts w:ascii="Times New Roman" w:hAnsi="Times New Roman" w:cs="Times New Roman"/>
              </w:rPr>
              <w:t>DBAs (i.e., postulated accidents)</w:t>
            </w:r>
          </w:p>
          <w:p w:rsidR="00D655AA" w:rsidP="002F3C90" w14:paraId="03B73489" w14:textId="6EDA9E37">
            <w:pPr>
              <w:pStyle w:val="ListParagraph"/>
              <w:numPr>
                <w:ilvl w:val="0"/>
                <w:numId w:val="43"/>
              </w:numPr>
              <w:rPr>
                <w:rFonts w:ascii="Times New Roman" w:hAnsi="Times New Roman" w:cs="Times New Roman"/>
              </w:rPr>
            </w:pPr>
            <w:r>
              <w:rPr>
                <w:rFonts w:ascii="Times New Roman" w:hAnsi="Times New Roman" w:cs="Times New Roman"/>
              </w:rPr>
              <w:t>external events</w:t>
            </w:r>
          </w:p>
          <w:p w:rsidR="00D655AA" w:rsidP="002F3C90" w14:paraId="26671F19" w14:textId="53F4A8E8">
            <w:pPr>
              <w:pStyle w:val="ListParagraph"/>
              <w:numPr>
                <w:ilvl w:val="0"/>
                <w:numId w:val="43"/>
              </w:numPr>
              <w:rPr>
                <w:rFonts w:ascii="Times New Roman" w:hAnsi="Times New Roman" w:cs="Times New Roman"/>
              </w:rPr>
            </w:pPr>
            <w:r>
              <w:rPr>
                <w:rFonts w:ascii="Times New Roman" w:hAnsi="Times New Roman" w:cs="Times New Roman"/>
              </w:rPr>
              <w:t>natural phenomena</w:t>
            </w:r>
          </w:p>
          <w:p w:rsidR="00D655AA" w:rsidP="002F3C90" w14:paraId="5D20C5D1" w14:textId="110CED26">
            <w:pPr>
              <w:pStyle w:val="ListParagraph"/>
              <w:numPr>
                <w:ilvl w:val="0"/>
                <w:numId w:val="28"/>
              </w:numPr>
              <w:ind w:left="340"/>
              <w:rPr>
                <w:rFonts w:ascii="Times New Roman" w:hAnsi="Times New Roman" w:cs="Times New Roman"/>
              </w:rPr>
            </w:pPr>
            <w:r>
              <w:rPr>
                <w:rFonts w:ascii="Times New Roman" w:hAnsi="Times New Roman" w:cs="Times New Roman"/>
              </w:rPr>
              <w:t>n</w:t>
            </w:r>
            <w:r w:rsidRPr="36C6C2EA">
              <w:rPr>
                <w:rFonts w:ascii="Times New Roman" w:hAnsi="Times New Roman" w:cs="Times New Roman"/>
              </w:rPr>
              <w:t>on-DBA</w:t>
            </w:r>
            <w:r>
              <w:rPr>
                <w:rFonts w:ascii="Times New Roman" w:hAnsi="Times New Roman" w:cs="Times New Roman"/>
              </w:rPr>
              <w:t>—this term is used in the 10 CFR </w:t>
            </w:r>
            <w:r w:rsidRPr="36C6C2EA">
              <w:rPr>
                <w:rFonts w:ascii="Times New Roman" w:hAnsi="Times New Roman" w:cs="Times New Roman"/>
              </w:rPr>
              <w:t>50.2</w:t>
            </w:r>
            <w:r>
              <w:rPr>
                <w:rFonts w:ascii="Times New Roman" w:hAnsi="Times New Roman" w:cs="Times New Roman"/>
              </w:rPr>
              <w:t xml:space="preserve"> definition of safe shutdown for station blackout</w:t>
            </w:r>
          </w:p>
          <w:p w:rsidR="00D655AA" w:rsidRPr="005F0C94" w:rsidP="002F3C90" w14:paraId="4D51C48F" w14:textId="77777777">
            <w:pPr>
              <w:pStyle w:val="ListParagraph"/>
              <w:numPr>
                <w:ilvl w:val="0"/>
                <w:numId w:val="28"/>
              </w:numPr>
              <w:ind w:left="340"/>
              <w:rPr>
                <w:rFonts w:ascii="Times New Roman" w:hAnsi="Times New Roman" w:cs="Times New Roman"/>
              </w:rPr>
            </w:pPr>
            <w:r w:rsidRPr="005F0C94">
              <w:rPr>
                <w:rFonts w:ascii="Times New Roman" w:hAnsi="Times New Roman" w:cs="Times New Roman"/>
              </w:rPr>
              <w:t>BDBEs</w:t>
            </w:r>
          </w:p>
          <w:p w:rsidR="00D655AA" w:rsidP="002F3C90" w14:paraId="54EE6F6D" w14:textId="0195764B">
            <w:pPr>
              <w:pStyle w:val="ListParagraph"/>
              <w:numPr>
                <w:ilvl w:val="0"/>
                <w:numId w:val="28"/>
              </w:numPr>
              <w:ind w:left="340"/>
              <w:rPr>
                <w:rFonts w:ascii="Times New Roman" w:hAnsi="Times New Roman" w:cs="Times New Roman"/>
              </w:rPr>
            </w:pPr>
            <w:r>
              <w:rPr>
                <w:rFonts w:ascii="Times New Roman" w:hAnsi="Times New Roman" w:cs="Times New Roman"/>
              </w:rPr>
              <w:t>anticipated transient without scram (ATWS)</w:t>
            </w:r>
          </w:p>
          <w:p w:rsidR="00D655AA" w:rsidRPr="008F28B4" w:rsidP="002F3C90" w14:paraId="5A357B64" w14:textId="5DE7C8F3">
            <w:pPr>
              <w:pStyle w:val="ListParagraph"/>
              <w:numPr>
                <w:ilvl w:val="0"/>
                <w:numId w:val="28"/>
              </w:numPr>
              <w:ind w:left="340"/>
              <w:rPr>
                <w:rFonts w:ascii="Times New Roman" w:hAnsi="Times New Roman" w:cs="Times New Roman"/>
              </w:rPr>
            </w:pPr>
            <w:r>
              <w:rPr>
                <w:rFonts w:ascii="Times New Roman" w:hAnsi="Times New Roman" w:cs="Times New Roman"/>
              </w:rPr>
              <w:t>station blackout</w:t>
            </w:r>
          </w:p>
        </w:tc>
        <w:tc>
          <w:tcPr>
            <w:tcW w:w="1975" w:type="dxa"/>
            <w:tcBorders>
              <w:top w:val="single" w:sz="12" w:space="0" w:color="auto"/>
              <w:right w:val="single" w:sz="12" w:space="0" w:color="auto"/>
            </w:tcBorders>
            <w:vAlign w:val="center"/>
          </w:tcPr>
          <w:p w:rsidR="00D655AA" w:rsidRPr="00E72381" w:rsidP="002F3C90" w14:paraId="50CBA084" w14:textId="6ED1D50A">
            <w:pPr>
              <w:jc w:val="center"/>
              <w:rPr>
                <w:rFonts w:ascii="Times New Roman" w:hAnsi="Times New Roman" w:cs="Times New Roman"/>
              </w:rPr>
            </w:pPr>
            <w:r>
              <w:rPr>
                <w:rFonts w:ascii="Times New Roman" w:hAnsi="Times New Roman" w:cs="Times New Roman"/>
              </w:rPr>
              <w:t>not required</w:t>
            </w:r>
          </w:p>
        </w:tc>
      </w:tr>
      <w:tr w14:paraId="3151BB62" w14:textId="77777777" w:rsidTr="009C34D8">
        <w:tblPrEx>
          <w:tblW w:w="9525" w:type="dxa"/>
          <w:tblInd w:w="10" w:type="dxa"/>
          <w:tblLook w:val="04A0"/>
        </w:tblPrEx>
        <w:trPr>
          <w:cantSplit/>
          <w:trHeight w:val="1020"/>
        </w:trPr>
        <w:tc>
          <w:tcPr>
            <w:tcW w:w="2399" w:type="dxa"/>
            <w:tcBorders>
              <w:left w:val="single" w:sz="12" w:space="0" w:color="auto"/>
            </w:tcBorders>
            <w:vAlign w:val="center"/>
          </w:tcPr>
          <w:p w:rsidR="00D655AA" w:rsidP="002F3C90" w14:paraId="736AD4BA" w14:textId="1E6087BD">
            <w:pPr>
              <w:jc w:val="center"/>
              <w:rPr>
                <w:rFonts w:ascii="Times New Roman" w:hAnsi="Times New Roman" w:cs="Times New Roman"/>
              </w:rPr>
            </w:pPr>
            <w:r>
              <w:rPr>
                <w:rFonts w:ascii="Times New Roman" w:hAnsi="Times New Roman" w:cs="Times New Roman"/>
              </w:rPr>
              <w:t>10 CFR Part 52</w:t>
            </w:r>
          </w:p>
          <w:p w:rsidR="00D655AA" w:rsidRPr="00E72381" w:rsidP="002F3C90" w14:paraId="646FC773" w14:textId="77777777">
            <w:pPr>
              <w:jc w:val="center"/>
              <w:rPr>
                <w:rFonts w:ascii="Times New Roman" w:hAnsi="Times New Roman" w:cs="Times New Roman"/>
              </w:rPr>
            </w:pPr>
            <w:r>
              <w:rPr>
                <w:rFonts w:ascii="Times New Roman" w:hAnsi="Times New Roman" w:cs="Times New Roman"/>
              </w:rPr>
              <w:t>DC, SDA, ML, COL</w:t>
            </w:r>
          </w:p>
        </w:tc>
        <w:tc>
          <w:tcPr>
            <w:tcW w:w="1281" w:type="dxa"/>
            <w:vMerge/>
            <w:vAlign w:val="center"/>
          </w:tcPr>
          <w:p w:rsidR="00D655AA" w:rsidRPr="00E72381" w:rsidP="002F3C90" w14:paraId="2F436590" w14:textId="77777777">
            <w:pPr>
              <w:jc w:val="center"/>
              <w:rPr>
                <w:rFonts w:ascii="Times New Roman" w:hAnsi="Times New Roman" w:cs="Times New Roman"/>
              </w:rPr>
            </w:pPr>
          </w:p>
        </w:tc>
        <w:tc>
          <w:tcPr>
            <w:tcW w:w="925" w:type="dxa"/>
            <w:vMerge/>
            <w:vAlign w:val="center"/>
          </w:tcPr>
          <w:p w:rsidR="00D655AA" w:rsidRPr="00E72381" w:rsidP="002F3C90" w14:paraId="479C1689" w14:textId="77777777">
            <w:pPr>
              <w:jc w:val="center"/>
              <w:rPr>
                <w:rFonts w:ascii="Times New Roman" w:hAnsi="Times New Roman" w:cs="Times New Roman"/>
              </w:rPr>
            </w:pPr>
          </w:p>
        </w:tc>
        <w:tc>
          <w:tcPr>
            <w:tcW w:w="2945" w:type="dxa"/>
            <w:vMerge/>
          </w:tcPr>
          <w:p w:rsidR="00D655AA" w:rsidRPr="00E72381" w:rsidP="002F3C90" w14:paraId="4A195BB6" w14:textId="77777777">
            <w:pPr>
              <w:rPr>
                <w:rFonts w:ascii="Times New Roman" w:hAnsi="Times New Roman" w:cs="Times New Roman"/>
              </w:rPr>
            </w:pPr>
          </w:p>
        </w:tc>
        <w:tc>
          <w:tcPr>
            <w:tcW w:w="1975" w:type="dxa"/>
            <w:tcBorders>
              <w:right w:val="single" w:sz="12" w:space="0" w:color="auto"/>
            </w:tcBorders>
            <w:vAlign w:val="center"/>
          </w:tcPr>
          <w:p w:rsidR="00D655AA" w:rsidRPr="00E72381" w:rsidP="002F3C90" w14:paraId="49E03C12" w14:textId="0E4B50F7">
            <w:pPr>
              <w:jc w:val="center"/>
              <w:rPr>
                <w:rFonts w:ascii="Times New Roman" w:hAnsi="Times New Roman" w:cs="Times New Roman"/>
              </w:rPr>
            </w:pPr>
            <w:r>
              <w:rPr>
                <w:rFonts w:ascii="Times New Roman" w:hAnsi="Times New Roman" w:cs="Times New Roman"/>
              </w:rPr>
              <w:t>PRA required</w:t>
            </w:r>
          </w:p>
        </w:tc>
      </w:tr>
      <w:tr w14:paraId="75168335" w14:textId="77777777" w:rsidTr="009C34D8">
        <w:tblPrEx>
          <w:tblW w:w="9525" w:type="dxa"/>
          <w:tblInd w:w="10" w:type="dxa"/>
          <w:tblLook w:val="04A0"/>
        </w:tblPrEx>
        <w:trPr>
          <w:cantSplit/>
          <w:trHeight w:val="1020"/>
        </w:trPr>
        <w:tc>
          <w:tcPr>
            <w:tcW w:w="2399" w:type="dxa"/>
            <w:tcBorders>
              <w:left w:val="single" w:sz="12" w:space="0" w:color="auto"/>
            </w:tcBorders>
            <w:vAlign w:val="center"/>
          </w:tcPr>
          <w:p w:rsidR="00D655AA" w:rsidP="002F3C90" w14:paraId="0D71AF1B" w14:textId="19CE3D8A">
            <w:pPr>
              <w:jc w:val="center"/>
              <w:rPr>
                <w:rFonts w:ascii="Times New Roman" w:hAnsi="Times New Roman" w:cs="Times New Roman"/>
              </w:rPr>
            </w:pPr>
            <w:r>
              <w:rPr>
                <w:rFonts w:ascii="Times New Roman" w:hAnsi="Times New Roman" w:cs="Times New Roman"/>
              </w:rPr>
              <w:t>10 CFR Part 50</w:t>
            </w:r>
          </w:p>
          <w:p w:rsidR="00D655AA" w:rsidRPr="00E72381" w:rsidP="002F3C90" w14:paraId="5D5761DE" w14:textId="77777777">
            <w:pPr>
              <w:jc w:val="center"/>
              <w:rPr>
                <w:rFonts w:ascii="Times New Roman" w:hAnsi="Times New Roman" w:cs="Times New Roman"/>
              </w:rPr>
            </w:pPr>
            <w:r>
              <w:rPr>
                <w:rFonts w:ascii="Times New Roman" w:hAnsi="Times New Roman" w:cs="Times New Roman"/>
              </w:rPr>
              <w:t>CP, OL</w:t>
            </w:r>
          </w:p>
        </w:tc>
        <w:tc>
          <w:tcPr>
            <w:tcW w:w="1281" w:type="dxa"/>
            <w:vMerge w:val="restart"/>
            <w:vAlign w:val="center"/>
          </w:tcPr>
          <w:p w:rsidR="00D655AA" w:rsidRPr="00E72381" w:rsidP="002F3C90" w14:paraId="7C52714A" w14:textId="06A0C4FF">
            <w:pPr>
              <w:jc w:val="center"/>
              <w:rPr>
                <w:rFonts w:ascii="Times New Roman" w:hAnsi="Times New Roman" w:cs="Times New Roman"/>
              </w:rPr>
            </w:pPr>
            <w:r>
              <w:rPr>
                <w:rFonts w:ascii="Times New Roman" w:hAnsi="Times New Roman" w:cs="Times New Roman"/>
              </w:rPr>
              <w:t>non-LWR</w:t>
            </w:r>
          </w:p>
          <w:p w:rsidR="00D655AA" w:rsidRPr="00E72381" w:rsidP="002F3C90" w14:paraId="01D11674" w14:textId="77777777">
            <w:pPr>
              <w:jc w:val="center"/>
              <w:rPr>
                <w:rFonts w:ascii="Times New Roman" w:hAnsi="Times New Roman" w:cs="Times New Roman"/>
              </w:rPr>
            </w:pPr>
          </w:p>
        </w:tc>
        <w:tc>
          <w:tcPr>
            <w:tcW w:w="925" w:type="dxa"/>
            <w:vMerge w:val="restart"/>
            <w:vAlign w:val="center"/>
          </w:tcPr>
          <w:p w:rsidR="00D655AA" w:rsidRPr="00E72381" w:rsidP="002F3C90" w14:paraId="4D570947" w14:textId="77777777">
            <w:pPr>
              <w:jc w:val="center"/>
              <w:rPr>
                <w:rFonts w:ascii="Times New Roman" w:hAnsi="Times New Roman" w:cs="Times New Roman"/>
              </w:rPr>
            </w:pPr>
            <w:r>
              <w:rPr>
                <w:rFonts w:ascii="Times New Roman" w:hAnsi="Times New Roman" w:cs="Times New Roman"/>
              </w:rPr>
              <w:t>no</w:t>
            </w:r>
          </w:p>
        </w:tc>
        <w:tc>
          <w:tcPr>
            <w:tcW w:w="2945" w:type="dxa"/>
            <w:vMerge/>
          </w:tcPr>
          <w:p w:rsidR="00D655AA" w:rsidRPr="00E72381" w:rsidP="002F3C90" w14:paraId="1F0BB7EC" w14:textId="77777777">
            <w:pPr>
              <w:rPr>
                <w:rFonts w:ascii="Times New Roman" w:hAnsi="Times New Roman" w:cs="Times New Roman"/>
              </w:rPr>
            </w:pPr>
          </w:p>
        </w:tc>
        <w:tc>
          <w:tcPr>
            <w:tcW w:w="1975" w:type="dxa"/>
            <w:tcBorders>
              <w:right w:val="single" w:sz="12" w:space="0" w:color="auto"/>
            </w:tcBorders>
            <w:vAlign w:val="center"/>
          </w:tcPr>
          <w:p w:rsidR="00D655AA" w:rsidRPr="00E72381" w:rsidP="002F3C90" w14:paraId="1F9B9C06" w14:textId="09C14B24">
            <w:pPr>
              <w:jc w:val="center"/>
              <w:rPr>
                <w:rFonts w:ascii="Times New Roman" w:hAnsi="Times New Roman" w:cs="Times New Roman"/>
              </w:rPr>
            </w:pPr>
            <w:r>
              <w:rPr>
                <w:rFonts w:ascii="Times New Roman" w:hAnsi="Times New Roman" w:cs="Times New Roman"/>
              </w:rPr>
              <w:t>not required</w:t>
            </w:r>
          </w:p>
        </w:tc>
      </w:tr>
      <w:tr w14:paraId="0F4415AD" w14:textId="77777777" w:rsidTr="009C34D8">
        <w:tblPrEx>
          <w:tblW w:w="9525" w:type="dxa"/>
          <w:tblInd w:w="10" w:type="dxa"/>
          <w:tblLook w:val="04A0"/>
        </w:tblPrEx>
        <w:trPr>
          <w:cantSplit/>
          <w:trHeight w:val="1020"/>
        </w:trPr>
        <w:tc>
          <w:tcPr>
            <w:tcW w:w="2399" w:type="dxa"/>
            <w:tcBorders>
              <w:left w:val="single" w:sz="12" w:space="0" w:color="auto"/>
              <w:bottom w:val="single" w:sz="12" w:space="0" w:color="auto"/>
            </w:tcBorders>
            <w:vAlign w:val="center"/>
          </w:tcPr>
          <w:p w:rsidR="00D655AA" w:rsidP="002F3C90" w14:paraId="0BCCC835" w14:textId="1C0D4E26">
            <w:pPr>
              <w:jc w:val="center"/>
              <w:rPr>
                <w:rFonts w:ascii="Times New Roman" w:hAnsi="Times New Roman" w:cs="Times New Roman"/>
              </w:rPr>
            </w:pPr>
            <w:r>
              <w:rPr>
                <w:rFonts w:ascii="Times New Roman" w:hAnsi="Times New Roman" w:cs="Times New Roman"/>
              </w:rPr>
              <w:t>10 CFR Part 52</w:t>
            </w:r>
          </w:p>
          <w:p w:rsidR="00D655AA" w:rsidRPr="00E72381" w:rsidP="002F3C90" w14:paraId="4A294370" w14:textId="77777777">
            <w:pPr>
              <w:jc w:val="center"/>
              <w:rPr>
                <w:rFonts w:ascii="Times New Roman" w:hAnsi="Times New Roman" w:cs="Times New Roman"/>
              </w:rPr>
            </w:pPr>
            <w:r>
              <w:rPr>
                <w:rFonts w:ascii="Times New Roman" w:hAnsi="Times New Roman" w:cs="Times New Roman"/>
              </w:rPr>
              <w:t>DC. SDA, ML, COL</w:t>
            </w:r>
          </w:p>
        </w:tc>
        <w:tc>
          <w:tcPr>
            <w:tcW w:w="1281" w:type="dxa"/>
            <w:vMerge/>
            <w:vAlign w:val="center"/>
          </w:tcPr>
          <w:p w:rsidR="00D655AA" w:rsidRPr="00E72381" w:rsidP="002F3C90" w14:paraId="2C0D03A5" w14:textId="77777777">
            <w:pPr>
              <w:jc w:val="center"/>
              <w:rPr>
                <w:rFonts w:ascii="Times New Roman" w:hAnsi="Times New Roman" w:cs="Times New Roman"/>
              </w:rPr>
            </w:pPr>
          </w:p>
        </w:tc>
        <w:tc>
          <w:tcPr>
            <w:tcW w:w="925" w:type="dxa"/>
            <w:vMerge/>
            <w:vAlign w:val="center"/>
          </w:tcPr>
          <w:p w:rsidR="00D655AA" w:rsidRPr="00E72381" w:rsidP="002F3C90" w14:paraId="0A519042" w14:textId="77777777">
            <w:pPr>
              <w:jc w:val="center"/>
              <w:rPr>
                <w:rFonts w:ascii="Times New Roman" w:hAnsi="Times New Roman" w:cs="Times New Roman"/>
              </w:rPr>
            </w:pPr>
          </w:p>
        </w:tc>
        <w:tc>
          <w:tcPr>
            <w:tcW w:w="2945" w:type="dxa"/>
            <w:vMerge/>
          </w:tcPr>
          <w:p w:rsidR="00D655AA" w:rsidRPr="00E72381" w:rsidP="002F3C90" w14:paraId="7617FA1B" w14:textId="77777777">
            <w:pPr>
              <w:rPr>
                <w:rFonts w:ascii="Times New Roman" w:hAnsi="Times New Roman" w:cs="Times New Roman"/>
              </w:rPr>
            </w:pPr>
          </w:p>
        </w:tc>
        <w:tc>
          <w:tcPr>
            <w:tcW w:w="1975" w:type="dxa"/>
            <w:tcBorders>
              <w:bottom w:val="single" w:sz="12" w:space="0" w:color="auto"/>
              <w:right w:val="single" w:sz="12" w:space="0" w:color="auto"/>
            </w:tcBorders>
            <w:vAlign w:val="center"/>
          </w:tcPr>
          <w:p w:rsidR="00D655AA" w:rsidRPr="00E72381" w:rsidP="002F3C90" w14:paraId="10E2DE9D" w14:textId="77777777">
            <w:pPr>
              <w:jc w:val="center"/>
              <w:rPr>
                <w:rFonts w:ascii="Times New Roman" w:hAnsi="Times New Roman" w:cs="Times New Roman"/>
              </w:rPr>
            </w:pPr>
            <w:r>
              <w:rPr>
                <w:rFonts w:ascii="Times New Roman" w:hAnsi="Times New Roman" w:cs="Times New Roman"/>
              </w:rPr>
              <w:t>PRA required</w:t>
            </w:r>
          </w:p>
        </w:tc>
      </w:tr>
      <w:tr w14:paraId="04BA47EA" w14:textId="77777777" w:rsidTr="009C34D8">
        <w:tblPrEx>
          <w:tblW w:w="9525" w:type="dxa"/>
          <w:tblInd w:w="10" w:type="dxa"/>
          <w:tblLook w:val="04A0"/>
        </w:tblPrEx>
        <w:trPr>
          <w:cantSplit/>
          <w:trHeight w:val="1038"/>
        </w:trPr>
        <w:tc>
          <w:tcPr>
            <w:tcW w:w="2399" w:type="dxa"/>
            <w:tcBorders>
              <w:top w:val="single" w:sz="12" w:space="0" w:color="auto"/>
              <w:left w:val="single" w:sz="12" w:space="0" w:color="auto"/>
            </w:tcBorders>
            <w:vAlign w:val="center"/>
          </w:tcPr>
          <w:p w:rsidR="0069285F" w:rsidP="002F3C90" w14:paraId="3B50433A" w14:textId="35669011">
            <w:pPr>
              <w:jc w:val="center"/>
              <w:rPr>
                <w:rFonts w:ascii="Times New Roman" w:hAnsi="Times New Roman" w:cs="Times New Roman"/>
              </w:rPr>
            </w:pPr>
            <w:r>
              <w:rPr>
                <w:rFonts w:ascii="Times New Roman" w:hAnsi="Times New Roman" w:cs="Times New Roman"/>
              </w:rPr>
              <w:t>10 CFR Part 50</w:t>
            </w:r>
          </w:p>
          <w:p w:rsidR="0069285F" w:rsidRPr="00E72381" w:rsidP="002F3C90" w14:paraId="112FD52D" w14:textId="77777777">
            <w:pPr>
              <w:jc w:val="center"/>
              <w:rPr>
                <w:rFonts w:ascii="Times New Roman" w:hAnsi="Times New Roman" w:cs="Times New Roman"/>
              </w:rPr>
            </w:pPr>
            <w:r>
              <w:rPr>
                <w:rFonts w:ascii="Times New Roman" w:hAnsi="Times New Roman" w:cs="Times New Roman"/>
              </w:rPr>
              <w:t>CP, OL</w:t>
            </w:r>
          </w:p>
        </w:tc>
        <w:tc>
          <w:tcPr>
            <w:tcW w:w="1281" w:type="dxa"/>
            <w:vMerge w:val="restart"/>
            <w:tcBorders>
              <w:top w:val="single" w:sz="12" w:space="0" w:color="auto"/>
            </w:tcBorders>
            <w:vAlign w:val="center"/>
          </w:tcPr>
          <w:p w:rsidR="0069285F" w:rsidRPr="00E72381" w:rsidP="002F3C90" w14:paraId="7311CF4D" w14:textId="0F9D8C48">
            <w:pPr>
              <w:jc w:val="center"/>
              <w:rPr>
                <w:rFonts w:ascii="Times New Roman" w:hAnsi="Times New Roman" w:cs="Times New Roman"/>
              </w:rPr>
            </w:pPr>
            <w:r>
              <w:rPr>
                <w:rFonts w:ascii="Times New Roman" w:hAnsi="Times New Roman" w:cs="Times New Roman"/>
              </w:rPr>
              <w:t>non-LWR</w:t>
            </w:r>
          </w:p>
        </w:tc>
        <w:tc>
          <w:tcPr>
            <w:tcW w:w="925" w:type="dxa"/>
            <w:vMerge w:val="restart"/>
            <w:tcBorders>
              <w:top w:val="single" w:sz="12" w:space="0" w:color="auto"/>
            </w:tcBorders>
            <w:vAlign w:val="center"/>
          </w:tcPr>
          <w:p w:rsidR="0069285F" w:rsidRPr="00E72381" w:rsidP="002F3C90" w14:paraId="0D4AA068" w14:textId="77777777">
            <w:pPr>
              <w:jc w:val="center"/>
              <w:rPr>
                <w:rFonts w:ascii="Times New Roman" w:hAnsi="Times New Roman" w:cs="Times New Roman"/>
              </w:rPr>
            </w:pPr>
            <w:r>
              <w:rPr>
                <w:rFonts w:ascii="Times New Roman" w:hAnsi="Times New Roman" w:cs="Times New Roman"/>
              </w:rPr>
              <w:t>yes</w:t>
            </w:r>
          </w:p>
        </w:tc>
        <w:tc>
          <w:tcPr>
            <w:tcW w:w="2945" w:type="dxa"/>
            <w:vMerge w:val="restart"/>
            <w:tcBorders>
              <w:top w:val="single" w:sz="12" w:space="0" w:color="auto"/>
            </w:tcBorders>
          </w:tcPr>
          <w:p w:rsidR="0069285F" w:rsidRPr="009C73D5" w:rsidP="002F3C90" w14:paraId="02F86AC2" w14:textId="624DA302">
            <w:pPr>
              <w:rPr>
                <w:rFonts w:ascii="Times New Roman" w:hAnsi="Times New Roman" w:cs="Times New Roman"/>
              </w:rPr>
            </w:pPr>
            <w:r w:rsidRPr="009C73D5">
              <w:rPr>
                <w:rFonts w:ascii="Times New Roman" w:hAnsi="Times New Roman" w:cs="Times New Roman"/>
              </w:rPr>
              <w:t>Licensing events are collectively referred to as licensing</w:t>
            </w:r>
            <w:r>
              <w:rPr>
                <w:rFonts w:ascii="Times New Roman" w:hAnsi="Times New Roman" w:cs="Times New Roman"/>
              </w:rPr>
              <w:t>-</w:t>
            </w:r>
            <w:r w:rsidRPr="009C73D5">
              <w:rPr>
                <w:rFonts w:ascii="Times New Roman" w:hAnsi="Times New Roman" w:cs="Times New Roman"/>
              </w:rPr>
              <w:t>basis events, which include the following categories:</w:t>
            </w:r>
          </w:p>
          <w:p w:rsidR="0069285F" w:rsidRPr="00E31530" w:rsidP="002F3C90" w14:paraId="0F245811"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AOOs</w:t>
            </w:r>
          </w:p>
          <w:p w:rsidR="0069285F" w:rsidRPr="00E31530" w:rsidP="002F3C90" w14:paraId="00533184"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DBEs</w:t>
            </w:r>
          </w:p>
          <w:p w:rsidR="0069285F" w:rsidRPr="00E31530" w:rsidP="002F3C90" w14:paraId="129F34F3"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BDBEs</w:t>
            </w:r>
          </w:p>
          <w:p w:rsidR="0069285F" w:rsidRPr="00E31530" w:rsidP="002F3C90" w14:paraId="00BF1743" w14:textId="4F18DD8A">
            <w:pPr>
              <w:pStyle w:val="ListParagraph"/>
              <w:numPr>
                <w:ilvl w:val="0"/>
                <w:numId w:val="59"/>
              </w:numPr>
              <w:ind w:left="430"/>
              <w:rPr>
                <w:rFonts w:ascii="Times New Roman" w:hAnsi="Times New Roman" w:cs="Times New Roman"/>
              </w:rPr>
            </w:pPr>
            <w:r w:rsidRPr="00E31530">
              <w:rPr>
                <w:rFonts w:ascii="Times New Roman" w:hAnsi="Times New Roman" w:cs="Times New Roman"/>
              </w:rPr>
              <w:t>DBAs</w:t>
            </w:r>
          </w:p>
        </w:tc>
        <w:tc>
          <w:tcPr>
            <w:tcW w:w="1975" w:type="dxa"/>
            <w:tcBorders>
              <w:top w:val="single" w:sz="12" w:space="0" w:color="auto"/>
              <w:right w:val="single" w:sz="12" w:space="0" w:color="auto"/>
            </w:tcBorders>
            <w:vAlign w:val="center"/>
          </w:tcPr>
          <w:p w:rsidR="0069285F" w:rsidRPr="00E72381" w:rsidP="002F3C90" w14:paraId="3DEC2409" w14:textId="77777777">
            <w:pPr>
              <w:jc w:val="center"/>
              <w:rPr>
                <w:rFonts w:ascii="Times New Roman" w:hAnsi="Times New Roman" w:cs="Times New Roman"/>
              </w:rPr>
            </w:pPr>
            <w:r>
              <w:rPr>
                <w:rFonts w:ascii="Times New Roman" w:hAnsi="Times New Roman" w:cs="Times New Roman"/>
              </w:rPr>
              <w:t>PRA implied</w:t>
            </w:r>
          </w:p>
        </w:tc>
      </w:tr>
      <w:tr w14:paraId="107379BE" w14:textId="77777777" w:rsidTr="009C34D8">
        <w:tblPrEx>
          <w:tblW w:w="9525" w:type="dxa"/>
          <w:tblInd w:w="10" w:type="dxa"/>
          <w:tblLook w:val="04A0"/>
        </w:tblPrEx>
        <w:trPr>
          <w:cantSplit/>
          <w:trHeight w:val="1039"/>
        </w:trPr>
        <w:tc>
          <w:tcPr>
            <w:tcW w:w="2399" w:type="dxa"/>
            <w:tcBorders>
              <w:left w:val="single" w:sz="12" w:space="0" w:color="auto"/>
              <w:bottom w:val="single" w:sz="12" w:space="0" w:color="auto"/>
            </w:tcBorders>
            <w:vAlign w:val="center"/>
          </w:tcPr>
          <w:p w:rsidR="0069285F" w:rsidP="002F3C90" w14:paraId="5D25D294" w14:textId="3D059E47">
            <w:pPr>
              <w:jc w:val="center"/>
              <w:rPr>
                <w:rFonts w:ascii="Times New Roman" w:hAnsi="Times New Roman" w:cs="Times New Roman"/>
              </w:rPr>
            </w:pPr>
            <w:r>
              <w:rPr>
                <w:rFonts w:ascii="Times New Roman" w:hAnsi="Times New Roman" w:cs="Times New Roman"/>
              </w:rPr>
              <w:t>10 CFR Part 52</w:t>
            </w:r>
          </w:p>
          <w:p w:rsidR="0069285F" w:rsidRPr="00E72381" w:rsidP="002F3C90" w14:paraId="0F0C6E3B" w14:textId="77777777">
            <w:pPr>
              <w:jc w:val="center"/>
              <w:rPr>
                <w:rFonts w:ascii="Times New Roman" w:hAnsi="Times New Roman" w:cs="Times New Roman"/>
              </w:rPr>
            </w:pPr>
            <w:r>
              <w:rPr>
                <w:rFonts w:ascii="Times New Roman" w:hAnsi="Times New Roman" w:cs="Times New Roman"/>
              </w:rPr>
              <w:t>DC, SDA, ML, COL</w:t>
            </w:r>
          </w:p>
        </w:tc>
        <w:tc>
          <w:tcPr>
            <w:tcW w:w="1281" w:type="dxa"/>
            <w:vMerge/>
            <w:vAlign w:val="center"/>
          </w:tcPr>
          <w:p w:rsidR="0069285F" w:rsidRPr="00E72381" w:rsidP="002F3C90" w14:paraId="6AED8793" w14:textId="77777777">
            <w:pPr>
              <w:jc w:val="center"/>
              <w:rPr>
                <w:rFonts w:ascii="Times New Roman" w:hAnsi="Times New Roman" w:cs="Times New Roman"/>
              </w:rPr>
            </w:pPr>
          </w:p>
        </w:tc>
        <w:tc>
          <w:tcPr>
            <w:tcW w:w="925" w:type="dxa"/>
            <w:vMerge/>
            <w:vAlign w:val="center"/>
          </w:tcPr>
          <w:p w:rsidR="0069285F" w:rsidRPr="00E72381" w:rsidP="002F3C90" w14:paraId="357710CF" w14:textId="77777777">
            <w:pPr>
              <w:jc w:val="center"/>
              <w:rPr>
                <w:rFonts w:ascii="Times New Roman" w:hAnsi="Times New Roman" w:cs="Times New Roman"/>
              </w:rPr>
            </w:pPr>
          </w:p>
        </w:tc>
        <w:tc>
          <w:tcPr>
            <w:tcW w:w="2945" w:type="dxa"/>
            <w:vMerge/>
          </w:tcPr>
          <w:p w:rsidR="0069285F" w:rsidRPr="00E72381" w:rsidP="002F3C90" w14:paraId="33CC9929" w14:textId="2A591903">
            <w:pPr>
              <w:rPr>
                <w:rFonts w:ascii="Times New Roman" w:hAnsi="Times New Roman" w:cs="Times New Roman"/>
              </w:rPr>
            </w:pPr>
          </w:p>
        </w:tc>
        <w:tc>
          <w:tcPr>
            <w:tcW w:w="1975" w:type="dxa"/>
            <w:tcBorders>
              <w:bottom w:val="single" w:sz="12" w:space="0" w:color="auto"/>
              <w:right w:val="single" w:sz="12" w:space="0" w:color="auto"/>
            </w:tcBorders>
            <w:vAlign w:val="center"/>
          </w:tcPr>
          <w:p w:rsidR="0069285F" w:rsidRPr="00E72381" w:rsidP="002F3C90" w14:paraId="4B1C8A11" w14:textId="3B30523F">
            <w:pPr>
              <w:jc w:val="center"/>
              <w:rPr>
                <w:rFonts w:ascii="Times New Roman" w:hAnsi="Times New Roman" w:cs="Times New Roman"/>
              </w:rPr>
            </w:pPr>
            <w:r>
              <w:rPr>
                <w:rFonts w:ascii="Times New Roman" w:hAnsi="Times New Roman" w:cs="Times New Roman"/>
              </w:rPr>
              <w:t>PRA required</w:t>
            </w:r>
          </w:p>
        </w:tc>
      </w:tr>
      <w:tr w14:paraId="13126A98" w14:textId="77777777" w:rsidTr="009C34D8">
        <w:tblPrEx>
          <w:tblW w:w="9525" w:type="dxa"/>
          <w:tblInd w:w="10" w:type="dxa"/>
          <w:tblLook w:val="04A0"/>
        </w:tblPrEx>
        <w:trPr>
          <w:cantSplit/>
        </w:trPr>
        <w:tc>
          <w:tcPr>
            <w:tcW w:w="2399" w:type="dxa"/>
            <w:tcBorders>
              <w:top w:val="single" w:sz="12" w:space="0" w:color="auto"/>
              <w:left w:val="single" w:sz="12" w:space="0" w:color="auto"/>
              <w:bottom w:val="single" w:sz="12" w:space="0" w:color="auto"/>
            </w:tcBorders>
            <w:vAlign w:val="center"/>
          </w:tcPr>
          <w:p w:rsidR="000E45BE" w:rsidP="002F3C90" w14:paraId="3C1EFB97" w14:textId="1AE22BF3">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53</w:t>
            </w:r>
          </w:p>
          <w:p w:rsidR="000E45BE" w:rsidP="002F3C90" w14:paraId="108D0896" w14:textId="77777777">
            <w:pPr>
              <w:jc w:val="center"/>
              <w:rPr>
                <w:rFonts w:ascii="Times New Roman" w:hAnsi="Times New Roman" w:cs="Times New Roman"/>
              </w:rPr>
            </w:pPr>
            <w:r>
              <w:rPr>
                <w:rFonts w:ascii="Times New Roman" w:hAnsi="Times New Roman" w:cs="Times New Roman"/>
              </w:rPr>
              <w:t>CP, OL, DC, SDA, ML, COL</w:t>
            </w:r>
          </w:p>
        </w:tc>
        <w:tc>
          <w:tcPr>
            <w:tcW w:w="1281" w:type="dxa"/>
            <w:tcBorders>
              <w:top w:val="single" w:sz="12" w:space="0" w:color="auto"/>
              <w:bottom w:val="single" w:sz="12" w:space="0" w:color="auto"/>
            </w:tcBorders>
            <w:vAlign w:val="center"/>
          </w:tcPr>
          <w:p w:rsidR="008D364B" w:rsidP="002F3C90" w14:paraId="044B1415" w14:textId="77777777">
            <w:pPr>
              <w:jc w:val="center"/>
              <w:rPr>
                <w:rFonts w:ascii="Times New Roman" w:hAnsi="Times New Roman" w:cs="Times New Roman"/>
              </w:rPr>
            </w:pPr>
            <w:r>
              <w:rPr>
                <w:rFonts w:ascii="Times New Roman" w:hAnsi="Times New Roman" w:cs="Times New Roman"/>
              </w:rPr>
              <w:t>LWR or</w:t>
            </w:r>
          </w:p>
          <w:p w:rsidR="000E45BE" w:rsidP="002F3C90" w14:paraId="0D8F1320" w14:textId="5C24A141">
            <w:pPr>
              <w:jc w:val="center"/>
              <w:rPr>
                <w:rFonts w:ascii="Times New Roman" w:hAnsi="Times New Roman" w:cs="Times New Roman"/>
              </w:rPr>
            </w:pPr>
            <w:r>
              <w:rPr>
                <w:rFonts w:ascii="Times New Roman" w:hAnsi="Times New Roman" w:cs="Times New Roman"/>
              </w:rPr>
              <w:t>non-</w:t>
            </w:r>
            <w:r>
              <w:rPr>
                <w:rFonts w:ascii="Times New Roman" w:hAnsi="Times New Roman" w:cs="Times New Roman"/>
              </w:rPr>
              <w:t>LWR</w:t>
            </w:r>
          </w:p>
        </w:tc>
        <w:tc>
          <w:tcPr>
            <w:tcW w:w="925" w:type="dxa"/>
            <w:tcBorders>
              <w:top w:val="single" w:sz="12" w:space="0" w:color="auto"/>
              <w:bottom w:val="single" w:sz="12" w:space="0" w:color="auto"/>
            </w:tcBorders>
            <w:vAlign w:val="center"/>
          </w:tcPr>
          <w:p w:rsidR="009B456F" w:rsidRPr="00E72381" w:rsidP="002F3C90" w14:paraId="44DD61AE" w14:textId="3CF6A762">
            <w:pPr>
              <w:jc w:val="center"/>
              <w:rPr>
                <w:rFonts w:ascii="Times New Roman" w:hAnsi="Times New Roman" w:cs="Times New Roman"/>
              </w:rPr>
            </w:pPr>
            <w:r>
              <w:rPr>
                <w:rFonts w:ascii="Times New Roman" w:hAnsi="Times New Roman" w:cs="Times New Roman"/>
              </w:rPr>
              <w:t>n/</w:t>
            </w:r>
            <w:r w:rsidR="006015F4">
              <w:rPr>
                <w:rFonts w:ascii="Times New Roman" w:hAnsi="Times New Roman" w:cs="Times New Roman"/>
              </w:rPr>
              <w:t>a</w:t>
            </w:r>
            <w:r w:rsidR="006015F4">
              <w:rPr>
                <w:rFonts w:ascii="Times New Roman" w:hAnsi="Times New Roman" w:cs="Times New Roman"/>
                <w:vertAlign w:val="superscript"/>
              </w:rPr>
              <w:t>c</w:t>
            </w:r>
          </w:p>
        </w:tc>
        <w:tc>
          <w:tcPr>
            <w:tcW w:w="2945" w:type="dxa"/>
            <w:tcBorders>
              <w:top w:val="single" w:sz="12" w:space="0" w:color="auto"/>
              <w:bottom w:val="single" w:sz="12" w:space="0" w:color="auto"/>
            </w:tcBorders>
          </w:tcPr>
          <w:p w:rsidR="000E45BE" w:rsidRPr="009C73D5" w:rsidP="002F3C90" w14:paraId="7BF92CBE" w14:textId="67B79DCA">
            <w:pPr>
              <w:rPr>
                <w:rFonts w:ascii="Times New Roman" w:hAnsi="Times New Roman" w:cs="Times New Roman"/>
              </w:rPr>
            </w:pPr>
            <w:r w:rsidRPr="009C73D5">
              <w:rPr>
                <w:rFonts w:ascii="Times New Roman" w:hAnsi="Times New Roman" w:cs="Times New Roman"/>
              </w:rPr>
              <w:t xml:space="preserve">Licensing events are collectively referred to as </w:t>
            </w:r>
            <w:r w:rsidR="00334701">
              <w:rPr>
                <w:rFonts w:ascii="Times New Roman" w:hAnsi="Times New Roman" w:cs="Times New Roman"/>
              </w:rPr>
              <w:t>licensing-basis events</w:t>
            </w:r>
            <w:r w:rsidRPr="009C73D5">
              <w:rPr>
                <w:rFonts w:ascii="Times New Roman" w:hAnsi="Times New Roman" w:cs="Times New Roman"/>
              </w:rPr>
              <w:t>, which include the following categories:</w:t>
            </w:r>
          </w:p>
          <w:p w:rsidR="000E45BE" w:rsidRPr="00E31530" w:rsidP="002F3C90" w14:paraId="213681BE" w14:textId="7F47FD53">
            <w:pPr>
              <w:pStyle w:val="ListParagraph"/>
              <w:numPr>
                <w:ilvl w:val="0"/>
                <w:numId w:val="60"/>
              </w:numPr>
              <w:ind w:left="430"/>
              <w:rPr>
                <w:rFonts w:ascii="Times New Roman" w:hAnsi="Times New Roman" w:cs="Times New Roman"/>
              </w:rPr>
            </w:pPr>
            <w:r>
              <w:rPr>
                <w:rFonts w:ascii="Times New Roman" w:hAnsi="Times New Roman" w:cs="Times New Roman"/>
              </w:rPr>
              <w:t>anticipated event sequences</w:t>
            </w:r>
          </w:p>
          <w:p w:rsidR="000E45BE" w:rsidRPr="00E31530" w:rsidP="002F3C90" w14:paraId="431C0E4B" w14:textId="556B4BD7">
            <w:pPr>
              <w:pStyle w:val="ListParagraph"/>
              <w:numPr>
                <w:ilvl w:val="0"/>
                <w:numId w:val="60"/>
              </w:numPr>
              <w:ind w:left="430"/>
              <w:rPr>
                <w:rFonts w:ascii="Times New Roman" w:hAnsi="Times New Roman" w:cs="Times New Roman"/>
              </w:rPr>
            </w:pPr>
            <w:r>
              <w:rPr>
                <w:rFonts w:ascii="Times New Roman" w:hAnsi="Times New Roman" w:cs="Times New Roman"/>
              </w:rPr>
              <w:t>u</w:t>
            </w:r>
            <w:r w:rsidRPr="00E31530">
              <w:rPr>
                <w:rFonts w:ascii="Times New Roman" w:hAnsi="Times New Roman" w:cs="Times New Roman"/>
              </w:rPr>
              <w:t>nlikely event sequences</w:t>
            </w:r>
          </w:p>
          <w:p w:rsidR="000E45BE" w:rsidRPr="00E31530" w:rsidP="002F3C90" w14:paraId="265D3CE6" w14:textId="3F05A0C8">
            <w:pPr>
              <w:pStyle w:val="ListParagraph"/>
              <w:numPr>
                <w:ilvl w:val="0"/>
                <w:numId w:val="60"/>
              </w:numPr>
              <w:ind w:left="430"/>
              <w:rPr>
                <w:rFonts w:ascii="Times New Roman" w:hAnsi="Times New Roman" w:cs="Times New Roman"/>
              </w:rPr>
            </w:pPr>
            <w:r>
              <w:rPr>
                <w:rFonts w:ascii="Times New Roman" w:hAnsi="Times New Roman" w:cs="Times New Roman"/>
              </w:rPr>
              <w:t>v</w:t>
            </w:r>
            <w:r w:rsidRPr="00E31530">
              <w:rPr>
                <w:rFonts w:ascii="Times New Roman" w:hAnsi="Times New Roman" w:cs="Times New Roman"/>
              </w:rPr>
              <w:t>ery unlikely event sequences</w:t>
            </w:r>
          </w:p>
          <w:p w:rsidR="000E45BE" w:rsidRPr="00E31530" w:rsidP="002F3C90" w14:paraId="61F5FB60" w14:textId="4EFAFBF8">
            <w:pPr>
              <w:pStyle w:val="ListParagraph"/>
              <w:numPr>
                <w:ilvl w:val="0"/>
                <w:numId w:val="60"/>
              </w:numPr>
              <w:ind w:left="430"/>
              <w:rPr>
                <w:rFonts w:ascii="Times New Roman" w:hAnsi="Times New Roman" w:cs="Times New Roman"/>
              </w:rPr>
            </w:pPr>
            <w:r w:rsidRPr="00E31530">
              <w:rPr>
                <w:rFonts w:ascii="Times New Roman" w:hAnsi="Times New Roman" w:cs="Times New Roman"/>
              </w:rPr>
              <w:t>D</w:t>
            </w:r>
            <w:r w:rsidR="00854F40">
              <w:rPr>
                <w:rFonts w:ascii="Times New Roman" w:hAnsi="Times New Roman" w:cs="Times New Roman"/>
              </w:rPr>
              <w:t>BAs</w:t>
            </w:r>
          </w:p>
        </w:tc>
        <w:tc>
          <w:tcPr>
            <w:tcW w:w="1975" w:type="dxa"/>
            <w:tcBorders>
              <w:top w:val="single" w:sz="12" w:space="0" w:color="auto"/>
              <w:bottom w:val="single" w:sz="12" w:space="0" w:color="auto"/>
              <w:right w:val="single" w:sz="12" w:space="0" w:color="auto"/>
            </w:tcBorders>
            <w:vAlign w:val="center"/>
          </w:tcPr>
          <w:p w:rsidR="000E45BE" w:rsidRPr="00E72381" w:rsidP="002F3C90" w14:paraId="34B97814" w14:textId="79DD50AB">
            <w:pPr>
              <w:jc w:val="center"/>
              <w:rPr>
                <w:rFonts w:ascii="Times New Roman" w:hAnsi="Times New Roman" w:cs="Times New Roman"/>
              </w:rPr>
            </w:pPr>
            <w:r>
              <w:rPr>
                <w:rFonts w:ascii="Times New Roman" w:hAnsi="Times New Roman" w:cs="Times New Roman"/>
              </w:rPr>
              <w:t>PRA</w:t>
            </w:r>
            <w:r w:rsidR="005B63A7">
              <w:rPr>
                <w:rFonts w:ascii="Times New Roman" w:hAnsi="Times New Roman" w:cs="Times New Roman"/>
              </w:rPr>
              <w:t xml:space="preserve">, other </w:t>
            </w:r>
            <w:r w:rsidR="00827F74">
              <w:rPr>
                <w:rFonts w:ascii="Times New Roman" w:hAnsi="Times New Roman" w:cs="Times New Roman"/>
              </w:rPr>
              <w:t>systematic risk evaluations (</w:t>
            </w:r>
            <w:r w:rsidR="005B63A7">
              <w:rPr>
                <w:rFonts w:ascii="Times New Roman" w:hAnsi="Times New Roman" w:cs="Times New Roman"/>
              </w:rPr>
              <w:t>SREs</w:t>
            </w:r>
            <w:r w:rsidR="00827F74">
              <w:rPr>
                <w:rFonts w:ascii="Times New Roman" w:hAnsi="Times New Roman" w:cs="Times New Roman"/>
              </w:rPr>
              <w:t>)</w:t>
            </w:r>
            <w:r w:rsidR="00CD3B2A">
              <w:rPr>
                <w:rFonts w:ascii="Times New Roman" w:hAnsi="Times New Roman" w:cs="Times New Roman"/>
              </w:rPr>
              <w:t>, or a combination thereof</w:t>
            </w:r>
            <w:r>
              <w:rPr>
                <w:rFonts w:ascii="Times New Roman" w:hAnsi="Times New Roman" w:cs="Times New Roman"/>
              </w:rPr>
              <w:t xml:space="preserve"> required</w:t>
            </w:r>
          </w:p>
        </w:tc>
      </w:tr>
      <w:tr w14:paraId="2C6DE0E5" w14:textId="77777777" w:rsidTr="009D3E2B">
        <w:tblPrEx>
          <w:tblW w:w="9525" w:type="dxa"/>
          <w:tblInd w:w="10" w:type="dxa"/>
          <w:tblLook w:val="04A0"/>
        </w:tblPrEx>
        <w:tc>
          <w:tcPr>
            <w:tcW w:w="9525" w:type="dxa"/>
            <w:gridSpan w:val="5"/>
            <w:tcBorders>
              <w:left w:val="single" w:sz="12" w:space="0" w:color="auto"/>
              <w:bottom w:val="single" w:sz="12" w:space="0" w:color="auto"/>
              <w:right w:val="single" w:sz="12" w:space="0" w:color="auto"/>
            </w:tcBorders>
          </w:tcPr>
          <w:p w:rsidR="009D0802" w:rsidRPr="00D15BFC" w:rsidP="002F3C90" w14:paraId="7FD93483" w14:textId="4A6CE5E5">
            <w:pPr>
              <w:rPr>
                <w:rFonts w:ascii="Times New Roman" w:hAnsi="Times New Roman"/>
                <w:sz w:val="18"/>
              </w:rPr>
            </w:pPr>
            <w:r w:rsidRPr="00D15BFC">
              <w:rPr>
                <w:rFonts w:ascii="Times New Roman" w:hAnsi="Times New Roman"/>
                <w:vertAlign w:val="superscript"/>
              </w:rPr>
              <w:t>a</w:t>
            </w:r>
            <w:r w:rsidRPr="00D15BFC">
              <w:rPr>
                <w:rFonts w:ascii="Times New Roman" w:hAnsi="Times New Roman"/>
                <w:sz w:val="18"/>
              </w:rPr>
              <w:t>The</w:t>
            </w:r>
            <w:r w:rsidRPr="00D15BFC">
              <w:rPr>
                <w:rFonts w:ascii="Times New Roman" w:hAnsi="Times New Roman"/>
                <w:sz w:val="18"/>
              </w:rPr>
              <w:t xml:space="preserve"> Licensing Modernization Project (LMP) guidance, which is provided in NEI</w:t>
            </w:r>
            <w:r w:rsidRPr="007707BA" w:rsidR="00990E8B">
              <w:rPr>
                <w:rFonts w:ascii="Times New Roman" w:hAnsi="Times New Roman" w:cs="Times New Roman"/>
                <w:sz w:val="18"/>
                <w:szCs w:val="18"/>
              </w:rPr>
              <w:t> </w:t>
            </w:r>
            <w:r w:rsidRPr="00D15BFC">
              <w:rPr>
                <w:rFonts w:ascii="Times New Roman" w:hAnsi="Times New Roman"/>
                <w:sz w:val="18"/>
              </w:rPr>
              <w:t>18</w:t>
            </w:r>
            <w:r w:rsidRPr="007707BA" w:rsidR="00990E8B">
              <w:rPr>
                <w:rFonts w:ascii="Times New Roman" w:hAnsi="Times New Roman" w:cs="Times New Roman"/>
                <w:sz w:val="18"/>
                <w:szCs w:val="18"/>
              </w:rPr>
              <w:noBreakHyphen/>
            </w:r>
            <w:r w:rsidRPr="00D15BFC">
              <w:rPr>
                <w:rFonts w:ascii="Times New Roman" w:hAnsi="Times New Roman"/>
                <w:sz w:val="18"/>
              </w:rPr>
              <w:t xml:space="preserve">04, </w:t>
            </w:r>
            <w:r w:rsidRPr="007707BA">
              <w:rPr>
                <w:rFonts w:ascii="Times New Roman" w:hAnsi="Times New Roman" w:cs="Times New Roman"/>
                <w:sz w:val="18"/>
                <w:szCs w:val="18"/>
              </w:rPr>
              <w:t>Rev</w:t>
            </w:r>
            <w:r w:rsidR="00282DDD">
              <w:rPr>
                <w:rFonts w:ascii="Times New Roman" w:hAnsi="Times New Roman" w:cs="Times New Roman"/>
                <w:sz w:val="18"/>
                <w:szCs w:val="18"/>
              </w:rPr>
              <w:t>ision</w:t>
            </w:r>
            <w:r w:rsidRPr="007707BA" w:rsidR="00990E8B">
              <w:rPr>
                <w:rFonts w:ascii="Times New Roman" w:hAnsi="Times New Roman" w:cs="Times New Roman"/>
                <w:sz w:val="18"/>
                <w:szCs w:val="18"/>
              </w:rPr>
              <w:t> </w:t>
            </w:r>
            <w:r w:rsidRPr="00D15BFC">
              <w:rPr>
                <w:rFonts w:ascii="Times New Roman" w:hAnsi="Times New Roman"/>
                <w:sz w:val="18"/>
              </w:rPr>
              <w:t>1</w:t>
            </w:r>
            <w:r w:rsidRPr="007707BA" w:rsidR="00990E8B">
              <w:rPr>
                <w:rFonts w:ascii="Times New Roman" w:hAnsi="Times New Roman" w:cs="Times New Roman"/>
                <w:sz w:val="18"/>
                <w:szCs w:val="18"/>
              </w:rPr>
              <w:t>,</w:t>
            </w:r>
            <w:r w:rsidRPr="00D15BFC">
              <w:rPr>
                <w:rFonts w:ascii="Times New Roman" w:hAnsi="Times New Roman"/>
                <w:sz w:val="18"/>
              </w:rPr>
              <w:t xml:space="preserve"> and endorsed in RG</w:t>
            </w:r>
            <w:r w:rsidRPr="007707BA" w:rsidR="00990E8B">
              <w:rPr>
                <w:rFonts w:ascii="Times New Roman" w:hAnsi="Times New Roman" w:cs="Times New Roman"/>
                <w:sz w:val="18"/>
                <w:szCs w:val="18"/>
              </w:rPr>
              <w:t> </w:t>
            </w:r>
            <w:r w:rsidRPr="00D15BFC">
              <w:rPr>
                <w:rFonts w:ascii="Times New Roman" w:hAnsi="Times New Roman"/>
                <w:sz w:val="18"/>
              </w:rPr>
              <w:t xml:space="preserve">1.233, provides a voluntary technology-inclusive approach to </w:t>
            </w:r>
            <w:r w:rsidR="00585975">
              <w:rPr>
                <w:rFonts w:ascii="Times New Roman" w:hAnsi="Times New Roman" w:cs="Times New Roman"/>
                <w:sz w:val="18"/>
                <w:szCs w:val="18"/>
              </w:rPr>
              <w:t>licensing-basis event</w:t>
            </w:r>
            <w:r w:rsidRPr="00D15BFC">
              <w:rPr>
                <w:rFonts w:ascii="Times New Roman" w:hAnsi="Times New Roman"/>
                <w:sz w:val="18"/>
              </w:rPr>
              <w:t xml:space="preserve"> selection for non</w:t>
            </w:r>
            <w:r w:rsidRPr="007707BA" w:rsidR="00990E8B">
              <w:rPr>
                <w:rFonts w:ascii="Times New Roman" w:hAnsi="Times New Roman" w:cs="Times New Roman"/>
                <w:sz w:val="18"/>
                <w:szCs w:val="18"/>
              </w:rPr>
              <w:noBreakHyphen/>
            </w:r>
            <w:r w:rsidRPr="00D15BFC">
              <w:rPr>
                <w:rFonts w:ascii="Times New Roman" w:hAnsi="Times New Roman"/>
                <w:sz w:val="18"/>
              </w:rPr>
              <w:t xml:space="preserve">LWRs licensed under </w:t>
            </w:r>
            <w:r w:rsidRPr="007707BA" w:rsidR="00990E8B">
              <w:rPr>
                <w:rFonts w:ascii="Times New Roman" w:hAnsi="Times New Roman" w:cs="Times New Roman"/>
                <w:sz w:val="18"/>
                <w:szCs w:val="18"/>
              </w:rPr>
              <w:t>10 CFR </w:t>
            </w:r>
            <w:r w:rsidRPr="007707BA">
              <w:rPr>
                <w:rFonts w:ascii="Times New Roman" w:hAnsi="Times New Roman" w:cs="Times New Roman"/>
                <w:sz w:val="18"/>
                <w:szCs w:val="18"/>
              </w:rPr>
              <w:t>Part</w:t>
            </w:r>
            <w:r w:rsidRPr="007707BA" w:rsidR="00990E8B">
              <w:rPr>
                <w:rFonts w:ascii="Times New Roman" w:hAnsi="Times New Roman" w:cs="Times New Roman"/>
                <w:sz w:val="18"/>
                <w:szCs w:val="18"/>
              </w:rPr>
              <w:t> </w:t>
            </w:r>
            <w:r w:rsidRPr="00D15BFC">
              <w:rPr>
                <w:rFonts w:ascii="Times New Roman" w:hAnsi="Times New Roman"/>
                <w:sz w:val="18"/>
              </w:rPr>
              <w:t xml:space="preserve">50 or </w:t>
            </w:r>
            <w:r w:rsidRPr="007707BA" w:rsidR="00990E8B">
              <w:rPr>
                <w:rFonts w:ascii="Times New Roman" w:hAnsi="Times New Roman" w:cs="Times New Roman"/>
                <w:sz w:val="18"/>
                <w:szCs w:val="18"/>
              </w:rPr>
              <w:t>10 CFR Part </w:t>
            </w:r>
            <w:r w:rsidRPr="00D15BFC">
              <w:rPr>
                <w:rFonts w:ascii="Times New Roman" w:hAnsi="Times New Roman"/>
                <w:sz w:val="18"/>
              </w:rPr>
              <w:t>52.</w:t>
            </w:r>
          </w:p>
          <w:p w:rsidR="000E45BE" w:rsidRPr="00056734" w:rsidP="002F3C90" w14:paraId="5481E4A4" w14:textId="2E7F9794">
            <w:pPr>
              <w:rPr>
                <w:rFonts w:ascii="Times New Roman" w:hAnsi="Times New Roman"/>
                <w:sz w:val="18"/>
                <w:szCs w:val="18"/>
              </w:rPr>
            </w:pPr>
            <w:r w:rsidRPr="00056734">
              <w:rPr>
                <w:rFonts w:ascii="Times New Roman" w:hAnsi="Times New Roman"/>
                <w:sz w:val="18"/>
                <w:szCs w:val="18"/>
                <w:vertAlign w:val="superscript"/>
              </w:rPr>
              <w:t>b</w:t>
            </w:r>
            <w:r w:rsidRPr="00056734">
              <w:rPr>
                <w:rFonts w:ascii="Times New Roman" w:hAnsi="Times New Roman"/>
                <w:sz w:val="18"/>
                <w:szCs w:val="18"/>
              </w:rPr>
              <w:t>Although</w:t>
            </w:r>
            <w:r w:rsidRPr="00056734">
              <w:rPr>
                <w:rFonts w:ascii="Times New Roman" w:hAnsi="Times New Roman"/>
                <w:sz w:val="18"/>
                <w:szCs w:val="18"/>
              </w:rPr>
              <w:t xml:space="preserve"> 10</w:t>
            </w:r>
            <w:r w:rsidRPr="00056734" w:rsidR="00990E8B">
              <w:rPr>
                <w:rFonts w:ascii="Times New Roman" w:hAnsi="Times New Roman" w:cs="Times New Roman"/>
                <w:sz w:val="18"/>
                <w:szCs w:val="18"/>
              </w:rPr>
              <w:t> </w:t>
            </w:r>
            <w:r w:rsidRPr="00056734">
              <w:rPr>
                <w:rFonts w:ascii="Times New Roman" w:hAnsi="Times New Roman"/>
                <w:sz w:val="18"/>
                <w:szCs w:val="18"/>
              </w:rPr>
              <w:t>CFR</w:t>
            </w:r>
            <w:r w:rsidRPr="00056734" w:rsidR="00990E8B">
              <w:rPr>
                <w:rFonts w:ascii="Times New Roman" w:hAnsi="Times New Roman" w:cs="Times New Roman"/>
                <w:sz w:val="18"/>
                <w:szCs w:val="18"/>
              </w:rPr>
              <w:t> </w:t>
            </w:r>
            <w:r w:rsidRPr="00056734">
              <w:rPr>
                <w:rFonts w:ascii="Times New Roman" w:hAnsi="Times New Roman" w:cs="Times New Roman"/>
                <w:sz w:val="18"/>
                <w:szCs w:val="18"/>
              </w:rPr>
              <w:t>Part</w:t>
            </w:r>
            <w:r w:rsidRPr="00056734" w:rsidR="00990E8B">
              <w:rPr>
                <w:rFonts w:ascii="Times New Roman" w:hAnsi="Times New Roman" w:cs="Times New Roman"/>
                <w:sz w:val="18"/>
                <w:szCs w:val="18"/>
              </w:rPr>
              <w:t> </w:t>
            </w:r>
            <w:r w:rsidRPr="00056734">
              <w:rPr>
                <w:rFonts w:ascii="Times New Roman" w:hAnsi="Times New Roman"/>
                <w:sz w:val="18"/>
                <w:szCs w:val="18"/>
              </w:rPr>
              <w:t xml:space="preserve">50 and </w:t>
            </w:r>
            <w:r w:rsidRPr="00056734" w:rsidR="00990E8B">
              <w:rPr>
                <w:rFonts w:ascii="Times New Roman" w:hAnsi="Times New Roman" w:cs="Times New Roman"/>
                <w:sz w:val="18"/>
                <w:szCs w:val="18"/>
              </w:rPr>
              <w:t>10 CFR Part </w:t>
            </w:r>
            <w:r w:rsidRPr="00056734">
              <w:rPr>
                <w:rFonts w:ascii="Times New Roman" w:hAnsi="Times New Roman"/>
                <w:sz w:val="18"/>
                <w:szCs w:val="18"/>
              </w:rPr>
              <w:t xml:space="preserve">52 include normal operation in the design </w:t>
            </w:r>
            <w:r w:rsidRPr="00056734">
              <w:rPr>
                <w:rFonts w:ascii="Times New Roman" w:hAnsi="Times New Roman"/>
                <w:sz w:val="18"/>
                <w:szCs w:val="18"/>
              </w:rPr>
              <w:t>bas</w:t>
            </w:r>
            <w:r w:rsidRPr="00056734" w:rsidR="005872F2">
              <w:rPr>
                <w:rFonts w:ascii="Times New Roman" w:hAnsi="Times New Roman" w:cs="Times New Roman"/>
                <w:sz w:val="18"/>
                <w:szCs w:val="18"/>
              </w:rPr>
              <w:t>e</w:t>
            </w:r>
            <w:r w:rsidRPr="00056734">
              <w:rPr>
                <w:rFonts w:ascii="Times New Roman" w:hAnsi="Times New Roman"/>
                <w:sz w:val="18"/>
                <w:szCs w:val="18"/>
              </w:rPr>
              <w:t>s,</w:t>
            </w:r>
            <w:r w:rsidRPr="00056734">
              <w:rPr>
                <w:rFonts w:ascii="Times New Roman" w:hAnsi="Times New Roman"/>
                <w:sz w:val="18"/>
                <w:szCs w:val="18"/>
              </w:rPr>
              <w:t xml:space="preserve"> the risk evaluation focuses on departures from normal operation.</w:t>
            </w:r>
          </w:p>
          <w:p w:rsidR="000E45BE" w:rsidRPr="00E72381" w:rsidP="002F3C90" w14:paraId="61BA9176" w14:textId="4754CB11">
            <w:pPr>
              <w:rPr>
                <w:rFonts w:ascii="Times New Roman" w:hAnsi="Times New Roman" w:cs="Times New Roman"/>
              </w:rPr>
            </w:pPr>
            <w:r>
              <w:rPr>
                <w:rFonts w:ascii="Times New Roman" w:hAnsi="Times New Roman"/>
                <w:sz w:val="18"/>
                <w:szCs w:val="18"/>
                <w:vertAlign w:val="superscript"/>
              </w:rPr>
              <w:t>c</w:t>
            </w:r>
            <w:r w:rsidRPr="00056734">
              <w:rPr>
                <w:rFonts w:ascii="Times New Roman" w:hAnsi="Times New Roman"/>
                <w:sz w:val="18"/>
                <w:szCs w:val="18"/>
              </w:rPr>
              <w:t>The</w:t>
            </w:r>
            <w:r w:rsidRPr="00056734">
              <w:rPr>
                <w:rFonts w:ascii="Times New Roman" w:hAnsi="Times New Roman"/>
                <w:sz w:val="18"/>
                <w:szCs w:val="18"/>
              </w:rPr>
              <w:t xml:space="preserve"> </w:t>
            </w:r>
            <w:r w:rsidRPr="00056734" w:rsidR="005126B5">
              <w:rPr>
                <w:rFonts w:ascii="Times New Roman" w:hAnsi="Times New Roman"/>
                <w:sz w:val="18"/>
                <w:szCs w:val="18"/>
              </w:rPr>
              <w:t xml:space="preserve">staff </w:t>
            </w:r>
            <w:r>
              <w:rPr>
                <w:rFonts w:ascii="Times New Roman" w:hAnsi="Times New Roman"/>
                <w:sz w:val="18"/>
                <w:szCs w:val="18"/>
              </w:rPr>
              <w:t>may</w:t>
            </w:r>
            <w:r w:rsidRPr="00056734" w:rsidR="005126B5">
              <w:rPr>
                <w:rFonts w:ascii="Times New Roman" w:hAnsi="Times New Roman"/>
                <w:sz w:val="18"/>
                <w:szCs w:val="18"/>
              </w:rPr>
              <w:t xml:space="preserve"> revise RG</w:t>
            </w:r>
            <w:r w:rsidRPr="00056734" w:rsidR="00990E8B">
              <w:rPr>
                <w:rFonts w:ascii="Times New Roman" w:hAnsi="Times New Roman" w:cs="Times New Roman"/>
                <w:sz w:val="18"/>
                <w:szCs w:val="18"/>
              </w:rPr>
              <w:t> </w:t>
            </w:r>
            <w:r w:rsidRPr="00056734" w:rsidR="005126B5">
              <w:rPr>
                <w:rFonts w:ascii="Times New Roman" w:hAnsi="Times New Roman"/>
                <w:sz w:val="18"/>
                <w:szCs w:val="18"/>
              </w:rPr>
              <w:t>1.233</w:t>
            </w:r>
            <w:r w:rsidRPr="00056734" w:rsidR="007C7270">
              <w:rPr>
                <w:rFonts w:ascii="Times New Roman" w:hAnsi="Times New Roman"/>
                <w:sz w:val="18"/>
                <w:szCs w:val="18"/>
              </w:rPr>
              <w:t xml:space="preserve"> </w:t>
            </w:r>
            <w:r w:rsidRPr="00056734" w:rsidR="007C7270">
              <w:rPr>
                <w:rFonts w:ascii="Times New Roman" w:hAnsi="Times New Roman" w:cs="Times New Roman"/>
                <w:sz w:val="18"/>
                <w:szCs w:val="18"/>
              </w:rPr>
              <w:t>in the future</w:t>
            </w:r>
            <w:r w:rsidRPr="00056734" w:rsidR="005126B5">
              <w:rPr>
                <w:rFonts w:ascii="Times New Roman" w:hAnsi="Times New Roman" w:cs="Times New Roman"/>
                <w:sz w:val="18"/>
                <w:szCs w:val="18"/>
              </w:rPr>
              <w:t xml:space="preserve"> </w:t>
            </w:r>
            <w:r w:rsidRPr="00056734" w:rsidR="005126B5">
              <w:rPr>
                <w:rFonts w:ascii="Times New Roman" w:hAnsi="Times New Roman"/>
                <w:sz w:val="18"/>
                <w:szCs w:val="18"/>
              </w:rPr>
              <w:t xml:space="preserve">to address licensing under </w:t>
            </w:r>
            <w:r w:rsidRPr="00056734" w:rsidR="00990E8B">
              <w:rPr>
                <w:rFonts w:ascii="Times New Roman" w:hAnsi="Times New Roman" w:cs="Times New Roman"/>
                <w:sz w:val="18"/>
                <w:szCs w:val="18"/>
              </w:rPr>
              <w:t>10 CFR </w:t>
            </w:r>
            <w:r w:rsidRPr="00056734" w:rsidR="005126B5">
              <w:rPr>
                <w:rFonts w:ascii="Times New Roman" w:hAnsi="Times New Roman"/>
                <w:sz w:val="18"/>
                <w:szCs w:val="18"/>
              </w:rPr>
              <w:t>Part</w:t>
            </w:r>
            <w:r w:rsidRPr="00056734" w:rsidR="00990E8B">
              <w:rPr>
                <w:rFonts w:ascii="Times New Roman" w:hAnsi="Times New Roman" w:cs="Times New Roman"/>
                <w:sz w:val="18"/>
                <w:szCs w:val="18"/>
              </w:rPr>
              <w:t> </w:t>
            </w:r>
            <w:r w:rsidRPr="00056734" w:rsidR="005126B5">
              <w:rPr>
                <w:rFonts w:ascii="Times New Roman" w:hAnsi="Times New Roman"/>
                <w:sz w:val="18"/>
                <w:szCs w:val="18"/>
              </w:rPr>
              <w:t>53.</w:t>
            </w:r>
          </w:p>
        </w:tc>
      </w:tr>
    </w:tbl>
    <w:p w:rsidR="00301425" w:rsidP="002F3C90" w14:paraId="624E0DD4" w14:textId="0619795A">
      <w:pPr>
        <w:spacing w:after="0" w:line="240" w:lineRule="auto"/>
        <w:rPr>
          <w:rFonts w:ascii="Times New Roman" w:hAnsi="Times New Roman" w:cs="Times New Roman"/>
        </w:rPr>
      </w:pPr>
      <w:r>
        <w:rPr>
          <w:rFonts w:ascii="Times New Roman" w:hAnsi="Times New Roman" w:cs="Times New Roman"/>
        </w:rPr>
        <w:tab/>
        <w:t>Each row in Table</w:t>
      </w:r>
      <w:r w:rsidR="00990E8B">
        <w:rPr>
          <w:rFonts w:ascii="Times New Roman" w:hAnsi="Times New Roman" w:cs="Times New Roman"/>
        </w:rPr>
        <w:t> </w:t>
      </w:r>
      <w:r>
        <w:rPr>
          <w:rFonts w:ascii="Times New Roman" w:hAnsi="Times New Roman" w:cs="Times New Roman"/>
        </w:rPr>
        <w:t>1 denotes a specific licensing pathway, which is characterized by the first three columns labeled “</w:t>
      </w:r>
      <w:r w:rsidR="001A1662">
        <w:rPr>
          <w:rFonts w:ascii="Times New Roman" w:hAnsi="Times New Roman" w:cs="Times New Roman"/>
        </w:rPr>
        <w:t>Regulation and Application Type</w:t>
      </w:r>
      <w:r>
        <w:rPr>
          <w:rFonts w:ascii="Times New Roman" w:hAnsi="Times New Roman" w:cs="Times New Roman"/>
        </w:rPr>
        <w:t>,” “</w:t>
      </w:r>
      <w:r w:rsidR="00612116">
        <w:rPr>
          <w:rFonts w:ascii="Times New Roman" w:hAnsi="Times New Roman" w:cs="Times New Roman"/>
        </w:rPr>
        <w:t>R</w:t>
      </w:r>
      <w:r>
        <w:rPr>
          <w:rFonts w:ascii="Times New Roman" w:hAnsi="Times New Roman" w:cs="Times New Roman"/>
        </w:rPr>
        <w:t xml:space="preserve">eactor </w:t>
      </w:r>
      <w:r w:rsidR="00612116">
        <w:rPr>
          <w:rFonts w:ascii="Times New Roman" w:hAnsi="Times New Roman" w:cs="Times New Roman"/>
        </w:rPr>
        <w:t>T</w:t>
      </w:r>
      <w:r>
        <w:rPr>
          <w:rFonts w:ascii="Times New Roman" w:hAnsi="Times New Roman" w:cs="Times New Roman"/>
        </w:rPr>
        <w:t>ype,” and “</w:t>
      </w:r>
      <w:r w:rsidR="00612116">
        <w:rPr>
          <w:rFonts w:ascii="Times New Roman" w:hAnsi="Times New Roman" w:cs="Times New Roman"/>
        </w:rPr>
        <w:t xml:space="preserve">Use of </w:t>
      </w:r>
      <w:r>
        <w:rPr>
          <w:rFonts w:ascii="Times New Roman" w:hAnsi="Times New Roman" w:cs="Times New Roman"/>
        </w:rPr>
        <w:t>LMP.” Collectively, the information in the first three columns identifies (1)</w:t>
      </w:r>
      <w:r w:rsidR="00990E8B">
        <w:rPr>
          <w:rFonts w:ascii="Times New Roman" w:hAnsi="Times New Roman" w:cs="Times New Roman"/>
        </w:rPr>
        <w:t> </w:t>
      </w:r>
      <w:r>
        <w:rPr>
          <w:rFonts w:ascii="Times New Roman" w:hAnsi="Times New Roman" w:cs="Times New Roman"/>
        </w:rPr>
        <w:t>t</w:t>
      </w:r>
      <w:r w:rsidRPr="0066035B">
        <w:rPr>
          <w:rFonts w:ascii="Times New Roman" w:hAnsi="Times New Roman" w:cs="Times New Roman"/>
        </w:rPr>
        <w:t>he regulation under which the</w:t>
      </w:r>
      <w:r w:rsidR="000D50D3">
        <w:rPr>
          <w:rFonts w:ascii="Times New Roman" w:hAnsi="Times New Roman" w:cs="Times New Roman"/>
        </w:rPr>
        <w:t xml:space="preserve"> </w:t>
      </w:r>
      <w:r w:rsidRPr="0066035B">
        <w:rPr>
          <w:rFonts w:ascii="Times New Roman" w:hAnsi="Times New Roman" w:cs="Times New Roman"/>
        </w:rPr>
        <w:t>application is submitted</w:t>
      </w:r>
      <w:r w:rsidR="00434053">
        <w:rPr>
          <w:rFonts w:ascii="Times New Roman" w:hAnsi="Times New Roman" w:cs="Times New Roman"/>
        </w:rPr>
        <w:t xml:space="preserve"> and </w:t>
      </w:r>
      <w:r>
        <w:rPr>
          <w:rFonts w:ascii="Times New Roman" w:hAnsi="Times New Roman" w:cs="Times New Roman"/>
        </w:rPr>
        <w:t>t</w:t>
      </w:r>
      <w:r w:rsidRPr="009541FC">
        <w:rPr>
          <w:rFonts w:ascii="Times New Roman" w:hAnsi="Times New Roman" w:cs="Times New Roman"/>
        </w:rPr>
        <w:t>he type of application (CP, OL, DC, SDA, ML, or COL)</w:t>
      </w:r>
      <w:r w:rsidR="00990E8B">
        <w:rPr>
          <w:rFonts w:ascii="Times New Roman" w:hAnsi="Times New Roman" w:cs="Times New Roman"/>
        </w:rPr>
        <w:t>,</w:t>
      </w:r>
      <w:r>
        <w:rPr>
          <w:rFonts w:ascii="Times New Roman" w:hAnsi="Times New Roman" w:cs="Times New Roman"/>
        </w:rPr>
        <w:t xml:space="preserve"> (</w:t>
      </w:r>
      <w:r w:rsidR="00434053">
        <w:rPr>
          <w:rFonts w:ascii="Times New Roman" w:hAnsi="Times New Roman" w:cs="Times New Roman"/>
        </w:rPr>
        <w:t>2</w:t>
      </w:r>
      <w:r>
        <w:rPr>
          <w:rFonts w:ascii="Times New Roman" w:hAnsi="Times New Roman" w:cs="Times New Roman"/>
        </w:rPr>
        <w:t>)</w:t>
      </w:r>
      <w:r w:rsidR="00990E8B">
        <w:rPr>
          <w:rFonts w:ascii="Times New Roman" w:hAnsi="Times New Roman" w:cs="Times New Roman"/>
        </w:rPr>
        <w:t> </w:t>
      </w:r>
      <w:r>
        <w:rPr>
          <w:rFonts w:ascii="Times New Roman" w:hAnsi="Times New Roman" w:cs="Times New Roman"/>
        </w:rPr>
        <w:t>t</w:t>
      </w:r>
      <w:r w:rsidRPr="009541FC">
        <w:rPr>
          <w:rFonts w:ascii="Times New Roman" w:hAnsi="Times New Roman" w:cs="Times New Roman"/>
        </w:rPr>
        <w:t>he reactor technology that is proposed (LWR or non-LWR)</w:t>
      </w:r>
      <w:r w:rsidR="00990E8B">
        <w:rPr>
          <w:rFonts w:ascii="Times New Roman" w:hAnsi="Times New Roman" w:cs="Times New Roman"/>
        </w:rPr>
        <w:t>,</w:t>
      </w:r>
      <w:r>
        <w:rPr>
          <w:rFonts w:ascii="Times New Roman" w:hAnsi="Times New Roman" w:cs="Times New Roman"/>
        </w:rPr>
        <w:t xml:space="preserve"> and (</w:t>
      </w:r>
      <w:r w:rsidR="00434053">
        <w:rPr>
          <w:rFonts w:ascii="Times New Roman" w:hAnsi="Times New Roman" w:cs="Times New Roman"/>
        </w:rPr>
        <w:t>3</w:t>
      </w:r>
      <w:r>
        <w:rPr>
          <w:rFonts w:ascii="Times New Roman" w:hAnsi="Times New Roman" w:cs="Times New Roman"/>
        </w:rPr>
        <w:t>)</w:t>
      </w:r>
      <w:r w:rsidR="00990E8B">
        <w:rPr>
          <w:rFonts w:ascii="Times New Roman" w:hAnsi="Times New Roman" w:cs="Times New Roman"/>
        </w:rPr>
        <w:t> </w:t>
      </w:r>
      <w:r>
        <w:rPr>
          <w:rFonts w:ascii="Times New Roman" w:hAnsi="Times New Roman" w:cs="Times New Roman"/>
        </w:rPr>
        <w:t>the u</w:t>
      </w:r>
      <w:r w:rsidRPr="009541FC">
        <w:rPr>
          <w:rFonts w:ascii="Times New Roman" w:hAnsi="Times New Roman" w:cs="Times New Roman"/>
        </w:rPr>
        <w:t>se of the LMP guidance</w:t>
      </w:r>
      <w:r>
        <w:rPr>
          <w:rFonts w:ascii="Times New Roman" w:hAnsi="Times New Roman" w:cs="Times New Roman"/>
        </w:rPr>
        <w:t xml:space="preserve"> (</w:t>
      </w:r>
      <w:r w:rsidRPr="009541FC">
        <w:rPr>
          <w:rFonts w:ascii="Times New Roman" w:hAnsi="Times New Roman" w:cs="Times New Roman"/>
        </w:rPr>
        <w:t>NEI</w:t>
      </w:r>
      <w:r w:rsidR="00990E8B">
        <w:rPr>
          <w:rFonts w:ascii="Times New Roman" w:hAnsi="Times New Roman" w:cs="Times New Roman"/>
        </w:rPr>
        <w:t> </w:t>
      </w:r>
      <w:r w:rsidRPr="009541FC">
        <w:rPr>
          <w:rFonts w:ascii="Times New Roman" w:hAnsi="Times New Roman" w:cs="Times New Roman"/>
        </w:rPr>
        <w:t>18</w:t>
      </w:r>
      <w:r w:rsidR="00990E8B">
        <w:rPr>
          <w:rFonts w:ascii="Times New Roman" w:hAnsi="Times New Roman" w:cs="Times New Roman"/>
        </w:rPr>
        <w:noBreakHyphen/>
      </w:r>
      <w:r w:rsidRPr="009541FC">
        <w:rPr>
          <w:rFonts w:ascii="Times New Roman" w:hAnsi="Times New Roman" w:cs="Times New Roman"/>
        </w:rPr>
        <w:t>04, Rev</w:t>
      </w:r>
      <w:r w:rsidR="00DB2E50">
        <w:rPr>
          <w:rFonts w:ascii="Times New Roman" w:hAnsi="Times New Roman" w:cs="Times New Roman"/>
        </w:rPr>
        <w:t>ision</w:t>
      </w:r>
      <w:r w:rsidR="00990E8B">
        <w:rPr>
          <w:rFonts w:ascii="Times New Roman" w:hAnsi="Times New Roman" w:cs="Times New Roman"/>
        </w:rPr>
        <w:t> </w:t>
      </w:r>
      <w:r w:rsidRPr="009541FC">
        <w:rPr>
          <w:rFonts w:ascii="Times New Roman" w:hAnsi="Times New Roman" w:cs="Times New Roman"/>
        </w:rPr>
        <w:t>1</w:t>
      </w:r>
      <w:r>
        <w:rPr>
          <w:rFonts w:ascii="Times New Roman" w:hAnsi="Times New Roman" w:cs="Times New Roman"/>
        </w:rPr>
        <w:t xml:space="preserve">, as endorsed </w:t>
      </w:r>
      <w:r w:rsidRPr="009541FC">
        <w:rPr>
          <w:rFonts w:ascii="Times New Roman" w:hAnsi="Times New Roman" w:cs="Times New Roman"/>
        </w:rPr>
        <w:t>in RG</w:t>
      </w:r>
      <w:r w:rsidR="00990E8B">
        <w:rPr>
          <w:rFonts w:ascii="Times New Roman" w:hAnsi="Times New Roman" w:cs="Times New Roman"/>
        </w:rPr>
        <w:t> </w:t>
      </w:r>
      <w:r w:rsidRPr="009541FC">
        <w:rPr>
          <w:rFonts w:ascii="Times New Roman" w:hAnsi="Times New Roman" w:cs="Times New Roman"/>
        </w:rPr>
        <w:t>1.233</w:t>
      </w:r>
      <w:r>
        <w:rPr>
          <w:rFonts w:ascii="Times New Roman" w:hAnsi="Times New Roman" w:cs="Times New Roman"/>
        </w:rPr>
        <w:t>)</w:t>
      </w:r>
      <w:r w:rsidRPr="009541FC">
        <w:rPr>
          <w:rFonts w:ascii="Times New Roman" w:hAnsi="Times New Roman" w:cs="Times New Roman"/>
        </w:rPr>
        <w:t xml:space="preserve">, </w:t>
      </w:r>
      <w:r>
        <w:rPr>
          <w:rFonts w:ascii="Times New Roman" w:hAnsi="Times New Roman" w:cs="Times New Roman"/>
        </w:rPr>
        <w:t xml:space="preserve">which </w:t>
      </w:r>
      <w:r w:rsidRPr="009541FC">
        <w:rPr>
          <w:rFonts w:ascii="Times New Roman" w:hAnsi="Times New Roman" w:cs="Times New Roman"/>
        </w:rPr>
        <w:t xml:space="preserve">provides a </w:t>
      </w:r>
      <w:r>
        <w:rPr>
          <w:rFonts w:ascii="Times New Roman" w:hAnsi="Times New Roman" w:cs="Times New Roman"/>
        </w:rPr>
        <w:t xml:space="preserve">voluntary </w:t>
      </w:r>
      <w:r w:rsidRPr="009541FC">
        <w:rPr>
          <w:rFonts w:ascii="Times New Roman" w:hAnsi="Times New Roman" w:cs="Times New Roman"/>
        </w:rPr>
        <w:t xml:space="preserve">technology-inclusive approach to </w:t>
      </w:r>
      <w:r w:rsidR="00585975">
        <w:rPr>
          <w:rFonts w:ascii="Times New Roman" w:hAnsi="Times New Roman" w:cs="Times New Roman"/>
        </w:rPr>
        <w:t>licensing-basis event</w:t>
      </w:r>
      <w:r w:rsidRPr="009541FC">
        <w:rPr>
          <w:rFonts w:ascii="Times New Roman" w:hAnsi="Times New Roman" w:cs="Times New Roman"/>
        </w:rPr>
        <w:t xml:space="preserve"> selection for non-LWRs licensed under </w:t>
      </w:r>
      <w:r w:rsidR="00990E8B">
        <w:rPr>
          <w:rFonts w:ascii="Times New Roman" w:hAnsi="Times New Roman" w:cs="Times New Roman"/>
        </w:rPr>
        <w:t>10 CFR </w:t>
      </w:r>
      <w:r w:rsidRPr="009541FC">
        <w:rPr>
          <w:rFonts w:ascii="Times New Roman" w:hAnsi="Times New Roman" w:cs="Times New Roman"/>
        </w:rPr>
        <w:t>Part</w:t>
      </w:r>
      <w:r w:rsidR="00990E8B">
        <w:rPr>
          <w:rFonts w:ascii="Times New Roman" w:hAnsi="Times New Roman" w:cs="Times New Roman"/>
        </w:rPr>
        <w:t> </w:t>
      </w:r>
      <w:r w:rsidRPr="009541FC">
        <w:rPr>
          <w:rFonts w:ascii="Times New Roman" w:hAnsi="Times New Roman" w:cs="Times New Roman"/>
        </w:rPr>
        <w:t xml:space="preserve">50 or </w:t>
      </w:r>
      <w:r w:rsidR="00990E8B">
        <w:rPr>
          <w:rFonts w:ascii="Times New Roman" w:hAnsi="Times New Roman" w:cs="Times New Roman"/>
        </w:rPr>
        <w:t>10 CFR Part </w:t>
      </w:r>
      <w:r w:rsidRPr="009541FC">
        <w:rPr>
          <w:rFonts w:ascii="Times New Roman" w:hAnsi="Times New Roman" w:cs="Times New Roman"/>
        </w:rPr>
        <w:t>52</w:t>
      </w:r>
      <w:r>
        <w:rPr>
          <w:rFonts w:ascii="Times New Roman" w:hAnsi="Times New Roman" w:cs="Times New Roman"/>
        </w:rPr>
        <w:t>. The column labeled “</w:t>
      </w:r>
      <w:r w:rsidRPr="00810D50">
        <w:rPr>
          <w:rFonts w:ascii="Times New Roman" w:hAnsi="Times New Roman" w:cs="Times New Roman"/>
        </w:rPr>
        <w:t>Licensing Event Categories</w:t>
      </w:r>
      <w:r>
        <w:rPr>
          <w:rFonts w:ascii="Times New Roman" w:hAnsi="Times New Roman" w:cs="Times New Roman"/>
        </w:rPr>
        <w:t>” lists the types of licensing events that apply to each licensing pathway. Finally, the column labeled “Risk Evaluation” shows what type of risk evaluation may be performed to support the application. The information and insights from risk evaluations</w:t>
      </w:r>
      <w:r w:rsidR="00990E8B">
        <w:rPr>
          <w:rFonts w:ascii="Times New Roman" w:hAnsi="Times New Roman" w:cs="Times New Roman"/>
        </w:rPr>
        <w:t>;</w:t>
      </w:r>
      <w:r>
        <w:rPr>
          <w:rFonts w:ascii="Times New Roman" w:hAnsi="Times New Roman" w:cs="Times New Roman"/>
        </w:rPr>
        <w:t xml:space="preserve"> specifically</w:t>
      </w:r>
      <w:r w:rsidR="00990E8B">
        <w:rPr>
          <w:rFonts w:ascii="Times New Roman" w:hAnsi="Times New Roman" w:cs="Times New Roman"/>
        </w:rPr>
        <w:t>,</w:t>
      </w:r>
      <w:r>
        <w:rPr>
          <w:rFonts w:ascii="Times New Roman" w:hAnsi="Times New Roman" w:cs="Times New Roman"/>
        </w:rPr>
        <w:t xml:space="preserve"> the initiating event analysis and the event sequence analysis, may be used to inform the identification of licensing events as described in detail in Section</w:t>
      </w:r>
      <w:r w:rsidR="00990E8B">
        <w:rPr>
          <w:rFonts w:ascii="Times New Roman" w:hAnsi="Times New Roman" w:cs="Times New Roman"/>
        </w:rPr>
        <w:t> </w:t>
      </w:r>
      <w:r>
        <w:rPr>
          <w:rFonts w:ascii="Times New Roman" w:hAnsi="Times New Roman" w:cs="Times New Roman"/>
        </w:rPr>
        <w:t>C of this RG.</w:t>
      </w:r>
      <w:r w:rsidR="00E920A9">
        <w:rPr>
          <w:rFonts w:ascii="Times New Roman" w:hAnsi="Times New Roman" w:cs="Times New Roman"/>
        </w:rPr>
        <w:t xml:space="preserve"> As d</w:t>
      </w:r>
      <w:r w:rsidR="00353C9D">
        <w:rPr>
          <w:rFonts w:ascii="Times New Roman" w:hAnsi="Times New Roman" w:cs="Times New Roman"/>
        </w:rPr>
        <w:t>efined in ASME/ANS RA-S-1.4-2021, “</w:t>
      </w:r>
      <w:r w:rsidR="00F91748">
        <w:rPr>
          <w:rFonts w:ascii="Times New Roman" w:hAnsi="Times New Roman" w:cs="Times New Roman"/>
        </w:rPr>
        <w:t xml:space="preserve">Probabilistic Risk Assessment </w:t>
      </w:r>
      <w:r w:rsidR="00F77431">
        <w:rPr>
          <w:rFonts w:ascii="Times New Roman" w:hAnsi="Times New Roman" w:cs="Times New Roman"/>
        </w:rPr>
        <w:t xml:space="preserve">for Advanced Non-light Water </w:t>
      </w:r>
      <w:r w:rsidR="003F6BE6">
        <w:rPr>
          <w:rFonts w:ascii="Times New Roman" w:hAnsi="Times New Roman" w:cs="Times New Roman"/>
        </w:rPr>
        <w:t xml:space="preserve">Reactor Nuclear Power Plants” (Ref. </w:t>
      </w:r>
      <w:r w:rsidR="00F748CC">
        <w:rPr>
          <w:rFonts w:ascii="Times New Roman" w:hAnsi="Times New Roman" w:cs="Times New Roman"/>
        </w:rPr>
        <w:t>12</w:t>
      </w:r>
      <w:r w:rsidR="003F6BE6">
        <w:rPr>
          <w:rFonts w:ascii="Times New Roman" w:hAnsi="Times New Roman" w:cs="Times New Roman"/>
        </w:rPr>
        <w:t>)</w:t>
      </w:r>
      <w:r w:rsidR="009959A9">
        <w:rPr>
          <w:rFonts w:ascii="Times New Roman" w:hAnsi="Times New Roman" w:cs="Times New Roman"/>
        </w:rPr>
        <w:t>, which is endorsed in RG 1.247</w:t>
      </w:r>
      <w:r w:rsidR="003F6BE6">
        <w:rPr>
          <w:rFonts w:ascii="Times New Roman" w:hAnsi="Times New Roman" w:cs="Times New Roman"/>
        </w:rPr>
        <w:t>:</w:t>
      </w:r>
    </w:p>
    <w:p w:rsidR="003F6BE6" w:rsidP="002F3C90" w14:paraId="1F447BAC" w14:textId="77777777">
      <w:pPr>
        <w:spacing w:after="0" w:line="240" w:lineRule="auto"/>
        <w:rPr>
          <w:rFonts w:ascii="Times New Roman" w:hAnsi="Times New Roman" w:cs="Times New Roman"/>
        </w:rPr>
      </w:pPr>
    </w:p>
    <w:p w:rsidR="003F6BE6" w:rsidRPr="007F1A3A" w:rsidP="002F3C90" w14:paraId="237F7A84" w14:textId="378AC455">
      <w:pPr>
        <w:pStyle w:val="ListParagraph"/>
        <w:numPr>
          <w:ilvl w:val="0"/>
          <w:numId w:val="71"/>
        </w:numPr>
        <w:spacing w:after="0" w:line="240" w:lineRule="auto"/>
        <w:rPr>
          <w:rFonts w:ascii="Times New Roman" w:hAnsi="Times New Roman" w:cs="Times New Roman"/>
        </w:rPr>
      </w:pPr>
      <w:r w:rsidRPr="007F1A3A">
        <w:rPr>
          <w:rFonts w:ascii="Times New Roman" w:hAnsi="Times New Roman" w:cs="Times New Roman"/>
          <w:i/>
          <w:iCs/>
        </w:rPr>
        <w:t>Initiating event:</w:t>
      </w:r>
      <w:r w:rsidRPr="0067680D">
        <w:rPr>
          <w:rFonts w:ascii="Times New Roman" w:hAnsi="Times New Roman" w:cs="Times New Roman"/>
        </w:rPr>
        <w:t xml:space="preserve"> a perturbation to the plant during a plant operating state that challenges plant control and safety systems whose failure could potentially lead to an undesirable end state and/or radioactive material release. An initiating event is defined in terms of the change in plant status that results in a condition requiring a response to mitigate the event or to limit the extent of plant damage caused by the initiating event. An initiating event may result from human causes, equipment failure from causes internal to the plant (e.g., hardware faults, flood, or fires) or external to the plant</w:t>
      </w:r>
      <w:r>
        <w:rPr>
          <w:rFonts w:ascii="Times New Roman" w:hAnsi="Times New Roman" w:cs="Times New Roman"/>
        </w:rPr>
        <w:t xml:space="preserve"> </w:t>
      </w:r>
      <w:r w:rsidRPr="0067680D">
        <w:rPr>
          <w:rFonts w:ascii="Times New Roman" w:hAnsi="Times New Roman" w:cs="Times New Roman"/>
        </w:rPr>
        <w:t>(e.g., earthquakes or high winds), or combinations thereof.</w:t>
      </w:r>
    </w:p>
    <w:p w:rsidR="00220885" w:rsidP="002F3C90" w14:paraId="7A4ED4A7" w14:textId="77777777">
      <w:pPr>
        <w:spacing w:after="0" w:line="240" w:lineRule="auto"/>
        <w:ind w:left="720"/>
        <w:rPr>
          <w:rFonts w:ascii="Times New Roman" w:hAnsi="Times New Roman" w:cs="Times New Roman"/>
        </w:rPr>
      </w:pPr>
    </w:p>
    <w:p w:rsidR="00220885" w:rsidRPr="007F1A3A" w:rsidP="002F3C90" w14:paraId="756BE1CA" w14:textId="27AC1368">
      <w:pPr>
        <w:pStyle w:val="ListParagraph"/>
        <w:numPr>
          <w:ilvl w:val="0"/>
          <w:numId w:val="71"/>
        </w:numPr>
        <w:spacing w:after="0" w:line="240" w:lineRule="auto"/>
        <w:rPr>
          <w:rFonts w:ascii="Times New Roman" w:hAnsi="Times New Roman" w:cs="Times New Roman"/>
        </w:rPr>
      </w:pPr>
      <w:r w:rsidRPr="007F1A3A">
        <w:rPr>
          <w:rFonts w:ascii="Times New Roman" w:hAnsi="Times New Roman" w:cs="Times New Roman"/>
          <w:i/>
          <w:iCs/>
        </w:rPr>
        <w:t>Event sequence:</w:t>
      </w:r>
      <w:r w:rsidRPr="0041256A">
        <w:rPr>
          <w:rFonts w:ascii="Times New Roman" w:hAnsi="Times New Roman" w:cs="Times New Roman"/>
        </w:rPr>
        <w:t xml:space="preserve"> a representation of a scenario in terms of</w:t>
      </w:r>
      <w:r w:rsidRPr="0041256A" w:rsidR="0041256A">
        <w:rPr>
          <w:rFonts w:ascii="Times New Roman" w:hAnsi="Times New Roman" w:cs="Times New Roman"/>
        </w:rPr>
        <w:t xml:space="preserve"> </w:t>
      </w:r>
      <w:r w:rsidRPr="0041256A">
        <w:rPr>
          <w:rFonts w:ascii="Times New Roman" w:hAnsi="Times New Roman" w:cs="Times New Roman"/>
        </w:rPr>
        <w:t>an initiating event defined for a set of initial plant conditions</w:t>
      </w:r>
      <w:r w:rsidRPr="0041256A" w:rsidR="0041256A">
        <w:rPr>
          <w:rFonts w:ascii="Times New Roman" w:hAnsi="Times New Roman" w:cs="Times New Roman"/>
        </w:rPr>
        <w:t xml:space="preserve"> </w:t>
      </w:r>
      <w:r w:rsidRPr="0041256A">
        <w:rPr>
          <w:rFonts w:ascii="Times New Roman" w:hAnsi="Times New Roman" w:cs="Times New Roman"/>
        </w:rPr>
        <w:t>(characterized by a specified plant operating state) followed</w:t>
      </w:r>
      <w:r w:rsidRPr="0041256A" w:rsidR="0041256A">
        <w:rPr>
          <w:rFonts w:ascii="Times New Roman" w:hAnsi="Times New Roman" w:cs="Times New Roman"/>
        </w:rPr>
        <w:t xml:space="preserve"> </w:t>
      </w:r>
      <w:r w:rsidRPr="0041256A">
        <w:rPr>
          <w:rFonts w:ascii="Times New Roman" w:hAnsi="Times New Roman" w:cs="Times New Roman"/>
        </w:rPr>
        <w:t>by a sequence of system, safety function, and operator</w:t>
      </w:r>
      <w:r w:rsidRPr="0041256A" w:rsidR="0041256A">
        <w:rPr>
          <w:rFonts w:ascii="Times New Roman" w:hAnsi="Times New Roman" w:cs="Times New Roman"/>
        </w:rPr>
        <w:t xml:space="preserve"> </w:t>
      </w:r>
      <w:r w:rsidRPr="0041256A">
        <w:rPr>
          <w:rFonts w:ascii="Times New Roman" w:hAnsi="Times New Roman" w:cs="Times New Roman"/>
        </w:rPr>
        <w:t>failures or successes, with sequence termination with a</w:t>
      </w:r>
      <w:r w:rsidRPr="0041256A" w:rsidR="0041256A">
        <w:rPr>
          <w:rFonts w:ascii="Times New Roman" w:hAnsi="Times New Roman" w:cs="Times New Roman"/>
        </w:rPr>
        <w:t xml:space="preserve"> </w:t>
      </w:r>
      <w:r w:rsidRPr="0041256A">
        <w:rPr>
          <w:rFonts w:ascii="Times New Roman" w:hAnsi="Times New Roman" w:cs="Times New Roman"/>
        </w:rPr>
        <w:t>specified end state (e.g., prevention of release of radioactive</w:t>
      </w:r>
      <w:r w:rsidRPr="0041256A" w:rsidR="0041256A">
        <w:rPr>
          <w:rFonts w:ascii="Times New Roman" w:hAnsi="Times New Roman" w:cs="Times New Roman"/>
        </w:rPr>
        <w:t xml:space="preserve"> </w:t>
      </w:r>
      <w:r w:rsidRPr="0041256A">
        <w:rPr>
          <w:rFonts w:ascii="Times New Roman" w:hAnsi="Times New Roman" w:cs="Times New Roman"/>
        </w:rPr>
        <w:t>material or release in one of the reactor-specific release</w:t>
      </w:r>
      <w:r w:rsidRPr="0041256A" w:rsidR="0041256A">
        <w:rPr>
          <w:rFonts w:ascii="Times New Roman" w:hAnsi="Times New Roman" w:cs="Times New Roman"/>
        </w:rPr>
        <w:t xml:space="preserve"> </w:t>
      </w:r>
      <w:r w:rsidRPr="0041256A">
        <w:rPr>
          <w:rFonts w:ascii="Times New Roman" w:hAnsi="Times New Roman" w:cs="Times New Roman"/>
        </w:rPr>
        <w:t>categories)</w:t>
      </w:r>
      <w:r w:rsidR="00DB5830">
        <w:rPr>
          <w:rFonts w:ascii="Times New Roman" w:hAnsi="Times New Roman" w:cs="Times New Roman"/>
        </w:rPr>
        <w:t xml:space="preserve">. </w:t>
      </w:r>
      <w:r w:rsidRPr="0041256A">
        <w:rPr>
          <w:rFonts w:ascii="Times New Roman" w:hAnsi="Times New Roman" w:cs="Times New Roman"/>
        </w:rPr>
        <w:t>An event sequence may</w:t>
      </w:r>
      <w:r w:rsidRPr="0041256A" w:rsidR="0041256A">
        <w:rPr>
          <w:rFonts w:ascii="Times New Roman" w:hAnsi="Times New Roman" w:cs="Times New Roman"/>
        </w:rPr>
        <w:t xml:space="preserve"> </w:t>
      </w:r>
      <w:r w:rsidRPr="0041256A">
        <w:rPr>
          <w:rFonts w:ascii="Times New Roman" w:hAnsi="Times New Roman" w:cs="Times New Roman"/>
        </w:rPr>
        <w:t xml:space="preserve">contain many unique variations of events (minimal </w:t>
      </w:r>
      <w:r w:rsidRPr="0041256A">
        <w:rPr>
          <w:rFonts w:ascii="Times New Roman" w:hAnsi="Times New Roman" w:cs="Times New Roman"/>
        </w:rPr>
        <w:t>cutsets</w:t>
      </w:r>
      <w:r w:rsidRPr="0041256A">
        <w:rPr>
          <w:rFonts w:ascii="Times New Roman" w:hAnsi="Times New Roman" w:cs="Times New Roman"/>
        </w:rPr>
        <w:t>)</w:t>
      </w:r>
      <w:r w:rsidRPr="0041256A" w:rsidR="0041256A">
        <w:rPr>
          <w:rFonts w:ascii="Times New Roman" w:hAnsi="Times New Roman" w:cs="Times New Roman"/>
        </w:rPr>
        <w:t xml:space="preserve"> </w:t>
      </w:r>
      <w:r w:rsidRPr="0041256A">
        <w:rPr>
          <w:rFonts w:ascii="Times New Roman" w:hAnsi="Times New Roman" w:cs="Times New Roman"/>
        </w:rPr>
        <w:t>that are similar in how they impact the performance of</w:t>
      </w:r>
      <w:r w:rsidR="0041256A">
        <w:rPr>
          <w:rFonts w:ascii="Times New Roman" w:hAnsi="Times New Roman" w:cs="Times New Roman"/>
        </w:rPr>
        <w:t xml:space="preserve"> </w:t>
      </w:r>
      <w:r w:rsidRPr="0041256A">
        <w:rPr>
          <w:rFonts w:ascii="Times New Roman" w:hAnsi="Times New Roman" w:cs="Times New Roman"/>
        </w:rPr>
        <w:t>safety functions along the event sequence.</w:t>
      </w:r>
    </w:p>
    <w:p w:rsidR="00CA62A4" w:rsidP="002F3C90" w14:paraId="5E32532A" w14:textId="77777777">
      <w:pPr>
        <w:spacing w:after="0" w:line="240" w:lineRule="auto"/>
        <w:rPr>
          <w:rFonts w:ascii="Times New Roman" w:hAnsi="Times New Roman" w:cs="Times New Roman"/>
        </w:rPr>
      </w:pPr>
    </w:p>
    <w:p w:rsidR="00EA2148" w:rsidP="002F3C90" w14:paraId="68AAB0D7" w14:textId="034AC618">
      <w:pPr>
        <w:spacing w:after="0" w:line="240" w:lineRule="auto"/>
        <w:rPr>
          <w:rFonts w:ascii="Times New Roman" w:hAnsi="Times New Roman" w:cs="Times New Roman"/>
        </w:rPr>
      </w:pPr>
      <w:r>
        <w:rPr>
          <w:rFonts w:ascii="Times New Roman" w:hAnsi="Times New Roman" w:cs="Times New Roman"/>
          <w:u w:val="single"/>
        </w:rPr>
        <w:t>Historical P</w:t>
      </w:r>
      <w:r w:rsidR="00DF285D">
        <w:rPr>
          <w:rFonts w:ascii="Times New Roman" w:hAnsi="Times New Roman" w:cs="Times New Roman"/>
          <w:u w:val="single"/>
        </w:rPr>
        <w:t>e</w:t>
      </w:r>
      <w:r>
        <w:rPr>
          <w:rFonts w:ascii="Times New Roman" w:hAnsi="Times New Roman" w:cs="Times New Roman"/>
          <w:u w:val="single"/>
        </w:rPr>
        <w:t>rspective</w:t>
      </w:r>
    </w:p>
    <w:p w:rsidR="00DF285D" w:rsidP="002F3C90" w14:paraId="5A3FD5A3" w14:textId="043AAAD2">
      <w:pPr>
        <w:spacing w:after="0" w:line="240" w:lineRule="auto"/>
        <w:rPr>
          <w:rFonts w:ascii="Times New Roman" w:hAnsi="Times New Roman" w:cs="Times New Roman"/>
        </w:rPr>
      </w:pPr>
    </w:p>
    <w:p w:rsidR="00DF285D" w:rsidP="002F3C90" w14:paraId="59B7FE66" w14:textId="5E27415D">
      <w:pPr>
        <w:spacing w:after="0" w:line="240" w:lineRule="auto"/>
        <w:ind w:firstLine="720"/>
        <w:rPr>
          <w:rFonts w:ascii="Times New Roman" w:hAnsi="Times New Roman" w:cs="Times New Roman"/>
        </w:rPr>
      </w:pPr>
      <w:r>
        <w:rPr>
          <w:rFonts w:ascii="Times New Roman" w:hAnsi="Times New Roman" w:cs="Times New Roman"/>
        </w:rPr>
        <w:t xml:space="preserve">In the early </w:t>
      </w:r>
      <w:r w:rsidR="00945C0C">
        <w:rPr>
          <w:rFonts w:ascii="Times New Roman" w:hAnsi="Times New Roman" w:cs="Times New Roman"/>
        </w:rPr>
        <w:t>days of commercial nuclear power, licensing events were identified on an ad hoc basis, relying on the collective engineering judg</w:t>
      </w:r>
      <w:r w:rsidR="006B67DA">
        <w:rPr>
          <w:rFonts w:ascii="Times New Roman" w:hAnsi="Times New Roman" w:cs="Times New Roman"/>
        </w:rPr>
        <w:t>ment</w:t>
      </w:r>
      <w:r w:rsidR="00945C0C">
        <w:rPr>
          <w:rFonts w:ascii="Times New Roman" w:hAnsi="Times New Roman" w:cs="Times New Roman"/>
        </w:rPr>
        <w:t xml:space="preserve"> of designers</w:t>
      </w:r>
      <w:r w:rsidR="001B5A95">
        <w:rPr>
          <w:rFonts w:ascii="Times New Roman" w:hAnsi="Times New Roman" w:cs="Times New Roman"/>
        </w:rPr>
        <w:t xml:space="preserve"> and</w:t>
      </w:r>
      <w:r w:rsidR="00E36F7E">
        <w:rPr>
          <w:rFonts w:ascii="Times New Roman" w:hAnsi="Times New Roman" w:cs="Times New Roman"/>
        </w:rPr>
        <w:t xml:space="preserve"> the regulatory staff. </w:t>
      </w:r>
      <w:r w:rsidR="00337A52">
        <w:rPr>
          <w:rFonts w:ascii="Times New Roman" w:hAnsi="Times New Roman" w:cs="Times New Roman"/>
        </w:rPr>
        <w:t>Edward Teller, the first chair of the Atomic Energy Commission</w:t>
      </w:r>
      <w:r w:rsidR="00125F49">
        <w:rPr>
          <w:rFonts w:ascii="Times New Roman" w:hAnsi="Times New Roman" w:cs="Times New Roman"/>
        </w:rPr>
        <w:t xml:space="preserve"> (AEC) Reactor Safeguards Committee (1947</w:t>
      </w:r>
      <w:r w:rsidR="004C7A23">
        <w:rPr>
          <w:rFonts w:ascii="Times New Roman" w:hAnsi="Times New Roman" w:cs="Times New Roman"/>
        </w:rPr>
        <w:t>–</w:t>
      </w:r>
      <w:r w:rsidR="00125F49">
        <w:rPr>
          <w:rFonts w:ascii="Times New Roman" w:hAnsi="Times New Roman" w:cs="Times New Roman"/>
        </w:rPr>
        <w:t>1949)</w:t>
      </w:r>
      <w:r w:rsidR="009B2474">
        <w:rPr>
          <w:rFonts w:ascii="Times New Roman" w:hAnsi="Times New Roman" w:cs="Times New Roman"/>
        </w:rPr>
        <w:t>,</w:t>
      </w:r>
      <w:r w:rsidR="00125F49">
        <w:rPr>
          <w:rFonts w:ascii="Times New Roman" w:hAnsi="Times New Roman" w:cs="Times New Roman"/>
        </w:rPr>
        <w:t xml:space="preserve"> described the process as follows</w:t>
      </w:r>
      <w:r w:rsidR="009B2474">
        <w:rPr>
          <w:rFonts w:ascii="Times New Roman" w:hAnsi="Times New Roman" w:cs="Times New Roman"/>
        </w:rPr>
        <w:t xml:space="preserve"> (Ref.</w:t>
      </w:r>
      <w:r w:rsidR="00A10297">
        <w:rPr>
          <w:rFonts w:ascii="Times New Roman" w:hAnsi="Times New Roman" w:cs="Times New Roman"/>
        </w:rPr>
        <w:t> </w:t>
      </w:r>
      <w:r w:rsidR="001F610F">
        <w:rPr>
          <w:rFonts w:ascii="Times New Roman" w:hAnsi="Times New Roman" w:cs="Times New Roman"/>
        </w:rPr>
        <w:t>13</w:t>
      </w:r>
      <w:r w:rsidR="009B2474">
        <w:rPr>
          <w:rFonts w:ascii="Times New Roman" w:hAnsi="Times New Roman" w:cs="Times New Roman"/>
        </w:rPr>
        <w:t>)</w:t>
      </w:r>
      <w:r w:rsidR="00125F49">
        <w:rPr>
          <w:rFonts w:ascii="Times New Roman" w:hAnsi="Times New Roman" w:cs="Times New Roman"/>
        </w:rPr>
        <w:t>:</w:t>
      </w:r>
    </w:p>
    <w:p w:rsidR="00125F49" w:rsidP="002F3C90" w14:paraId="02C1A266" w14:textId="597FC692">
      <w:pPr>
        <w:spacing w:after="0" w:line="240" w:lineRule="auto"/>
        <w:ind w:firstLine="720"/>
        <w:rPr>
          <w:rFonts w:ascii="Times New Roman" w:hAnsi="Times New Roman" w:cs="Times New Roman"/>
        </w:rPr>
      </w:pPr>
    </w:p>
    <w:p w:rsidR="00125F49" w:rsidP="002F3C90" w14:paraId="15F1ACA1" w14:textId="378B5E02">
      <w:pPr>
        <w:spacing w:after="0" w:line="240" w:lineRule="auto"/>
        <w:ind w:left="720" w:right="720"/>
        <w:rPr>
          <w:rFonts w:ascii="Times New Roman" w:hAnsi="Times New Roman" w:cs="Times New Roman"/>
        </w:rPr>
      </w:pPr>
      <w:r w:rsidRPr="00B43110">
        <w:rPr>
          <w:rFonts w:ascii="Times New Roman" w:hAnsi="Times New Roman" w:cs="Times New Roman"/>
        </w:rPr>
        <w:t>To avoid the very real and very great danger of an accidental release of radioactivity from a reactor, our committee established a simple procedure: We asked the planner of each reactor to imagine the worst possible accident and to design safety apparatus guaranteeing that it could not happen. The committee reviewed each reactor plan, trying to imagine an accident even greater than that conceived by the planner. If we could think of a plausible mishap worse than any discussed by the planner, his analysis of the potential dangers was considered inadequate.</w:t>
      </w:r>
    </w:p>
    <w:p w:rsidR="00B43110" w:rsidP="002F3C90" w14:paraId="6DCC2DC4" w14:textId="4D04975D">
      <w:pPr>
        <w:spacing w:after="0" w:line="240" w:lineRule="auto"/>
        <w:rPr>
          <w:rFonts w:ascii="Times New Roman" w:hAnsi="Times New Roman" w:cs="Times New Roman"/>
        </w:rPr>
      </w:pPr>
    </w:p>
    <w:p w:rsidR="00B43110" w:rsidP="002F3C90" w14:paraId="442F98A3" w14:textId="217485FA">
      <w:pPr>
        <w:spacing w:after="0" w:line="240" w:lineRule="auto"/>
        <w:ind w:firstLine="720"/>
        <w:rPr>
          <w:rFonts w:ascii="Times New Roman" w:hAnsi="Times New Roman" w:cs="Times New Roman"/>
        </w:rPr>
      </w:pPr>
      <w:r>
        <w:rPr>
          <w:rFonts w:ascii="Times New Roman" w:hAnsi="Times New Roman" w:cs="Times New Roman"/>
        </w:rPr>
        <w:t xml:space="preserve">The </w:t>
      </w:r>
      <w:r w:rsidR="00A10297">
        <w:rPr>
          <w:rFonts w:ascii="Times New Roman" w:hAnsi="Times New Roman" w:cs="Times New Roman"/>
        </w:rPr>
        <w:t xml:space="preserve">AEC regulatory staff recognized the </w:t>
      </w:r>
      <w:r>
        <w:rPr>
          <w:rFonts w:ascii="Times New Roman" w:hAnsi="Times New Roman" w:cs="Times New Roman"/>
        </w:rPr>
        <w:t xml:space="preserve">limitations of this </w:t>
      </w:r>
      <w:r w:rsidR="00A4047A">
        <w:rPr>
          <w:rFonts w:ascii="Times New Roman" w:hAnsi="Times New Roman" w:cs="Times New Roman"/>
        </w:rPr>
        <w:t xml:space="preserve">ad hoc </w:t>
      </w:r>
      <w:r>
        <w:rPr>
          <w:rFonts w:ascii="Times New Roman" w:hAnsi="Times New Roman" w:cs="Times New Roman"/>
        </w:rPr>
        <w:t>approach</w:t>
      </w:r>
      <w:r w:rsidR="00961C57">
        <w:rPr>
          <w:rFonts w:ascii="Times New Roman" w:hAnsi="Times New Roman" w:cs="Times New Roman"/>
        </w:rPr>
        <w:t xml:space="preserve">, as </w:t>
      </w:r>
      <w:r>
        <w:rPr>
          <w:rFonts w:ascii="Times New Roman" w:hAnsi="Times New Roman" w:cs="Times New Roman"/>
        </w:rPr>
        <w:t>described by</w:t>
      </w:r>
      <w:r w:rsidR="00744D4B">
        <w:rPr>
          <w:rFonts w:ascii="Times New Roman" w:hAnsi="Times New Roman" w:cs="Times New Roman"/>
        </w:rPr>
        <w:t xml:space="preserve"> Clifford Be</w:t>
      </w:r>
      <w:r w:rsidR="00961C57">
        <w:rPr>
          <w:rFonts w:ascii="Times New Roman" w:hAnsi="Times New Roman" w:cs="Times New Roman"/>
        </w:rPr>
        <w:t>ck</w:t>
      </w:r>
      <w:r w:rsidR="003F1516">
        <w:rPr>
          <w:rFonts w:ascii="Times New Roman" w:hAnsi="Times New Roman" w:cs="Times New Roman"/>
        </w:rPr>
        <w:t xml:space="preserve"> </w:t>
      </w:r>
      <w:r w:rsidR="00A75669">
        <w:rPr>
          <w:rFonts w:ascii="Times New Roman" w:hAnsi="Times New Roman" w:cs="Times New Roman"/>
        </w:rPr>
        <w:t>in 195</w:t>
      </w:r>
      <w:r w:rsidR="00B354D3">
        <w:rPr>
          <w:rFonts w:ascii="Times New Roman" w:hAnsi="Times New Roman" w:cs="Times New Roman"/>
        </w:rPr>
        <w:t>9</w:t>
      </w:r>
      <w:r w:rsidR="00A75669">
        <w:rPr>
          <w:rFonts w:ascii="Times New Roman" w:hAnsi="Times New Roman" w:cs="Times New Roman"/>
        </w:rPr>
        <w:t xml:space="preserve"> </w:t>
      </w:r>
      <w:r w:rsidR="003F1516">
        <w:rPr>
          <w:rFonts w:ascii="Times New Roman" w:hAnsi="Times New Roman" w:cs="Times New Roman"/>
        </w:rPr>
        <w:t>(</w:t>
      </w:r>
      <w:r w:rsidR="001F5458">
        <w:rPr>
          <w:rFonts w:ascii="Times New Roman" w:hAnsi="Times New Roman" w:cs="Times New Roman"/>
        </w:rPr>
        <w:t>R</w:t>
      </w:r>
      <w:r w:rsidR="003F1516">
        <w:rPr>
          <w:rFonts w:ascii="Times New Roman" w:hAnsi="Times New Roman" w:cs="Times New Roman"/>
        </w:rPr>
        <w:t>ef.</w:t>
      </w:r>
      <w:r w:rsidR="00A10297">
        <w:rPr>
          <w:rFonts w:ascii="Times New Roman" w:hAnsi="Times New Roman" w:cs="Times New Roman"/>
        </w:rPr>
        <w:t> </w:t>
      </w:r>
      <w:r w:rsidR="001F610F">
        <w:rPr>
          <w:rFonts w:ascii="Times New Roman" w:hAnsi="Times New Roman" w:cs="Times New Roman"/>
        </w:rPr>
        <w:t>14</w:t>
      </w:r>
      <w:r w:rsidR="003F1516">
        <w:rPr>
          <w:rFonts w:ascii="Times New Roman" w:hAnsi="Times New Roman" w:cs="Times New Roman"/>
        </w:rPr>
        <w:t>):</w:t>
      </w:r>
    </w:p>
    <w:p w:rsidR="003F1516" w:rsidP="002F3C90" w14:paraId="4ED0ECD0" w14:textId="4019B68A">
      <w:pPr>
        <w:spacing w:after="0" w:line="240" w:lineRule="auto"/>
        <w:rPr>
          <w:rFonts w:ascii="Times New Roman" w:hAnsi="Times New Roman" w:cs="Times New Roman"/>
        </w:rPr>
      </w:pPr>
    </w:p>
    <w:p w:rsidR="003F1516" w:rsidP="002F3C90" w14:paraId="50241738" w14:textId="1D3DA621">
      <w:pPr>
        <w:spacing w:after="0" w:line="240" w:lineRule="auto"/>
        <w:ind w:left="720" w:right="720"/>
        <w:rPr>
          <w:rFonts w:ascii="Times New Roman" w:hAnsi="Times New Roman" w:cs="Times New Roman"/>
        </w:rPr>
      </w:pPr>
      <w:r w:rsidRPr="003F1516">
        <w:rPr>
          <w:rFonts w:ascii="Times New Roman" w:hAnsi="Times New Roman" w:cs="Times New Roman"/>
        </w:rPr>
        <w:t xml:space="preserve">It is inherently impossible to give an objective definition or specification for </w:t>
      </w:r>
      <w:r w:rsidR="0040187E">
        <w:rPr>
          <w:rFonts w:ascii="Times New Roman" w:hAnsi="Times New Roman" w:cs="Times New Roman"/>
        </w:rPr>
        <w:t>“</w:t>
      </w:r>
      <w:r w:rsidRPr="003F1516">
        <w:rPr>
          <w:rFonts w:ascii="Times New Roman" w:hAnsi="Times New Roman" w:cs="Times New Roman"/>
        </w:rPr>
        <w:t>credible accidents</w:t>
      </w:r>
      <w:r w:rsidR="0040187E">
        <w:rPr>
          <w:rFonts w:ascii="Times New Roman" w:hAnsi="Times New Roman" w:cs="Times New Roman"/>
        </w:rPr>
        <w:t>”</w:t>
      </w:r>
      <w:r w:rsidRPr="003F1516">
        <w:rPr>
          <w:rFonts w:ascii="Times New Roman" w:hAnsi="Times New Roman" w:cs="Times New Roman"/>
        </w:rPr>
        <w:t xml:space="preserve"> and thus the attempt to identify these for a given reactor entails some sense of </w:t>
      </w:r>
      <w:r w:rsidRPr="003F1516">
        <w:rPr>
          <w:rFonts w:ascii="Times New Roman" w:hAnsi="Times New Roman" w:cs="Times New Roman"/>
        </w:rPr>
        <w:t>futility and frustration, and, further, it is never entirely assured that all potential accidents have been examined</w:t>
      </w:r>
      <w:r w:rsidR="00154E18">
        <w:rPr>
          <w:rFonts w:ascii="Times New Roman" w:hAnsi="Times New Roman" w:cs="Times New Roman"/>
        </w:rPr>
        <w:t>…</w:t>
      </w:r>
      <w:r w:rsidR="00673ED9">
        <w:rPr>
          <w:rFonts w:ascii="Times New Roman" w:hAnsi="Times New Roman" w:cs="Times New Roman"/>
        </w:rPr>
        <w:t xml:space="preserve">. </w:t>
      </w:r>
      <w:r w:rsidRPr="003F1516">
        <w:rPr>
          <w:rFonts w:ascii="Times New Roman" w:hAnsi="Times New Roman" w:cs="Times New Roman"/>
        </w:rPr>
        <w:t>It should be noted parenthetically, however, that this systematic search for credible accidents often contributes substantially to the safety of a facility</w:t>
      </w:r>
      <w:r w:rsidR="00154E18">
        <w:rPr>
          <w:rFonts w:ascii="Times New Roman" w:hAnsi="Times New Roman" w:cs="Times New Roman"/>
        </w:rPr>
        <w:t>…</w:t>
      </w:r>
      <w:r w:rsidR="00240FF7">
        <w:rPr>
          <w:rFonts w:ascii="Times New Roman" w:hAnsi="Times New Roman" w:cs="Times New Roman"/>
        </w:rPr>
        <w:t xml:space="preserve">. </w:t>
      </w:r>
      <w:r w:rsidRPr="00154E18" w:rsidR="00154E18">
        <w:rPr>
          <w:rFonts w:ascii="Times New Roman" w:hAnsi="Times New Roman" w:cs="Times New Roman"/>
        </w:rPr>
        <w:t xml:space="preserve">In the plants finally approved for operation, there are no </w:t>
      </w:r>
      <w:r w:rsidRPr="00154E18" w:rsidR="00154E18">
        <w:rPr>
          <w:rFonts w:ascii="Times New Roman" w:hAnsi="Times New Roman" w:cs="Times New Roman"/>
        </w:rPr>
        <w:t>really credible</w:t>
      </w:r>
      <w:r w:rsidRPr="00154E18" w:rsidR="00154E18">
        <w:rPr>
          <w:rFonts w:ascii="Times New Roman" w:hAnsi="Times New Roman" w:cs="Times New Roman"/>
        </w:rPr>
        <w:t xml:space="preserve"> potential accidents against which safeguards have not been provided to such extent that the calculated consequences to the public would be unacceptable.</w:t>
      </w:r>
    </w:p>
    <w:p w:rsidR="00961C57" w:rsidP="002F3C90" w14:paraId="196B3FDF" w14:textId="5BBF0837">
      <w:pPr>
        <w:spacing w:before="220" w:after="0" w:line="240" w:lineRule="auto"/>
        <w:rPr>
          <w:rFonts w:ascii="Times New Roman" w:hAnsi="Times New Roman" w:cs="Times New Roman"/>
        </w:rPr>
      </w:pPr>
      <w:r>
        <w:rPr>
          <w:rFonts w:ascii="Times New Roman" w:hAnsi="Times New Roman" w:cs="Times New Roman"/>
        </w:rPr>
        <w:tab/>
      </w:r>
      <w:r w:rsidR="00873A43">
        <w:rPr>
          <w:rFonts w:ascii="Times New Roman" w:hAnsi="Times New Roman" w:cs="Times New Roman"/>
        </w:rPr>
        <w:t>T</w:t>
      </w:r>
      <w:r>
        <w:rPr>
          <w:rFonts w:ascii="Times New Roman" w:hAnsi="Times New Roman" w:cs="Times New Roman"/>
        </w:rPr>
        <w:t>o help standard</w:t>
      </w:r>
      <w:r w:rsidR="00683BED">
        <w:rPr>
          <w:rFonts w:ascii="Times New Roman" w:hAnsi="Times New Roman" w:cs="Times New Roman"/>
        </w:rPr>
        <w:t>ize and expedite</w:t>
      </w:r>
      <w:r>
        <w:rPr>
          <w:rFonts w:ascii="Times New Roman" w:hAnsi="Times New Roman" w:cs="Times New Roman"/>
        </w:rPr>
        <w:t xml:space="preserve"> the review of </w:t>
      </w:r>
      <w:r w:rsidR="00683BED">
        <w:rPr>
          <w:rFonts w:ascii="Times New Roman" w:hAnsi="Times New Roman" w:cs="Times New Roman"/>
        </w:rPr>
        <w:t xml:space="preserve">new plant </w:t>
      </w:r>
      <w:r w:rsidR="00383564">
        <w:rPr>
          <w:rFonts w:ascii="Times New Roman" w:hAnsi="Times New Roman" w:cs="Times New Roman"/>
        </w:rPr>
        <w:t xml:space="preserve">license </w:t>
      </w:r>
      <w:r w:rsidR="00683BED">
        <w:rPr>
          <w:rFonts w:ascii="Times New Roman" w:hAnsi="Times New Roman" w:cs="Times New Roman"/>
        </w:rPr>
        <w:t>applications, the AEC issued guidance</w:t>
      </w:r>
      <w:r w:rsidR="00456218">
        <w:rPr>
          <w:rFonts w:ascii="Times New Roman" w:hAnsi="Times New Roman" w:cs="Times New Roman"/>
        </w:rPr>
        <w:t xml:space="preserve"> in 1966 </w:t>
      </w:r>
      <w:r w:rsidR="00E47883">
        <w:rPr>
          <w:rFonts w:ascii="Times New Roman" w:hAnsi="Times New Roman" w:cs="Times New Roman"/>
        </w:rPr>
        <w:t>(Ref.</w:t>
      </w:r>
      <w:r w:rsidR="00A10297">
        <w:rPr>
          <w:rFonts w:ascii="Times New Roman" w:hAnsi="Times New Roman" w:cs="Times New Roman"/>
        </w:rPr>
        <w:t> </w:t>
      </w:r>
      <w:r w:rsidR="001F610F">
        <w:rPr>
          <w:rFonts w:ascii="Times New Roman" w:hAnsi="Times New Roman" w:cs="Times New Roman"/>
        </w:rPr>
        <w:t>15</w:t>
      </w:r>
      <w:r w:rsidR="00E47883">
        <w:rPr>
          <w:rFonts w:ascii="Times New Roman" w:hAnsi="Times New Roman" w:cs="Times New Roman"/>
        </w:rPr>
        <w:t xml:space="preserve">) </w:t>
      </w:r>
      <w:r w:rsidR="00DC5E70">
        <w:rPr>
          <w:rFonts w:ascii="Times New Roman" w:hAnsi="Times New Roman" w:cs="Times New Roman"/>
        </w:rPr>
        <w:t>that</w:t>
      </w:r>
      <w:r w:rsidR="00456218">
        <w:rPr>
          <w:rFonts w:ascii="Times New Roman" w:hAnsi="Times New Roman" w:cs="Times New Roman"/>
        </w:rPr>
        <w:t xml:space="preserve"> provided</w:t>
      </w:r>
      <w:r w:rsidR="004C4E7B">
        <w:rPr>
          <w:rFonts w:ascii="Times New Roman" w:hAnsi="Times New Roman" w:cs="Times New Roman"/>
        </w:rPr>
        <w:t>, as examples,</w:t>
      </w:r>
      <w:r w:rsidR="00456218">
        <w:rPr>
          <w:rFonts w:ascii="Times New Roman" w:hAnsi="Times New Roman" w:cs="Times New Roman"/>
        </w:rPr>
        <w:t xml:space="preserve"> a </w:t>
      </w:r>
      <w:r w:rsidR="009B1C6B">
        <w:rPr>
          <w:rFonts w:ascii="Times New Roman" w:hAnsi="Times New Roman" w:cs="Times New Roman"/>
        </w:rPr>
        <w:t>list of accidents t</w:t>
      </w:r>
      <w:r w:rsidR="00CE787E">
        <w:rPr>
          <w:rFonts w:ascii="Times New Roman" w:hAnsi="Times New Roman" w:cs="Times New Roman"/>
        </w:rPr>
        <w:t xml:space="preserve">o </w:t>
      </w:r>
      <w:r w:rsidR="009B1C6B">
        <w:rPr>
          <w:rFonts w:ascii="Times New Roman" w:hAnsi="Times New Roman" w:cs="Times New Roman"/>
        </w:rPr>
        <w:t xml:space="preserve">be addressed in </w:t>
      </w:r>
      <w:r w:rsidR="00A10297">
        <w:rPr>
          <w:rFonts w:ascii="Times New Roman" w:hAnsi="Times New Roman" w:cs="Times New Roman"/>
        </w:rPr>
        <w:t>s</w:t>
      </w:r>
      <w:r w:rsidR="009B1C6B">
        <w:rPr>
          <w:rFonts w:ascii="Times New Roman" w:hAnsi="Times New Roman" w:cs="Times New Roman"/>
        </w:rPr>
        <w:t xml:space="preserve">afety </w:t>
      </w:r>
      <w:r w:rsidR="00A10297">
        <w:rPr>
          <w:rFonts w:ascii="Times New Roman" w:hAnsi="Times New Roman" w:cs="Times New Roman"/>
        </w:rPr>
        <w:t>a</w:t>
      </w:r>
      <w:r w:rsidR="009B1C6B">
        <w:rPr>
          <w:rFonts w:ascii="Times New Roman" w:hAnsi="Times New Roman" w:cs="Times New Roman"/>
        </w:rPr>
        <w:t xml:space="preserve">nalysis </w:t>
      </w:r>
      <w:r w:rsidR="00A10297">
        <w:rPr>
          <w:rFonts w:ascii="Times New Roman" w:hAnsi="Times New Roman" w:cs="Times New Roman"/>
        </w:rPr>
        <w:t>r</w:t>
      </w:r>
      <w:r w:rsidR="009B1C6B">
        <w:rPr>
          <w:rFonts w:ascii="Times New Roman" w:hAnsi="Times New Roman" w:cs="Times New Roman"/>
        </w:rPr>
        <w:t>eports.</w:t>
      </w:r>
      <w:r w:rsidR="00C305A7">
        <w:rPr>
          <w:rFonts w:ascii="Times New Roman" w:hAnsi="Times New Roman" w:cs="Times New Roman"/>
        </w:rPr>
        <w:t xml:space="preserve"> </w:t>
      </w:r>
      <w:r w:rsidR="00FE639B">
        <w:rPr>
          <w:rFonts w:ascii="Times New Roman" w:hAnsi="Times New Roman" w:cs="Times New Roman"/>
        </w:rPr>
        <w:t xml:space="preserve">A plan </w:t>
      </w:r>
      <w:r w:rsidR="00780A90">
        <w:rPr>
          <w:rFonts w:ascii="Times New Roman" w:hAnsi="Times New Roman" w:cs="Times New Roman"/>
        </w:rPr>
        <w:t>to develop a</w:t>
      </w:r>
      <w:r w:rsidR="00FF3F63">
        <w:rPr>
          <w:rFonts w:ascii="Times New Roman" w:hAnsi="Times New Roman" w:cs="Times New Roman"/>
        </w:rPr>
        <w:t>n</w:t>
      </w:r>
      <w:r w:rsidR="00780A90">
        <w:rPr>
          <w:rFonts w:ascii="Times New Roman" w:hAnsi="Times New Roman" w:cs="Times New Roman"/>
        </w:rPr>
        <w:t xml:space="preserve"> </w:t>
      </w:r>
      <w:r w:rsidR="00B21167">
        <w:rPr>
          <w:rFonts w:ascii="Times New Roman" w:hAnsi="Times New Roman" w:cs="Times New Roman"/>
        </w:rPr>
        <w:t>SRP</w:t>
      </w:r>
      <w:r w:rsidR="00585A60">
        <w:rPr>
          <w:rFonts w:ascii="Times New Roman" w:hAnsi="Times New Roman" w:cs="Times New Roman"/>
        </w:rPr>
        <w:t xml:space="preserve"> </w:t>
      </w:r>
      <w:r w:rsidR="005C20A8">
        <w:rPr>
          <w:rFonts w:ascii="Times New Roman" w:hAnsi="Times New Roman" w:cs="Times New Roman"/>
        </w:rPr>
        <w:t xml:space="preserve">for the review of LWR </w:t>
      </w:r>
      <w:r w:rsidR="00585A60">
        <w:rPr>
          <w:rFonts w:ascii="Times New Roman" w:hAnsi="Times New Roman" w:cs="Times New Roman"/>
        </w:rPr>
        <w:t xml:space="preserve">applications </w:t>
      </w:r>
      <w:r w:rsidR="00780A90">
        <w:rPr>
          <w:rFonts w:ascii="Times New Roman" w:hAnsi="Times New Roman" w:cs="Times New Roman"/>
        </w:rPr>
        <w:t>w</w:t>
      </w:r>
      <w:r w:rsidR="000C4D8F">
        <w:rPr>
          <w:rFonts w:ascii="Times New Roman" w:hAnsi="Times New Roman" w:cs="Times New Roman"/>
        </w:rPr>
        <w:t xml:space="preserve">as </w:t>
      </w:r>
      <w:r w:rsidR="00D23037">
        <w:rPr>
          <w:rFonts w:ascii="Times New Roman" w:hAnsi="Times New Roman" w:cs="Times New Roman"/>
        </w:rPr>
        <w:t>developed</w:t>
      </w:r>
      <w:r w:rsidR="00780A90">
        <w:rPr>
          <w:rFonts w:ascii="Times New Roman" w:hAnsi="Times New Roman" w:cs="Times New Roman"/>
        </w:rPr>
        <w:t xml:space="preserve"> in 1969</w:t>
      </w:r>
      <w:r w:rsidR="00465E68">
        <w:rPr>
          <w:rFonts w:ascii="Times New Roman" w:hAnsi="Times New Roman" w:cs="Times New Roman"/>
        </w:rPr>
        <w:t xml:space="preserve"> </w:t>
      </w:r>
      <w:r w:rsidR="001C051C">
        <w:rPr>
          <w:rFonts w:ascii="Times New Roman" w:hAnsi="Times New Roman" w:cs="Times New Roman"/>
        </w:rPr>
        <w:t>(R</w:t>
      </w:r>
      <w:r w:rsidR="00774EE6">
        <w:rPr>
          <w:rFonts w:ascii="Times New Roman" w:hAnsi="Times New Roman" w:cs="Times New Roman"/>
        </w:rPr>
        <w:t>ef.</w:t>
      </w:r>
      <w:r w:rsidR="00A10297">
        <w:rPr>
          <w:rFonts w:ascii="Times New Roman" w:hAnsi="Times New Roman" w:cs="Times New Roman"/>
        </w:rPr>
        <w:t> </w:t>
      </w:r>
      <w:r w:rsidR="001F610F">
        <w:rPr>
          <w:rFonts w:ascii="Times New Roman" w:hAnsi="Times New Roman" w:cs="Times New Roman"/>
        </w:rPr>
        <w:t>16</w:t>
      </w:r>
      <w:r w:rsidR="00774EE6">
        <w:rPr>
          <w:rFonts w:ascii="Times New Roman" w:hAnsi="Times New Roman" w:cs="Times New Roman"/>
        </w:rPr>
        <w:t>)</w:t>
      </w:r>
      <w:r w:rsidR="00963E36">
        <w:rPr>
          <w:rFonts w:ascii="Times New Roman" w:hAnsi="Times New Roman" w:cs="Times New Roman"/>
        </w:rPr>
        <w:t xml:space="preserve"> </w:t>
      </w:r>
      <w:r w:rsidR="001154A5">
        <w:rPr>
          <w:rFonts w:ascii="Times New Roman" w:hAnsi="Times New Roman" w:cs="Times New Roman"/>
        </w:rPr>
        <w:t>that</w:t>
      </w:r>
      <w:r w:rsidR="00963E36">
        <w:rPr>
          <w:rFonts w:ascii="Times New Roman" w:hAnsi="Times New Roman" w:cs="Times New Roman"/>
        </w:rPr>
        <w:t xml:space="preserve"> </w:t>
      </w:r>
      <w:r w:rsidR="001154A5">
        <w:rPr>
          <w:rFonts w:ascii="Times New Roman" w:hAnsi="Times New Roman" w:cs="Times New Roman"/>
        </w:rPr>
        <w:t>identifie</w:t>
      </w:r>
      <w:r w:rsidR="009236CD">
        <w:rPr>
          <w:rFonts w:ascii="Times New Roman" w:hAnsi="Times New Roman" w:cs="Times New Roman"/>
        </w:rPr>
        <w:t>d</w:t>
      </w:r>
      <w:r w:rsidR="00710427">
        <w:rPr>
          <w:rFonts w:ascii="Times New Roman" w:hAnsi="Times New Roman" w:cs="Times New Roman"/>
        </w:rPr>
        <w:t xml:space="preserve"> </w:t>
      </w:r>
      <w:r w:rsidR="00E44654">
        <w:rPr>
          <w:rFonts w:ascii="Times New Roman" w:hAnsi="Times New Roman" w:cs="Times New Roman"/>
        </w:rPr>
        <w:t xml:space="preserve">various </w:t>
      </w:r>
      <w:r w:rsidR="009A02E4">
        <w:rPr>
          <w:rFonts w:ascii="Times New Roman" w:hAnsi="Times New Roman" w:cs="Times New Roman"/>
        </w:rPr>
        <w:t>transients and accidents</w:t>
      </w:r>
      <w:r w:rsidR="007C0C85">
        <w:rPr>
          <w:rFonts w:ascii="Times New Roman" w:hAnsi="Times New Roman" w:cs="Times New Roman"/>
        </w:rPr>
        <w:t xml:space="preserve">, including </w:t>
      </w:r>
      <w:r w:rsidR="00B0075D">
        <w:rPr>
          <w:rFonts w:ascii="Times New Roman" w:hAnsi="Times New Roman" w:cs="Times New Roman"/>
        </w:rPr>
        <w:t>ATWS</w:t>
      </w:r>
      <w:r w:rsidR="00E75F65">
        <w:rPr>
          <w:rFonts w:ascii="Times New Roman" w:hAnsi="Times New Roman" w:cs="Times New Roman"/>
        </w:rPr>
        <w:t>,</w:t>
      </w:r>
      <w:r w:rsidR="009A02E4">
        <w:rPr>
          <w:rFonts w:ascii="Times New Roman" w:hAnsi="Times New Roman" w:cs="Times New Roman"/>
        </w:rPr>
        <w:t xml:space="preserve"> to be addressed</w:t>
      </w:r>
      <w:r w:rsidR="00E93ADC">
        <w:rPr>
          <w:rFonts w:ascii="Times New Roman" w:hAnsi="Times New Roman" w:cs="Times New Roman"/>
        </w:rPr>
        <w:t xml:space="preserve"> in </w:t>
      </w:r>
      <w:r w:rsidR="00A10297">
        <w:rPr>
          <w:rFonts w:ascii="Times New Roman" w:hAnsi="Times New Roman" w:cs="Times New Roman"/>
        </w:rPr>
        <w:t>s</w:t>
      </w:r>
      <w:r w:rsidR="00E93ADC">
        <w:rPr>
          <w:rFonts w:ascii="Times New Roman" w:hAnsi="Times New Roman" w:cs="Times New Roman"/>
        </w:rPr>
        <w:t xml:space="preserve">afety </w:t>
      </w:r>
      <w:r w:rsidR="00A10297">
        <w:rPr>
          <w:rFonts w:ascii="Times New Roman" w:hAnsi="Times New Roman" w:cs="Times New Roman"/>
        </w:rPr>
        <w:t>a</w:t>
      </w:r>
      <w:r w:rsidR="00E93ADC">
        <w:rPr>
          <w:rFonts w:ascii="Times New Roman" w:hAnsi="Times New Roman" w:cs="Times New Roman"/>
        </w:rPr>
        <w:t xml:space="preserve">nalysis </w:t>
      </w:r>
      <w:r w:rsidR="00A10297">
        <w:rPr>
          <w:rFonts w:ascii="Times New Roman" w:hAnsi="Times New Roman" w:cs="Times New Roman"/>
        </w:rPr>
        <w:t>r</w:t>
      </w:r>
      <w:r w:rsidR="00E93ADC">
        <w:rPr>
          <w:rFonts w:ascii="Times New Roman" w:hAnsi="Times New Roman" w:cs="Times New Roman"/>
        </w:rPr>
        <w:t>eports</w:t>
      </w:r>
      <w:r w:rsidR="0053550F">
        <w:rPr>
          <w:rFonts w:ascii="Times New Roman" w:hAnsi="Times New Roman" w:cs="Times New Roman"/>
        </w:rPr>
        <w:t>.</w:t>
      </w:r>
      <w:r w:rsidR="00502C80">
        <w:rPr>
          <w:rFonts w:ascii="Times New Roman" w:hAnsi="Times New Roman" w:cs="Times New Roman"/>
        </w:rPr>
        <w:t xml:space="preserve"> </w:t>
      </w:r>
      <w:r w:rsidR="00C46211">
        <w:rPr>
          <w:rFonts w:ascii="Times New Roman" w:hAnsi="Times New Roman" w:cs="Times New Roman"/>
        </w:rPr>
        <w:t xml:space="preserve">The original version of the SRP was issued in </w:t>
      </w:r>
      <w:r w:rsidR="00903D4A">
        <w:rPr>
          <w:rFonts w:ascii="Times New Roman" w:hAnsi="Times New Roman" w:cs="Times New Roman"/>
        </w:rPr>
        <w:t>1975</w:t>
      </w:r>
      <w:r w:rsidR="00502C80">
        <w:rPr>
          <w:rFonts w:ascii="Times New Roman" w:hAnsi="Times New Roman" w:cs="Times New Roman"/>
        </w:rPr>
        <w:t xml:space="preserve"> as NUREG</w:t>
      </w:r>
      <w:r w:rsidR="00A10297">
        <w:rPr>
          <w:rFonts w:ascii="Times New Roman" w:hAnsi="Times New Roman" w:cs="Times New Roman"/>
        </w:rPr>
        <w:noBreakHyphen/>
      </w:r>
      <w:r w:rsidR="00502C80">
        <w:rPr>
          <w:rFonts w:ascii="Times New Roman" w:hAnsi="Times New Roman" w:cs="Times New Roman"/>
        </w:rPr>
        <w:t>75/087</w:t>
      </w:r>
      <w:r w:rsidR="004B5234">
        <w:rPr>
          <w:rFonts w:ascii="Times New Roman" w:hAnsi="Times New Roman" w:cs="Times New Roman"/>
        </w:rPr>
        <w:t>, “</w:t>
      </w:r>
      <w:r w:rsidRPr="004B5234" w:rsidR="004B5234">
        <w:rPr>
          <w:rFonts w:ascii="Times New Roman" w:hAnsi="Times New Roman" w:cs="Times New Roman"/>
        </w:rPr>
        <w:t xml:space="preserve">Standard Review Plan </w:t>
      </w:r>
      <w:r w:rsidR="007C087D">
        <w:rPr>
          <w:rFonts w:ascii="Times New Roman" w:hAnsi="Times New Roman" w:cs="Times New Roman"/>
        </w:rPr>
        <w:t>f</w:t>
      </w:r>
      <w:r w:rsidRPr="004B5234" w:rsidR="004B5234">
        <w:rPr>
          <w:rFonts w:ascii="Times New Roman" w:hAnsi="Times New Roman" w:cs="Times New Roman"/>
        </w:rPr>
        <w:t xml:space="preserve">or </w:t>
      </w:r>
      <w:r w:rsidR="007C087D">
        <w:rPr>
          <w:rFonts w:ascii="Times New Roman" w:hAnsi="Times New Roman" w:cs="Times New Roman"/>
        </w:rPr>
        <w:t>t</w:t>
      </w:r>
      <w:r w:rsidRPr="004B5234" w:rsidR="004B5234">
        <w:rPr>
          <w:rFonts w:ascii="Times New Roman" w:hAnsi="Times New Roman" w:cs="Times New Roman"/>
        </w:rPr>
        <w:t>he</w:t>
      </w:r>
      <w:r w:rsidR="004B5234">
        <w:rPr>
          <w:rFonts w:ascii="Times New Roman" w:hAnsi="Times New Roman" w:cs="Times New Roman"/>
        </w:rPr>
        <w:t xml:space="preserve"> </w:t>
      </w:r>
      <w:r w:rsidRPr="004B5234" w:rsidR="004B5234">
        <w:rPr>
          <w:rFonts w:ascii="Times New Roman" w:hAnsi="Times New Roman" w:cs="Times New Roman"/>
        </w:rPr>
        <w:t xml:space="preserve">Review </w:t>
      </w:r>
      <w:r w:rsidR="007C087D">
        <w:rPr>
          <w:rFonts w:ascii="Times New Roman" w:hAnsi="Times New Roman" w:cs="Times New Roman"/>
        </w:rPr>
        <w:t>o</w:t>
      </w:r>
      <w:r w:rsidRPr="004B5234" w:rsidR="004B5234">
        <w:rPr>
          <w:rFonts w:ascii="Times New Roman" w:hAnsi="Times New Roman" w:cs="Times New Roman"/>
        </w:rPr>
        <w:t>f Safety Analysis Reports</w:t>
      </w:r>
      <w:r w:rsidR="004B5234">
        <w:rPr>
          <w:rFonts w:ascii="Times New Roman" w:hAnsi="Times New Roman" w:cs="Times New Roman"/>
        </w:rPr>
        <w:t xml:space="preserve"> </w:t>
      </w:r>
      <w:r w:rsidR="007C087D">
        <w:rPr>
          <w:rFonts w:ascii="Times New Roman" w:hAnsi="Times New Roman" w:cs="Times New Roman"/>
        </w:rPr>
        <w:t>f</w:t>
      </w:r>
      <w:r w:rsidRPr="004B5234" w:rsidR="004B5234">
        <w:rPr>
          <w:rFonts w:ascii="Times New Roman" w:hAnsi="Times New Roman" w:cs="Times New Roman"/>
        </w:rPr>
        <w:t>or Nuclear Power Plants</w:t>
      </w:r>
      <w:r w:rsidR="007C087D">
        <w:rPr>
          <w:rFonts w:ascii="Times New Roman" w:hAnsi="Times New Roman" w:cs="Times New Roman"/>
        </w:rPr>
        <w:t>: LWR Edition</w:t>
      </w:r>
      <w:r w:rsidR="00BD4A74">
        <w:rPr>
          <w:rFonts w:ascii="Times New Roman" w:hAnsi="Times New Roman" w:cs="Times New Roman"/>
        </w:rPr>
        <w:t>”</w:t>
      </w:r>
      <w:r w:rsidR="00892E34">
        <w:rPr>
          <w:rFonts w:ascii="Times New Roman" w:hAnsi="Times New Roman" w:cs="Times New Roman"/>
        </w:rPr>
        <w:t xml:space="preserve"> (Ref. </w:t>
      </w:r>
      <w:r w:rsidR="001F610F">
        <w:rPr>
          <w:rFonts w:ascii="Times New Roman" w:hAnsi="Times New Roman" w:cs="Times New Roman"/>
        </w:rPr>
        <w:t>17</w:t>
      </w:r>
      <w:r w:rsidR="00892E34">
        <w:rPr>
          <w:rFonts w:ascii="Times New Roman" w:hAnsi="Times New Roman" w:cs="Times New Roman"/>
        </w:rPr>
        <w:t>).</w:t>
      </w:r>
      <w:r w:rsidR="00992147">
        <w:rPr>
          <w:rFonts w:ascii="Times New Roman" w:hAnsi="Times New Roman" w:cs="Times New Roman"/>
        </w:rPr>
        <w:t xml:space="preserve"> </w:t>
      </w:r>
      <w:r w:rsidR="004D5D40">
        <w:rPr>
          <w:rFonts w:ascii="Times New Roman" w:hAnsi="Times New Roman" w:cs="Times New Roman"/>
        </w:rPr>
        <w:t>S</w:t>
      </w:r>
      <w:r w:rsidR="00825405">
        <w:rPr>
          <w:rFonts w:ascii="Times New Roman" w:hAnsi="Times New Roman" w:cs="Times New Roman"/>
        </w:rPr>
        <w:t xml:space="preserve">ections of the SRP were </w:t>
      </w:r>
      <w:r w:rsidR="00C11E5C">
        <w:rPr>
          <w:rFonts w:ascii="Times New Roman" w:hAnsi="Times New Roman" w:cs="Times New Roman"/>
        </w:rPr>
        <w:t>subsequently revised</w:t>
      </w:r>
      <w:r w:rsidR="00FC5C2B">
        <w:rPr>
          <w:rFonts w:ascii="Times New Roman" w:hAnsi="Times New Roman" w:cs="Times New Roman"/>
        </w:rPr>
        <w:t xml:space="preserve"> </w:t>
      </w:r>
      <w:r w:rsidR="004A690A">
        <w:rPr>
          <w:rFonts w:ascii="Times New Roman" w:hAnsi="Times New Roman" w:cs="Times New Roman"/>
        </w:rPr>
        <w:t xml:space="preserve">and </w:t>
      </w:r>
      <w:r w:rsidR="004D5D40">
        <w:rPr>
          <w:rFonts w:ascii="Times New Roman" w:hAnsi="Times New Roman" w:cs="Times New Roman"/>
        </w:rPr>
        <w:t xml:space="preserve">individually </w:t>
      </w:r>
      <w:r w:rsidR="004A690A">
        <w:rPr>
          <w:rFonts w:ascii="Times New Roman" w:hAnsi="Times New Roman" w:cs="Times New Roman"/>
        </w:rPr>
        <w:t>issued (</w:t>
      </w:r>
      <w:r w:rsidR="00FC5C2B">
        <w:rPr>
          <w:rFonts w:ascii="Times New Roman" w:hAnsi="Times New Roman" w:cs="Times New Roman"/>
        </w:rPr>
        <w:t xml:space="preserve">annotated with </w:t>
      </w:r>
      <w:r w:rsidR="005A146C">
        <w:rPr>
          <w:rFonts w:ascii="Times New Roman" w:hAnsi="Times New Roman" w:cs="Times New Roman"/>
        </w:rPr>
        <w:t>revision numbers and publication dates</w:t>
      </w:r>
      <w:r w:rsidR="004D5D40">
        <w:rPr>
          <w:rFonts w:ascii="Times New Roman" w:hAnsi="Times New Roman" w:cs="Times New Roman"/>
        </w:rPr>
        <w:t xml:space="preserve">) along with an updated table of contents that indicated the </w:t>
      </w:r>
      <w:r w:rsidRPr="00C8410A" w:rsidR="00C8410A">
        <w:rPr>
          <w:rFonts w:ascii="Times New Roman" w:hAnsi="Times New Roman" w:cs="Times New Roman"/>
        </w:rPr>
        <w:t>revision numbers of the currently effective</w:t>
      </w:r>
      <w:r w:rsidR="00C8410A">
        <w:rPr>
          <w:rFonts w:ascii="Times New Roman" w:hAnsi="Times New Roman" w:cs="Times New Roman"/>
        </w:rPr>
        <w:t xml:space="preserve"> </w:t>
      </w:r>
      <w:r w:rsidRPr="00C8410A" w:rsidR="00C8410A">
        <w:rPr>
          <w:rFonts w:ascii="Times New Roman" w:hAnsi="Times New Roman" w:cs="Times New Roman"/>
        </w:rPr>
        <w:t>sections.</w:t>
      </w:r>
      <w:r w:rsidR="004C36B0">
        <w:rPr>
          <w:rFonts w:ascii="Times New Roman" w:hAnsi="Times New Roman" w:cs="Times New Roman"/>
        </w:rPr>
        <w:t xml:space="preserve"> </w:t>
      </w:r>
      <w:r w:rsidR="00AC18B0">
        <w:rPr>
          <w:rFonts w:ascii="Times New Roman" w:hAnsi="Times New Roman" w:cs="Times New Roman"/>
        </w:rPr>
        <w:t>The SRP was reissued as NUREG</w:t>
      </w:r>
      <w:r w:rsidR="00334D78">
        <w:rPr>
          <w:rFonts w:ascii="Times New Roman" w:hAnsi="Times New Roman" w:cs="Times New Roman"/>
        </w:rPr>
        <w:noBreakHyphen/>
      </w:r>
      <w:r w:rsidR="00AC18B0">
        <w:rPr>
          <w:rFonts w:ascii="Times New Roman" w:hAnsi="Times New Roman" w:cs="Times New Roman"/>
        </w:rPr>
        <w:t>0800</w:t>
      </w:r>
      <w:r w:rsidR="00283D49">
        <w:rPr>
          <w:rFonts w:ascii="Times New Roman" w:hAnsi="Times New Roman" w:cs="Times New Roman"/>
        </w:rPr>
        <w:t xml:space="preserve"> </w:t>
      </w:r>
      <w:r w:rsidR="00AC18B0">
        <w:rPr>
          <w:rFonts w:ascii="Times New Roman" w:hAnsi="Times New Roman" w:cs="Times New Roman"/>
        </w:rPr>
        <w:t>in July</w:t>
      </w:r>
      <w:r w:rsidR="00A10297">
        <w:rPr>
          <w:rFonts w:ascii="Times New Roman" w:hAnsi="Times New Roman" w:cs="Times New Roman"/>
        </w:rPr>
        <w:t> </w:t>
      </w:r>
      <w:r w:rsidR="00AC18B0">
        <w:rPr>
          <w:rFonts w:ascii="Times New Roman" w:hAnsi="Times New Roman" w:cs="Times New Roman"/>
        </w:rPr>
        <w:t>1981</w:t>
      </w:r>
      <w:r w:rsidR="00AF6F63">
        <w:rPr>
          <w:rFonts w:ascii="Times New Roman" w:hAnsi="Times New Roman" w:cs="Times New Roman"/>
        </w:rPr>
        <w:t xml:space="preserve"> </w:t>
      </w:r>
      <w:r w:rsidR="007046C4">
        <w:rPr>
          <w:rFonts w:ascii="Times New Roman" w:hAnsi="Times New Roman" w:cs="Times New Roman"/>
        </w:rPr>
        <w:t>to</w:t>
      </w:r>
      <w:r w:rsidRPr="00A074B7" w:rsidR="00A074B7">
        <w:rPr>
          <w:rFonts w:ascii="Times New Roman" w:hAnsi="Times New Roman" w:cs="Times New Roman"/>
        </w:rPr>
        <w:t xml:space="preserve"> more</w:t>
      </w:r>
      <w:r w:rsidR="00A074B7">
        <w:rPr>
          <w:rFonts w:ascii="Times New Roman" w:hAnsi="Times New Roman" w:cs="Times New Roman"/>
        </w:rPr>
        <w:t xml:space="preserve"> </w:t>
      </w:r>
      <w:r w:rsidRPr="00A074B7" w:rsidR="00A074B7">
        <w:rPr>
          <w:rFonts w:ascii="Times New Roman" w:hAnsi="Times New Roman" w:cs="Times New Roman"/>
        </w:rPr>
        <w:t>completely identify the NRC requirements that are germane to each review</w:t>
      </w:r>
      <w:r w:rsidR="00A074B7">
        <w:rPr>
          <w:rFonts w:ascii="Times New Roman" w:hAnsi="Times New Roman" w:cs="Times New Roman"/>
        </w:rPr>
        <w:t xml:space="preserve"> </w:t>
      </w:r>
      <w:r w:rsidRPr="00A074B7" w:rsidR="00A074B7">
        <w:rPr>
          <w:rFonts w:ascii="Times New Roman" w:hAnsi="Times New Roman" w:cs="Times New Roman"/>
        </w:rPr>
        <w:t>topic, to more fully describe how the review effort determines satisfaction of</w:t>
      </w:r>
      <w:r w:rsidR="00A074B7">
        <w:rPr>
          <w:rFonts w:ascii="Times New Roman" w:hAnsi="Times New Roman" w:cs="Times New Roman"/>
        </w:rPr>
        <w:t xml:space="preserve"> </w:t>
      </w:r>
      <w:r w:rsidRPr="00A074B7" w:rsidR="00A074B7">
        <w:rPr>
          <w:rFonts w:ascii="Times New Roman" w:hAnsi="Times New Roman" w:cs="Times New Roman"/>
        </w:rPr>
        <w:t>the requirement, and to incorporate the large number of new and revised</w:t>
      </w:r>
      <w:r w:rsidR="00A074B7">
        <w:rPr>
          <w:rFonts w:ascii="Times New Roman" w:hAnsi="Times New Roman" w:cs="Times New Roman"/>
        </w:rPr>
        <w:t xml:space="preserve"> </w:t>
      </w:r>
      <w:r w:rsidRPr="00A074B7" w:rsidR="00A074B7">
        <w:rPr>
          <w:rFonts w:ascii="Times New Roman" w:hAnsi="Times New Roman" w:cs="Times New Roman"/>
        </w:rPr>
        <w:t xml:space="preserve">regulatory positions (primarily </w:t>
      </w:r>
      <w:r w:rsidR="00164632">
        <w:rPr>
          <w:rFonts w:ascii="Times New Roman" w:hAnsi="Times New Roman" w:cs="Times New Roman"/>
        </w:rPr>
        <w:t xml:space="preserve">related to the accident at the </w:t>
      </w:r>
      <w:r w:rsidR="00353EA7">
        <w:rPr>
          <w:rFonts w:ascii="Times New Roman" w:hAnsi="Times New Roman" w:cs="Times New Roman"/>
        </w:rPr>
        <w:t>Three</w:t>
      </w:r>
      <w:r w:rsidR="00E26587">
        <w:rPr>
          <w:rFonts w:ascii="Times New Roman" w:hAnsi="Times New Roman" w:cs="Times New Roman"/>
        </w:rPr>
        <w:t xml:space="preserve"> </w:t>
      </w:r>
      <w:r w:rsidR="00353EA7">
        <w:rPr>
          <w:rFonts w:ascii="Times New Roman" w:hAnsi="Times New Roman" w:cs="Times New Roman"/>
        </w:rPr>
        <w:t>Mile Islan</w:t>
      </w:r>
      <w:r w:rsidR="000C64F4">
        <w:rPr>
          <w:rFonts w:ascii="Times New Roman" w:hAnsi="Times New Roman" w:cs="Times New Roman"/>
        </w:rPr>
        <w:t>d</w:t>
      </w:r>
      <w:r w:rsidR="00B9549C">
        <w:rPr>
          <w:rFonts w:ascii="Times New Roman" w:hAnsi="Times New Roman" w:cs="Times New Roman"/>
        </w:rPr>
        <w:t xml:space="preserve"> Nuclear Generating Station</w:t>
      </w:r>
      <w:r w:rsidRPr="00A074B7" w:rsidR="00A074B7">
        <w:rPr>
          <w:rFonts w:ascii="Times New Roman" w:hAnsi="Times New Roman" w:cs="Times New Roman"/>
        </w:rPr>
        <w:t>) that had already been established</w:t>
      </w:r>
      <w:r w:rsidR="00760839">
        <w:rPr>
          <w:rFonts w:ascii="Times New Roman" w:hAnsi="Times New Roman" w:cs="Times New Roman"/>
        </w:rPr>
        <w:t>.</w:t>
      </w:r>
      <w:r w:rsidR="009C2755">
        <w:rPr>
          <w:rFonts w:ascii="Times New Roman" w:hAnsi="Times New Roman" w:cs="Times New Roman"/>
        </w:rPr>
        <w:t xml:space="preserve"> </w:t>
      </w:r>
      <w:r w:rsidR="00760839">
        <w:rPr>
          <w:rFonts w:ascii="Times New Roman" w:hAnsi="Times New Roman" w:cs="Times New Roman"/>
        </w:rPr>
        <w:t>A</w:t>
      </w:r>
      <w:r w:rsidR="009C2755">
        <w:rPr>
          <w:rFonts w:ascii="Times New Roman" w:hAnsi="Times New Roman" w:cs="Times New Roman"/>
        </w:rPr>
        <w:t xml:space="preserve">s a result, </w:t>
      </w:r>
      <w:r w:rsidRPr="00A074B7" w:rsidR="00A074B7">
        <w:rPr>
          <w:rFonts w:ascii="Times New Roman" w:hAnsi="Times New Roman" w:cs="Times New Roman"/>
        </w:rPr>
        <w:t>some SRP</w:t>
      </w:r>
      <w:r w:rsidR="00A074B7">
        <w:rPr>
          <w:rFonts w:ascii="Times New Roman" w:hAnsi="Times New Roman" w:cs="Times New Roman"/>
        </w:rPr>
        <w:t xml:space="preserve"> </w:t>
      </w:r>
      <w:r w:rsidRPr="00A074B7" w:rsidR="00A074B7">
        <w:rPr>
          <w:rFonts w:ascii="Times New Roman" w:hAnsi="Times New Roman" w:cs="Times New Roman"/>
        </w:rPr>
        <w:t>sections were added, deleted, split, or combined.</w:t>
      </w:r>
      <w:r w:rsidR="00796218">
        <w:rPr>
          <w:rFonts w:ascii="Times New Roman" w:hAnsi="Times New Roman" w:cs="Times New Roman"/>
        </w:rPr>
        <w:t xml:space="preserve"> </w:t>
      </w:r>
      <w:r w:rsidR="00494080">
        <w:rPr>
          <w:rFonts w:ascii="Times New Roman" w:hAnsi="Times New Roman" w:cs="Times New Roman"/>
        </w:rPr>
        <w:t xml:space="preserve">With respect to the identification of licensing events, </w:t>
      </w:r>
      <w:r w:rsidR="003D3575">
        <w:rPr>
          <w:rFonts w:ascii="Times New Roman" w:hAnsi="Times New Roman" w:cs="Times New Roman"/>
        </w:rPr>
        <w:t xml:space="preserve">SRP </w:t>
      </w:r>
      <w:r w:rsidR="00494080">
        <w:rPr>
          <w:rFonts w:ascii="Times New Roman" w:hAnsi="Times New Roman" w:cs="Times New Roman"/>
        </w:rPr>
        <w:t>Chapter</w:t>
      </w:r>
      <w:r w:rsidR="00A10297">
        <w:rPr>
          <w:rFonts w:ascii="Times New Roman" w:hAnsi="Times New Roman" w:cs="Times New Roman"/>
        </w:rPr>
        <w:t> </w:t>
      </w:r>
      <w:r w:rsidR="00494080">
        <w:rPr>
          <w:rFonts w:ascii="Times New Roman" w:hAnsi="Times New Roman" w:cs="Times New Roman"/>
        </w:rPr>
        <w:t xml:space="preserve">15 </w:t>
      </w:r>
      <w:r w:rsidR="00CE1C35">
        <w:rPr>
          <w:rFonts w:ascii="Times New Roman" w:hAnsi="Times New Roman" w:cs="Times New Roman"/>
        </w:rPr>
        <w:t xml:space="preserve">introduced the </w:t>
      </w:r>
      <w:r w:rsidR="00BB0E02">
        <w:rPr>
          <w:rFonts w:ascii="Times New Roman" w:hAnsi="Times New Roman" w:cs="Times New Roman"/>
        </w:rPr>
        <w:t>expectation</w:t>
      </w:r>
      <w:r w:rsidR="00CE1C35">
        <w:rPr>
          <w:rFonts w:ascii="Times New Roman" w:hAnsi="Times New Roman" w:cs="Times New Roman"/>
        </w:rPr>
        <w:t xml:space="preserve"> that transients and accidents should be </w:t>
      </w:r>
      <w:r w:rsidR="003572DA">
        <w:rPr>
          <w:rFonts w:ascii="Times New Roman" w:hAnsi="Times New Roman" w:cs="Times New Roman"/>
        </w:rPr>
        <w:t>categori</w:t>
      </w:r>
      <w:r w:rsidR="000D3AE1">
        <w:rPr>
          <w:rFonts w:ascii="Times New Roman" w:hAnsi="Times New Roman" w:cs="Times New Roman"/>
        </w:rPr>
        <w:t>z</w:t>
      </w:r>
      <w:r w:rsidR="003572DA">
        <w:rPr>
          <w:rFonts w:ascii="Times New Roman" w:hAnsi="Times New Roman" w:cs="Times New Roman"/>
        </w:rPr>
        <w:t>ed</w:t>
      </w:r>
      <w:r w:rsidR="00CE1C35">
        <w:rPr>
          <w:rFonts w:ascii="Times New Roman" w:hAnsi="Times New Roman" w:cs="Times New Roman"/>
        </w:rPr>
        <w:t xml:space="preserve"> as AOOs or postulated events</w:t>
      </w:r>
      <w:r w:rsidR="004C59F2">
        <w:rPr>
          <w:rFonts w:ascii="Times New Roman" w:hAnsi="Times New Roman" w:cs="Times New Roman"/>
        </w:rPr>
        <w:t xml:space="preserve"> </w:t>
      </w:r>
      <w:r w:rsidR="00F737B9">
        <w:rPr>
          <w:rFonts w:ascii="Times New Roman" w:hAnsi="Times New Roman" w:cs="Times New Roman"/>
        </w:rPr>
        <w:t xml:space="preserve">according to their frequency </w:t>
      </w:r>
      <w:r w:rsidR="007041DF">
        <w:rPr>
          <w:rFonts w:ascii="Times New Roman" w:hAnsi="Times New Roman" w:cs="Times New Roman"/>
        </w:rPr>
        <w:t xml:space="preserve">of occurrence </w:t>
      </w:r>
      <w:r w:rsidR="00F737B9">
        <w:rPr>
          <w:rFonts w:ascii="Times New Roman" w:hAnsi="Times New Roman" w:cs="Times New Roman"/>
        </w:rPr>
        <w:t>and type</w:t>
      </w:r>
      <w:r w:rsidR="004C59F2">
        <w:rPr>
          <w:rFonts w:ascii="Times New Roman" w:hAnsi="Times New Roman" w:cs="Times New Roman"/>
        </w:rPr>
        <w:t>.</w:t>
      </w:r>
    </w:p>
    <w:p w:rsidR="00850B5F" w:rsidP="002F3C90" w14:paraId="535CCBB9" w14:textId="2A004A1B">
      <w:pPr>
        <w:spacing w:after="0" w:line="240" w:lineRule="auto"/>
        <w:rPr>
          <w:rFonts w:ascii="Times New Roman" w:hAnsi="Times New Roman" w:cs="Times New Roman"/>
        </w:rPr>
      </w:pPr>
    </w:p>
    <w:p w:rsidR="00850B5F" w:rsidRPr="00DF285D" w:rsidP="002F3C90" w14:paraId="6827B5BD" w14:textId="1687A866">
      <w:pPr>
        <w:spacing w:after="0" w:line="240" w:lineRule="auto"/>
        <w:rPr>
          <w:rFonts w:ascii="Times New Roman" w:hAnsi="Times New Roman" w:cs="Times New Roman"/>
        </w:rPr>
      </w:pPr>
      <w:r>
        <w:rPr>
          <w:rFonts w:ascii="Times New Roman" w:hAnsi="Times New Roman" w:cs="Times New Roman"/>
        </w:rPr>
        <w:tab/>
        <w:t xml:space="preserve">The staff has not developed an SRP for </w:t>
      </w:r>
      <w:r w:rsidR="00713C74">
        <w:rPr>
          <w:rFonts w:ascii="Times New Roman" w:hAnsi="Times New Roman" w:cs="Times New Roman"/>
        </w:rPr>
        <w:t>non-</w:t>
      </w:r>
      <w:r>
        <w:rPr>
          <w:rFonts w:ascii="Times New Roman" w:hAnsi="Times New Roman" w:cs="Times New Roman"/>
        </w:rPr>
        <w:t>LWRs</w:t>
      </w:r>
      <w:r w:rsidR="001173DC">
        <w:rPr>
          <w:rFonts w:ascii="Times New Roman" w:hAnsi="Times New Roman" w:cs="Times New Roman"/>
        </w:rPr>
        <w:t xml:space="preserve"> due to the </w:t>
      </w:r>
      <w:r w:rsidR="00B23339">
        <w:rPr>
          <w:rFonts w:ascii="Times New Roman" w:hAnsi="Times New Roman" w:cs="Times New Roman"/>
        </w:rPr>
        <w:t>apparent</w:t>
      </w:r>
      <w:r w:rsidR="001173DC">
        <w:rPr>
          <w:rFonts w:ascii="Times New Roman" w:hAnsi="Times New Roman" w:cs="Times New Roman"/>
        </w:rPr>
        <w:t xml:space="preserve"> lack of demand and the wide variation among potential </w:t>
      </w:r>
      <w:r w:rsidR="00713C74">
        <w:rPr>
          <w:rFonts w:ascii="Times New Roman" w:hAnsi="Times New Roman" w:cs="Times New Roman"/>
        </w:rPr>
        <w:t>non-</w:t>
      </w:r>
      <w:r w:rsidR="001173DC">
        <w:rPr>
          <w:rFonts w:ascii="Times New Roman" w:hAnsi="Times New Roman" w:cs="Times New Roman"/>
        </w:rPr>
        <w:t xml:space="preserve">LWR designs. </w:t>
      </w:r>
      <w:r w:rsidR="001072A2">
        <w:rPr>
          <w:rFonts w:ascii="Times New Roman" w:hAnsi="Times New Roman" w:cs="Times New Roman"/>
        </w:rPr>
        <w:t>Licensing events for p</w:t>
      </w:r>
      <w:r w:rsidR="001173DC">
        <w:rPr>
          <w:rFonts w:ascii="Times New Roman" w:hAnsi="Times New Roman" w:cs="Times New Roman"/>
        </w:rPr>
        <w:t xml:space="preserve">reviously licensed </w:t>
      </w:r>
      <w:r w:rsidR="002F72A1">
        <w:rPr>
          <w:rFonts w:ascii="Times New Roman" w:hAnsi="Times New Roman" w:cs="Times New Roman"/>
        </w:rPr>
        <w:t>non-</w:t>
      </w:r>
      <w:r w:rsidR="001173DC">
        <w:rPr>
          <w:rFonts w:ascii="Times New Roman" w:hAnsi="Times New Roman" w:cs="Times New Roman"/>
        </w:rPr>
        <w:t>LWRs (e.g.,</w:t>
      </w:r>
      <w:r w:rsidR="00A10297">
        <w:rPr>
          <w:rFonts w:ascii="Times New Roman" w:hAnsi="Times New Roman" w:cs="Times New Roman"/>
        </w:rPr>
        <w:t> </w:t>
      </w:r>
      <w:r w:rsidR="001072A2">
        <w:rPr>
          <w:rFonts w:ascii="Times New Roman" w:hAnsi="Times New Roman" w:cs="Times New Roman"/>
        </w:rPr>
        <w:t>Peach Bottom Unit</w:t>
      </w:r>
      <w:r w:rsidR="00A10297">
        <w:rPr>
          <w:rFonts w:ascii="Times New Roman" w:hAnsi="Times New Roman" w:cs="Times New Roman"/>
        </w:rPr>
        <w:t> </w:t>
      </w:r>
      <w:r w:rsidR="001072A2">
        <w:rPr>
          <w:rFonts w:ascii="Times New Roman" w:hAnsi="Times New Roman" w:cs="Times New Roman"/>
        </w:rPr>
        <w:t>1, Ft.</w:t>
      </w:r>
      <w:r w:rsidR="00A10297">
        <w:rPr>
          <w:rFonts w:ascii="Times New Roman" w:hAnsi="Times New Roman" w:cs="Times New Roman"/>
        </w:rPr>
        <w:t> </w:t>
      </w:r>
      <w:r w:rsidR="001072A2">
        <w:rPr>
          <w:rFonts w:ascii="Times New Roman" w:hAnsi="Times New Roman" w:cs="Times New Roman"/>
        </w:rPr>
        <w:t>St.</w:t>
      </w:r>
      <w:r w:rsidR="00A10297">
        <w:rPr>
          <w:rFonts w:ascii="Times New Roman" w:hAnsi="Times New Roman" w:cs="Times New Roman"/>
        </w:rPr>
        <w:t> </w:t>
      </w:r>
      <w:r w:rsidR="001072A2">
        <w:rPr>
          <w:rFonts w:ascii="Times New Roman" w:hAnsi="Times New Roman" w:cs="Times New Roman"/>
        </w:rPr>
        <w:t xml:space="preserve">Vrain) </w:t>
      </w:r>
      <w:r w:rsidR="00EC21BE">
        <w:rPr>
          <w:rFonts w:ascii="Times New Roman" w:hAnsi="Times New Roman" w:cs="Times New Roman"/>
        </w:rPr>
        <w:t>were identified, analyzed, and reviewed on a case-by-case basis.</w:t>
      </w:r>
    </w:p>
    <w:p w:rsidR="00E30F1B" w:rsidP="002F3C90" w14:paraId="5B79B4BF" w14:textId="45962E4C">
      <w:pPr>
        <w:spacing w:after="0" w:line="240" w:lineRule="auto"/>
        <w:rPr>
          <w:rFonts w:ascii="Times New Roman" w:hAnsi="Times New Roman" w:cs="Times New Roman"/>
        </w:rPr>
      </w:pPr>
    </w:p>
    <w:p w:rsidR="009C5AC8" w:rsidRPr="001F6E7D" w:rsidP="002F3C90" w14:paraId="0BF13F2A" w14:textId="4B9D9D0B">
      <w:pPr>
        <w:spacing w:after="0" w:line="240" w:lineRule="auto"/>
        <w:rPr>
          <w:rFonts w:ascii="Times New Roman" w:hAnsi="Times New Roman" w:cs="Times New Roman"/>
          <w:u w:val="single"/>
        </w:rPr>
      </w:pPr>
      <w:r>
        <w:rPr>
          <w:rFonts w:ascii="Times New Roman" w:hAnsi="Times New Roman" w:cs="Times New Roman"/>
          <w:u w:val="single"/>
        </w:rPr>
        <w:t>NRC Advisory Committee on Reactor Safe</w:t>
      </w:r>
      <w:r w:rsidR="00475595">
        <w:rPr>
          <w:rFonts w:ascii="Times New Roman" w:hAnsi="Times New Roman" w:cs="Times New Roman"/>
          <w:u w:val="single"/>
        </w:rPr>
        <w:t>guards</w:t>
      </w:r>
    </w:p>
    <w:p w:rsidR="00D914FB" w:rsidP="002F3C90" w14:paraId="696E01E6" w14:textId="3D4F07A9">
      <w:pPr>
        <w:spacing w:after="0" w:line="240" w:lineRule="auto"/>
        <w:rPr>
          <w:rFonts w:ascii="Times New Roman" w:hAnsi="Times New Roman" w:cs="Times New Roman"/>
        </w:rPr>
      </w:pPr>
    </w:p>
    <w:p w:rsidR="009147A6" w:rsidP="002F3C90" w14:paraId="148556ED" w14:textId="39F1DCE5">
      <w:pPr>
        <w:spacing w:after="0" w:line="240" w:lineRule="auto"/>
        <w:rPr>
          <w:rFonts w:ascii="Times New Roman" w:hAnsi="Times New Roman" w:cs="Times New Roman"/>
        </w:rPr>
      </w:pPr>
      <w:r>
        <w:rPr>
          <w:rFonts w:ascii="Times New Roman" w:hAnsi="Times New Roman" w:cs="Times New Roman"/>
        </w:rPr>
        <w:tab/>
        <w:t>The A</w:t>
      </w:r>
      <w:r w:rsidR="00C92D72">
        <w:rPr>
          <w:rFonts w:ascii="Times New Roman" w:hAnsi="Times New Roman" w:cs="Times New Roman"/>
        </w:rPr>
        <w:t>CRS</w:t>
      </w:r>
      <w:r w:rsidR="00207316">
        <w:rPr>
          <w:rFonts w:ascii="Times New Roman" w:hAnsi="Times New Roman" w:cs="Times New Roman"/>
        </w:rPr>
        <w:t xml:space="preserve"> </w:t>
      </w:r>
      <w:r>
        <w:rPr>
          <w:rFonts w:ascii="Times New Roman" w:hAnsi="Times New Roman" w:cs="Times New Roman"/>
        </w:rPr>
        <w:t xml:space="preserve">has </w:t>
      </w:r>
      <w:r w:rsidR="003D057F">
        <w:rPr>
          <w:rFonts w:ascii="Times New Roman" w:hAnsi="Times New Roman" w:cs="Times New Roman"/>
        </w:rPr>
        <w:t xml:space="preserve">discussed the importance of </w:t>
      </w:r>
      <w:r w:rsidR="00CB575B">
        <w:rPr>
          <w:rFonts w:ascii="Times New Roman" w:hAnsi="Times New Roman" w:cs="Times New Roman"/>
        </w:rPr>
        <w:t>performing a comprehensive and systematic search for initiating events and delineating a comprehensive set of event sequences</w:t>
      </w:r>
      <w:r w:rsidR="00465F32">
        <w:rPr>
          <w:rFonts w:ascii="Times New Roman" w:hAnsi="Times New Roman" w:cs="Times New Roman"/>
        </w:rPr>
        <w:t xml:space="preserve"> to inform the design and review of new commercial nuclear plants</w:t>
      </w:r>
      <w:r w:rsidR="0080436F">
        <w:rPr>
          <w:rFonts w:ascii="Times New Roman" w:hAnsi="Times New Roman" w:cs="Times New Roman"/>
        </w:rPr>
        <w:t xml:space="preserve">. The following </w:t>
      </w:r>
      <w:r w:rsidR="00C83F51">
        <w:rPr>
          <w:rFonts w:ascii="Times New Roman" w:hAnsi="Times New Roman" w:cs="Times New Roman"/>
        </w:rPr>
        <w:t>ACRS</w:t>
      </w:r>
      <w:r w:rsidR="00010F08">
        <w:rPr>
          <w:rFonts w:ascii="Times New Roman" w:hAnsi="Times New Roman" w:cs="Times New Roman"/>
        </w:rPr>
        <w:t xml:space="preserve"> letter reports</w:t>
      </w:r>
      <w:r w:rsidRPr="007D2B11" w:rsidR="00010F08">
        <w:rPr>
          <w:rFonts w:ascii="Times New Roman" w:hAnsi="Times New Roman" w:cs="Times New Roman"/>
        </w:rPr>
        <w:t xml:space="preserve"> </w:t>
      </w:r>
      <w:r w:rsidRPr="007D2B11" w:rsidR="00613005">
        <w:rPr>
          <w:rFonts w:ascii="Times New Roman" w:hAnsi="Times New Roman" w:cs="Times New Roman"/>
        </w:rPr>
        <w:t>have</w:t>
      </w:r>
      <w:r w:rsidRPr="007D2B11" w:rsidR="007D574C">
        <w:rPr>
          <w:rFonts w:ascii="Times New Roman" w:hAnsi="Times New Roman" w:cs="Times New Roman"/>
        </w:rPr>
        <w:t xml:space="preserve">, in part, </w:t>
      </w:r>
      <w:r w:rsidR="00644C6D">
        <w:rPr>
          <w:rFonts w:ascii="Times New Roman" w:hAnsi="Times New Roman" w:cs="Times New Roman"/>
        </w:rPr>
        <w:t>played an important role in</w:t>
      </w:r>
      <w:r w:rsidRPr="007D2B11" w:rsidR="00644C6D">
        <w:rPr>
          <w:rFonts w:ascii="Times New Roman" w:hAnsi="Times New Roman" w:cs="Times New Roman"/>
        </w:rPr>
        <w:t xml:space="preserve"> </w:t>
      </w:r>
      <w:r w:rsidRPr="007D2B11" w:rsidR="00613005">
        <w:rPr>
          <w:rFonts w:ascii="Times New Roman" w:hAnsi="Times New Roman" w:cs="Times New Roman"/>
        </w:rPr>
        <w:t xml:space="preserve">the development of this </w:t>
      </w:r>
      <w:r w:rsidR="00B94DB1">
        <w:rPr>
          <w:rFonts w:ascii="Times New Roman" w:hAnsi="Times New Roman" w:cs="Times New Roman"/>
        </w:rPr>
        <w:t>RG</w:t>
      </w:r>
      <w:r w:rsidR="00C83F51">
        <w:rPr>
          <w:rFonts w:ascii="Times New Roman" w:hAnsi="Times New Roman" w:cs="Times New Roman"/>
        </w:rPr>
        <w:t>:</w:t>
      </w:r>
    </w:p>
    <w:p w:rsidR="00593CB9" w:rsidP="002F3C90" w14:paraId="125E9ED1" w14:textId="52FF66D4">
      <w:pPr>
        <w:spacing w:after="0" w:line="240" w:lineRule="auto"/>
        <w:rPr>
          <w:rFonts w:ascii="Times New Roman" w:hAnsi="Times New Roman" w:cs="Times New Roman"/>
        </w:rPr>
      </w:pPr>
    </w:p>
    <w:p w:rsidR="00593CB9" w:rsidP="002F3C90" w14:paraId="2B18C7FB" w14:textId="087793FE">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8D5B82">
        <w:rPr>
          <w:rFonts w:ascii="Times New Roman" w:hAnsi="Times New Roman" w:cs="Times New Roman"/>
        </w:rPr>
        <w:t xml:space="preserve">etter </w:t>
      </w:r>
      <w:r>
        <w:rPr>
          <w:rFonts w:ascii="Times New Roman" w:hAnsi="Times New Roman" w:cs="Times New Roman"/>
        </w:rPr>
        <w:t>r</w:t>
      </w:r>
      <w:r w:rsidR="00F36B68">
        <w:rPr>
          <w:rFonts w:ascii="Times New Roman" w:hAnsi="Times New Roman" w:cs="Times New Roman"/>
        </w:rPr>
        <w:t>eport</w:t>
      </w:r>
      <w:r w:rsidR="009370F3">
        <w:rPr>
          <w:rFonts w:ascii="Times New Roman" w:hAnsi="Times New Roman" w:cs="Times New Roman"/>
        </w:rPr>
        <w:t>, “R</w:t>
      </w:r>
      <w:r w:rsidRPr="00E82D8E" w:rsidR="00E82D8E">
        <w:rPr>
          <w:rFonts w:ascii="Times New Roman" w:hAnsi="Times New Roman" w:cs="Times New Roman"/>
        </w:rPr>
        <w:t xml:space="preserve">eview </w:t>
      </w:r>
      <w:r w:rsidR="00E82D8E">
        <w:rPr>
          <w:rFonts w:ascii="Times New Roman" w:hAnsi="Times New Roman" w:cs="Times New Roman"/>
        </w:rPr>
        <w:t>o</w:t>
      </w:r>
      <w:r w:rsidRPr="00E82D8E" w:rsidR="00E82D8E">
        <w:rPr>
          <w:rFonts w:ascii="Times New Roman" w:hAnsi="Times New Roman" w:cs="Times New Roman"/>
        </w:rPr>
        <w:t xml:space="preserve">f </w:t>
      </w:r>
      <w:r w:rsidR="009370F3">
        <w:rPr>
          <w:rFonts w:ascii="Times New Roman" w:hAnsi="Times New Roman" w:cs="Times New Roman"/>
        </w:rPr>
        <w:t>D</w:t>
      </w:r>
      <w:r w:rsidRPr="00E82D8E" w:rsidR="00E82D8E">
        <w:rPr>
          <w:rFonts w:ascii="Times New Roman" w:hAnsi="Times New Roman" w:cs="Times New Roman"/>
        </w:rPr>
        <w:t xml:space="preserve">raft SECY </w:t>
      </w:r>
      <w:r w:rsidR="008C593F">
        <w:rPr>
          <w:rFonts w:ascii="Times New Roman" w:hAnsi="Times New Roman" w:cs="Times New Roman"/>
        </w:rPr>
        <w:t>P</w:t>
      </w:r>
      <w:r w:rsidRPr="00E82D8E" w:rsidR="00E82D8E">
        <w:rPr>
          <w:rFonts w:ascii="Times New Roman" w:hAnsi="Times New Roman" w:cs="Times New Roman"/>
        </w:rPr>
        <w:t xml:space="preserve">aper, </w:t>
      </w:r>
      <w:r w:rsidR="008C593F">
        <w:rPr>
          <w:rFonts w:ascii="Times New Roman" w:hAnsi="Times New Roman" w:cs="Times New Roman"/>
        </w:rPr>
        <w:t>‘</w:t>
      </w:r>
      <w:r w:rsidRPr="00E82D8E" w:rsidR="00E82D8E">
        <w:rPr>
          <w:rFonts w:ascii="Times New Roman" w:hAnsi="Times New Roman" w:cs="Times New Roman"/>
        </w:rPr>
        <w:t>Population</w:t>
      </w:r>
      <w:r w:rsidR="00883110">
        <w:rPr>
          <w:rFonts w:ascii="Times New Roman" w:hAnsi="Times New Roman" w:cs="Times New Roman"/>
        </w:rPr>
        <w:t>-</w:t>
      </w:r>
      <w:r w:rsidRPr="00E82D8E" w:rsidR="00E82D8E">
        <w:rPr>
          <w:rFonts w:ascii="Times New Roman" w:hAnsi="Times New Roman" w:cs="Times New Roman"/>
        </w:rPr>
        <w:t xml:space="preserve">Related Siting Considerations </w:t>
      </w:r>
      <w:r w:rsidRPr="00E82D8E" w:rsidR="004506A7">
        <w:rPr>
          <w:rFonts w:ascii="Times New Roman" w:hAnsi="Times New Roman" w:cs="Times New Roman"/>
        </w:rPr>
        <w:t>for</w:t>
      </w:r>
      <w:r w:rsidRPr="00E82D8E" w:rsidR="00E82D8E">
        <w:rPr>
          <w:rFonts w:ascii="Times New Roman" w:hAnsi="Times New Roman" w:cs="Times New Roman"/>
        </w:rPr>
        <w:t xml:space="preserve"> Advanced Reactors</w:t>
      </w:r>
      <w:r w:rsidR="00E82D8E">
        <w:rPr>
          <w:rFonts w:ascii="Times New Roman" w:hAnsi="Times New Roman" w:cs="Times New Roman"/>
        </w:rPr>
        <w:t>,</w:t>
      </w:r>
      <w:r w:rsidR="008C593F">
        <w:rPr>
          <w:rFonts w:ascii="Times New Roman" w:hAnsi="Times New Roman" w:cs="Times New Roman"/>
        </w:rPr>
        <w:t>’</w:t>
      </w:r>
      <w:r w:rsidR="00722483">
        <w:rPr>
          <w:rFonts w:ascii="Times New Roman" w:hAnsi="Times New Roman" w:cs="Times New Roman"/>
        </w:rPr>
        <w:t>”</w:t>
      </w:r>
      <w:r w:rsidR="00E82D8E">
        <w:rPr>
          <w:rFonts w:ascii="Times New Roman" w:hAnsi="Times New Roman" w:cs="Times New Roman"/>
        </w:rPr>
        <w:t xml:space="preserve"> </w:t>
      </w:r>
      <w:r w:rsidR="00C15CFA">
        <w:rPr>
          <w:rFonts w:ascii="Times New Roman" w:hAnsi="Times New Roman" w:cs="Times New Roman"/>
        </w:rPr>
        <w:t xml:space="preserve">dated </w:t>
      </w:r>
      <w:r w:rsidR="00E95038">
        <w:rPr>
          <w:rFonts w:ascii="Times New Roman" w:hAnsi="Times New Roman" w:cs="Times New Roman"/>
        </w:rPr>
        <w:t>October</w:t>
      </w:r>
      <w:r w:rsidR="00C15CFA">
        <w:rPr>
          <w:rFonts w:ascii="Times New Roman" w:hAnsi="Times New Roman" w:cs="Times New Roman"/>
        </w:rPr>
        <w:t> </w:t>
      </w:r>
      <w:r w:rsidR="00E95038">
        <w:rPr>
          <w:rFonts w:ascii="Times New Roman" w:hAnsi="Times New Roman" w:cs="Times New Roman"/>
        </w:rPr>
        <w:t>7,</w:t>
      </w:r>
      <w:r w:rsidR="00C15CFA">
        <w:rPr>
          <w:rFonts w:ascii="Times New Roman" w:hAnsi="Times New Roman" w:cs="Times New Roman"/>
        </w:rPr>
        <w:t> </w:t>
      </w:r>
      <w:r w:rsidR="00E95038">
        <w:rPr>
          <w:rFonts w:ascii="Times New Roman" w:hAnsi="Times New Roman" w:cs="Times New Roman"/>
        </w:rPr>
        <w:t>2019</w:t>
      </w:r>
      <w:r w:rsidR="00726109">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18</w:t>
      </w:r>
      <w:r w:rsidR="00726109">
        <w:rPr>
          <w:rFonts w:ascii="Times New Roman" w:hAnsi="Times New Roman" w:cs="Times New Roman"/>
        </w:rPr>
        <w:t>)</w:t>
      </w:r>
      <w:r w:rsidR="00E95038">
        <w:rPr>
          <w:rFonts w:ascii="Times New Roman" w:hAnsi="Times New Roman" w:cs="Times New Roman"/>
        </w:rPr>
        <w:t>:</w:t>
      </w:r>
    </w:p>
    <w:p w:rsidR="007725FF" w:rsidP="002F3C90" w14:paraId="4382E1AE" w14:textId="0F18B452">
      <w:pPr>
        <w:pStyle w:val="ListParagraph"/>
        <w:spacing w:after="0" w:line="240" w:lineRule="auto"/>
        <w:rPr>
          <w:rFonts w:ascii="Times New Roman" w:hAnsi="Times New Roman" w:cs="Times New Roman"/>
        </w:rPr>
      </w:pPr>
    </w:p>
    <w:p w:rsidR="007725FF" w:rsidP="002F3C90" w14:paraId="41CA6024" w14:textId="44208068">
      <w:pPr>
        <w:pStyle w:val="ListParagraph"/>
        <w:spacing w:after="0" w:line="240" w:lineRule="auto"/>
        <w:ind w:left="1080" w:right="720"/>
        <w:rPr>
          <w:rFonts w:ascii="Times New Roman" w:hAnsi="Times New Roman" w:cs="Times New Roman"/>
        </w:rPr>
      </w:pPr>
      <w:r w:rsidRPr="007725FF">
        <w:rPr>
          <w:rFonts w:ascii="Times New Roman" w:hAnsi="Times New Roman" w:cs="Times New Roman"/>
        </w:rPr>
        <w:t xml:space="preserve">One specific caveat not raised in the draft </w:t>
      </w:r>
      <w:r w:rsidRPr="007725FF" w:rsidR="00515545">
        <w:rPr>
          <w:rFonts w:ascii="Times New Roman" w:hAnsi="Times New Roman" w:cs="Times New Roman"/>
        </w:rPr>
        <w:t>SECY</w:t>
      </w:r>
      <w:r w:rsidR="00883110">
        <w:rPr>
          <w:rFonts w:ascii="Times New Roman" w:hAnsi="Times New Roman" w:cs="Times New Roman"/>
        </w:rPr>
        <w:t>,</w:t>
      </w:r>
      <w:r w:rsidRPr="007725FF" w:rsidR="00515545">
        <w:rPr>
          <w:rFonts w:ascii="Times New Roman" w:hAnsi="Times New Roman" w:cs="Times New Roman"/>
        </w:rPr>
        <w:t xml:space="preserve"> but</w:t>
      </w:r>
      <w:r w:rsidRPr="007725FF">
        <w:rPr>
          <w:rFonts w:ascii="Times New Roman" w:hAnsi="Times New Roman" w:cs="Times New Roman"/>
        </w:rPr>
        <w:t xml:space="preserve"> implied in all the licensing activities for</w:t>
      </w:r>
      <w:r w:rsidR="008C2610">
        <w:rPr>
          <w:rFonts w:ascii="Times New Roman" w:hAnsi="Times New Roman" w:cs="Times New Roman"/>
        </w:rPr>
        <w:t xml:space="preserve"> </w:t>
      </w:r>
      <w:r w:rsidRPr="007725FF">
        <w:rPr>
          <w:rFonts w:ascii="Times New Roman" w:hAnsi="Times New Roman" w:cs="Times New Roman"/>
        </w:rPr>
        <w:t>new non-LWR designs flowing out of the vision and strategy process</w:t>
      </w:r>
      <w:r w:rsidR="007F3A2B">
        <w:rPr>
          <w:rFonts w:ascii="Times New Roman" w:hAnsi="Times New Roman" w:cs="Times New Roman"/>
        </w:rPr>
        <w:t xml:space="preserve"> </w:t>
      </w:r>
      <w:r w:rsidR="00C15CFA">
        <w:rPr>
          <w:rFonts w:ascii="Times New Roman" w:hAnsi="Times New Roman" w:cs="Times New Roman"/>
        </w:rPr>
        <w:t>[</w:t>
      </w:r>
      <w:r w:rsidR="007F3A2B">
        <w:rPr>
          <w:rFonts w:ascii="Times New Roman" w:hAnsi="Times New Roman" w:cs="Times New Roman"/>
        </w:rPr>
        <w:t>Ref.</w:t>
      </w:r>
      <w:r w:rsidR="00C15CFA">
        <w:rPr>
          <w:rFonts w:ascii="Times New Roman" w:hAnsi="Times New Roman" w:cs="Times New Roman"/>
        </w:rPr>
        <w:t> </w:t>
      </w:r>
      <w:r w:rsidR="001F610F">
        <w:rPr>
          <w:rFonts w:ascii="Times New Roman" w:hAnsi="Times New Roman" w:cs="Times New Roman"/>
        </w:rPr>
        <w:t>19</w:t>
      </w:r>
      <w:r w:rsidR="00C15CFA">
        <w:rPr>
          <w:rFonts w:ascii="Times New Roman" w:hAnsi="Times New Roman" w:cs="Times New Roman"/>
        </w:rPr>
        <w:t>]</w:t>
      </w:r>
      <w:r w:rsidRPr="007725FF">
        <w:rPr>
          <w:rFonts w:ascii="Times New Roman" w:hAnsi="Times New Roman" w:cs="Times New Roman"/>
        </w:rPr>
        <w:t>, is the need for examining</w:t>
      </w:r>
      <w:r w:rsidR="008C2610">
        <w:rPr>
          <w:rFonts w:ascii="Times New Roman" w:hAnsi="Times New Roman" w:cs="Times New Roman"/>
        </w:rPr>
        <w:t xml:space="preserve"> </w:t>
      </w:r>
      <w:r w:rsidRPr="007725FF">
        <w:rPr>
          <w:rFonts w:ascii="Times New Roman" w:hAnsi="Times New Roman" w:cs="Times New Roman"/>
        </w:rPr>
        <w:t>new designs with a clean sheet of paper.</w:t>
      </w:r>
      <w:r w:rsidR="00FD2338">
        <w:rPr>
          <w:rFonts w:ascii="Times New Roman" w:hAnsi="Times New Roman" w:cs="Times New Roman"/>
        </w:rPr>
        <w:t xml:space="preserve"> </w:t>
      </w:r>
      <w:r w:rsidRPr="007725FF">
        <w:rPr>
          <w:rFonts w:ascii="Times New Roman" w:hAnsi="Times New Roman" w:cs="Times New Roman"/>
        </w:rPr>
        <w:t>Improvements in our ability to calculate source terms</w:t>
      </w:r>
      <w:r w:rsidR="008C2610">
        <w:rPr>
          <w:rFonts w:ascii="Times New Roman" w:hAnsi="Times New Roman" w:cs="Times New Roman"/>
        </w:rPr>
        <w:t xml:space="preserve"> </w:t>
      </w:r>
      <w:r w:rsidRPr="007725FF">
        <w:rPr>
          <w:rFonts w:ascii="Times New Roman" w:hAnsi="Times New Roman" w:cs="Times New Roman"/>
        </w:rPr>
        <w:t>and consequences in conjunction with the inherent safety aspects of advanced designs can</w:t>
      </w:r>
      <w:r w:rsidR="008C2610">
        <w:rPr>
          <w:rFonts w:ascii="Times New Roman" w:hAnsi="Times New Roman" w:cs="Times New Roman"/>
        </w:rPr>
        <w:t xml:space="preserve"> </w:t>
      </w:r>
      <w:r w:rsidRPr="007725FF">
        <w:rPr>
          <w:rFonts w:ascii="Times New Roman" w:hAnsi="Times New Roman" w:cs="Times New Roman"/>
        </w:rPr>
        <w:t>reduce the probability and consequences of many of the events that have historically dominated</w:t>
      </w:r>
      <w:r w:rsidR="008C2610">
        <w:rPr>
          <w:rFonts w:ascii="Times New Roman" w:hAnsi="Times New Roman" w:cs="Times New Roman"/>
        </w:rPr>
        <w:t xml:space="preserve"> </w:t>
      </w:r>
      <w:r w:rsidRPr="007725FF">
        <w:rPr>
          <w:rFonts w:ascii="Times New Roman" w:hAnsi="Times New Roman" w:cs="Times New Roman"/>
        </w:rPr>
        <w:t>the risk at LWRs. Nevertheless, one must be sure to think carefully about the failures and</w:t>
      </w:r>
      <w:r w:rsidR="008C2610">
        <w:rPr>
          <w:rFonts w:ascii="Times New Roman" w:hAnsi="Times New Roman" w:cs="Times New Roman"/>
        </w:rPr>
        <w:t xml:space="preserve"> </w:t>
      </w:r>
      <w:r w:rsidRPr="007725FF">
        <w:rPr>
          <w:rFonts w:ascii="Times New Roman" w:hAnsi="Times New Roman" w:cs="Times New Roman"/>
        </w:rPr>
        <w:t xml:space="preserve">combinations of failures that could </w:t>
      </w:r>
      <w:r w:rsidRPr="007725FF" w:rsidR="00515545">
        <w:rPr>
          <w:rFonts w:ascii="Times New Roman" w:hAnsi="Times New Roman" w:cs="Times New Roman"/>
        </w:rPr>
        <w:t>occur</w:t>
      </w:r>
      <w:r w:rsidR="00883110">
        <w:rPr>
          <w:rFonts w:ascii="Times New Roman" w:hAnsi="Times New Roman" w:cs="Times New Roman"/>
        </w:rPr>
        <w:t>;</w:t>
      </w:r>
      <w:r w:rsidRPr="007725FF">
        <w:rPr>
          <w:rFonts w:ascii="Times New Roman" w:hAnsi="Times New Roman" w:cs="Times New Roman"/>
        </w:rPr>
        <w:t xml:space="preserve"> i.e.,</w:t>
      </w:r>
      <w:r w:rsidR="00C15CFA">
        <w:rPr>
          <w:rFonts w:ascii="Times New Roman" w:hAnsi="Times New Roman" w:cs="Times New Roman"/>
        </w:rPr>
        <w:t> </w:t>
      </w:r>
      <w:r w:rsidRPr="007725FF">
        <w:rPr>
          <w:rFonts w:ascii="Times New Roman" w:hAnsi="Times New Roman" w:cs="Times New Roman"/>
        </w:rPr>
        <w:t>what could go wrong.</w:t>
      </w:r>
      <w:r w:rsidR="00FD2338">
        <w:rPr>
          <w:rFonts w:ascii="Times New Roman" w:hAnsi="Times New Roman" w:cs="Times New Roman"/>
        </w:rPr>
        <w:t xml:space="preserve"> </w:t>
      </w:r>
      <w:r w:rsidRPr="007725FF">
        <w:rPr>
          <w:rFonts w:ascii="Times New Roman" w:hAnsi="Times New Roman" w:cs="Times New Roman"/>
        </w:rPr>
        <w:t>There are many tools that</w:t>
      </w:r>
      <w:r w:rsidR="008C2610">
        <w:rPr>
          <w:rFonts w:ascii="Times New Roman" w:hAnsi="Times New Roman" w:cs="Times New Roman"/>
        </w:rPr>
        <w:t xml:space="preserve"> </w:t>
      </w:r>
      <w:r w:rsidRPr="007725FF">
        <w:rPr>
          <w:rFonts w:ascii="Times New Roman" w:hAnsi="Times New Roman" w:cs="Times New Roman"/>
        </w:rPr>
        <w:t>can help in such a search: a simple reframing—asking ‘how could I make this system fail’</w:t>
      </w:r>
      <w:r w:rsidR="00883110">
        <w:rPr>
          <w:rFonts w:ascii="Times New Roman" w:hAnsi="Times New Roman" w:cs="Times New Roman"/>
        </w:rPr>
        <w:t>;</w:t>
      </w:r>
      <w:r w:rsidR="008C2610">
        <w:rPr>
          <w:rFonts w:ascii="Times New Roman" w:hAnsi="Times New Roman" w:cs="Times New Roman"/>
        </w:rPr>
        <w:t xml:space="preserve"> </w:t>
      </w:r>
      <w:r w:rsidRPr="007725FF">
        <w:rPr>
          <w:rFonts w:ascii="Times New Roman" w:hAnsi="Times New Roman" w:cs="Times New Roman"/>
        </w:rPr>
        <w:t>employing a search scheme similar to the Hazard and Operability Study (HAZOP) approach</w:t>
      </w:r>
      <w:r w:rsidR="008C2610">
        <w:rPr>
          <w:rFonts w:ascii="Times New Roman" w:hAnsi="Times New Roman" w:cs="Times New Roman"/>
        </w:rPr>
        <w:t xml:space="preserve"> </w:t>
      </w:r>
      <w:r w:rsidRPr="007725FF">
        <w:rPr>
          <w:rFonts w:ascii="Times New Roman" w:hAnsi="Times New Roman" w:cs="Times New Roman"/>
        </w:rPr>
        <w:t>used in the chemical processing industry; and applying a modified failure modes and effects</w:t>
      </w:r>
      <w:r w:rsidR="008C2610">
        <w:rPr>
          <w:rFonts w:ascii="Times New Roman" w:hAnsi="Times New Roman" w:cs="Times New Roman"/>
        </w:rPr>
        <w:t xml:space="preserve"> </w:t>
      </w:r>
      <w:r w:rsidRPr="007725FF">
        <w:rPr>
          <w:rFonts w:ascii="Times New Roman" w:hAnsi="Times New Roman" w:cs="Times New Roman"/>
        </w:rPr>
        <w:t>analysis at the system level rather than at the component level.</w:t>
      </w:r>
    </w:p>
    <w:p w:rsidR="00B26E14" w:rsidRPr="00593CB9" w:rsidP="002F3C90" w14:paraId="06EB5B32" w14:textId="6F00FE8E">
      <w:pPr>
        <w:pStyle w:val="ListParagraph"/>
        <w:spacing w:after="0" w:line="240" w:lineRule="auto"/>
        <w:ind w:left="1080" w:right="720"/>
        <w:rPr>
          <w:rFonts w:ascii="Times New Roman" w:hAnsi="Times New Roman" w:cs="Times New Roman"/>
        </w:rPr>
      </w:pPr>
      <w:r w:rsidRPr="00B26E14">
        <w:rPr>
          <w:rFonts w:ascii="Times New Roman" w:hAnsi="Times New Roman" w:cs="Times New Roman"/>
        </w:rPr>
        <w:t>There is a tendency to believe in the perfection of new designs, especially when they are</w:t>
      </w:r>
      <w:r w:rsidR="00C15CFA">
        <w:rPr>
          <w:rFonts w:ascii="Times New Roman" w:hAnsi="Times New Roman" w:cs="Times New Roman"/>
        </w:rPr>
        <w:t xml:space="preserve"> </w:t>
      </w:r>
      <w:r w:rsidRPr="00B26E14">
        <w:rPr>
          <w:rFonts w:ascii="Times New Roman" w:hAnsi="Times New Roman" w:cs="Times New Roman"/>
        </w:rPr>
        <w:t>developed to eliminate the dominant failure scenarios in existing designs.</w:t>
      </w:r>
      <w:r w:rsidR="00FD2338">
        <w:rPr>
          <w:rFonts w:ascii="Times New Roman" w:hAnsi="Times New Roman" w:cs="Times New Roman"/>
        </w:rPr>
        <w:t xml:space="preserve"> </w:t>
      </w:r>
      <w:r w:rsidRPr="00B26E14">
        <w:rPr>
          <w:rFonts w:ascii="Times New Roman" w:hAnsi="Times New Roman" w:cs="Times New Roman"/>
        </w:rPr>
        <w:t>However, one must</w:t>
      </w:r>
      <w:r w:rsidR="008C2610">
        <w:rPr>
          <w:rFonts w:ascii="Times New Roman" w:hAnsi="Times New Roman" w:cs="Times New Roman"/>
        </w:rPr>
        <w:t xml:space="preserve"> </w:t>
      </w:r>
      <w:r w:rsidRPr="00B26E14">
        <w:rPr>
          <w:rFonts w:ascii="Times New Roman" w:hAnsi="Times New Roman" w:cs="Times New Roman"/>
        </w:rPr>
        <w:t>remain vigilant and remember that nature provides surprises. There will be new accident</w:t>
      </w:r>
      <w:r w:rsidRPr="008C2610" w:rsidR="008C2610">
        <w:t xml:space="preserve"> </w:t>
      </w:r>
      <w:r w:rsidRPr="008C2610" w:rsidR="008C2610">
        <w:rPr>
          <w:rFonts w:ascii="Times New Roman" w:hAnsi="Times New Roman" w:cs="Times New Roman"/>
        </w:rPr>
        <w:t>scenarios and new combinations of events to be considered that challenge our expectation</w:t>
      </w:r>
      <w:r w:rsidR="00681F36">
        <w:rPr>
          <w:rFonts w:ascii="Times New Roman" w:hAnsi="Times New Roman" w:cs="Times New Roman"/>
        </w:rPr>
        <w:t>s</w:t>
      </w:r>
      <w:r w:rsidR="008C2610">
        <w:rPr>
          <w:rFonts w:ascii="Times New Roman" w:hAnsi="Times New Roman" w:cs="Times New Roman"/>
        </w:rPr>
        <w:t xml:space="preserve"> </w:t>
      </w:r>
      <w:r w:rsidRPr="008C2610" w:rsidR="008C2610">
        <w:rPr>
          <w:rFonts w:ascii="Times New Roman" w:hAnsi="Times New Roman" w:cs="Times New Roman"/>
        </w:rPr>
        <w:t>and our assumptions about these advanced reactor systems. Creative thinking will be required</w:t>
      </w:r>
      <w:r w:rsidR="008C2610">
        <w:rPr>
          <w:rFonts w:ascii="Times New Roman" w:hAnsi="Times New Roman" w:cs="Times New Roman"/>
        </w:rPr>
        <w:t xml:space="preserve"> </w:t>
      </w:r>
      <w:r w:rsidRPr="008C2610" w:rsidR="008C2610">
        <w:rPr>
          <w:rFonts w:ascii="Times New Roman" w:hAnsi="Times New Roman" w:cs="Times New Roman"/>
        </w:rPr>
        <w:t>to identify such unique situations, to thoroughly identify the scenarios that will be the basis of the</w:t>
      </w:r>
      <w:r w:rsidR="008C2610">
        <w:rPr>
          <w:rFonts w:ascii="Times New Roman" w:hAnsi="Times New Roman" w:cs="Times New Roman"/>
        </w:rPr>
        <w:t xml:space="preserve"> </w:t>
      </w:r>
      <w:r w:rsidRPr="008C2610" w:rsidR="008C2610">
        <w:rPr>
          <w:rFonts w:ascii="Times New Roman" w:hAnsi="Times New Roman" w:cs="Times New Roman"/>
        </w:rPr>
        <w:t>safety analysis and the source of releases, and to evaluate the suitability of sites.</w:t>
      </w:r>
    </w:p>
    <w:p w:rsidR="00593CB9" w:rsidP="002F3C90" w14:paraId="1D6CEAA0" w14:textId="477D0083">
      <w:pPr>
        <w:spacing w:after="0" w:line="240" w:lineRule="auto"/>
        <w:rPr>
          <w:rFonts w:ascii="Times New Roman" w:hAnsi="Times New Roman" w:cs="Times New Roman"/>
        </w:rPr>
      </w:pPr>
    </w:p>
    <w:p w:rsidR="00593CB9" w:rsidRPr="00593CB9" w:rsidP="002F3C90" w14:paraId="21896CAC" w14:textId="405D6D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585878">
        <w:rPr>
          <w:rFonts w:ascii="Times New Roman" w:hAnsi="Times New Roman" w:cs="Times New Roman"/>
        </w:rPr>
        <w:t>etter</w:t>
      </w:r>
      <w:r w:rsidR="0088785A">
        <w:rPr>
          <w:rFonts w:ascii="Times New Roman" w:hAnsi="Times New Roman" w:cs="Times New Roman"/>
        </w:rPr>
        <w:t xml:space="preserve"> </w:t>
      </w:r>
      <w:r>
        <w:rPr>
          <w:rFonts w:ascii="Times New Roman" w:hAnsi="Times New Roman" w:cs="Times New Roman"/>
        </w:rPr>
        <w:t>r</w:t>
      </w:r>
      <w:r w:rsidR="0088785A">
        <w:rPr>
          <w:rFonts w:ascii="Times New Roman" w:hAnsi="Times New Roman" w:cs="Times New Roman"/>
        </w:rPr>
        <w:t>eport</w:t>
      </w:r>
      <w:r w:rsidR="008C593F">
        <w:rPr>
          <w:rFonts w:ascii="Times New Roman" w:hAnsi="Times New Roman" w:cs="Times New Roman"/>
        </w:rPr>
        <w:t>,</w:t>
      </w:r>
      <w:r w:rsidR="00585878">
        <w:rPr>
          <w:rFonts w:ascii="Times New Roman" w:hAnsi="Times New Roman" w:cs="Times New Roman"/>
        </w:rPr>
        <w:t xml:space="preserve"> </w:t>
      </w:r>
      <w:r w:rsidR="00E64924">
        <w:rPr>
          <w:rFonts w:ascii="Times New Roman" w:hAnsi="Times New Roman" w:cs="Times New Roman"/>
        </w:rPr>
        <w:t>“</w:t>
      </w:r>
      <w:r w:rsidRPr="006E6C5D" w:rsidR="006E6C5D">
        <w:rPr>
          <w:rFonts w:ascii="Times New Roman" w:hAnsi="Times New Roman" w:cs="Times New Roman"/>
        </w:rPr>
        <w:t>10</w:t>
      </w:r>
      <w:r w:rsidR="00C15CFA">
        <w:rPr>
          <w:rFonts w:ascii="Times New Roman" w:hAnsi="Times New Roman" w:cs="Times New Roman"/>
        </w:rPr>
        <w:t> </w:t>
      </w:r>
      <w:r w:rsidRPr="006E6C5D" w:rsidR="006E6C5D">
        <w:rPr>
          <w:rFonts w:ascii="Times New Roman" w:hAnsi="Times New Roman" w:cs="Times New Roman"/>
        </w:rPr>
        <w:t>CFR</w:t>
      </w:r>
      <w:r w:rsidR="00C15CFA">
        <w:rPr>
          <w:rFonts w:ascii="Times New Roman" w:hAnsi="Times New Roman" w:cs="Times New Roman"/>
        </w:rPr>
        <w:t> </w:t>
      </w:r>
      <w:r w:rsidRPr="006E6C5D" w:rsidR="006E6C5D">
        <w:rPr>
          <w:rFonts w:ascii="Times New Roman" w:hAnsi="Times New Roman" w:cs="Times New Roman"/>
        </w:rPr>
        <w:t>Part</w:t>
      </w:r>
      <w:r w:rsidR="00C15CFA">
        <w:rPr>
          <w:rFonts w:ascii="Times New Roman" w:hAnsi="Times New Roman" w:cs="Times New Roman"/>
        </w:rPr>
        <w:t> </w:t>
      </w:r>
      <w:r w:rsidRPr="006E6C5D" w:rsidR="006E6C5D">
        <w:rPr>
          <w:rFonts w:ascii="Times New Roman" w:hAnsi="Times New Roman" w:cs="Times New Roman"/>
        </w:rPr>
        <w:t xml:space="preserve">53 </w:t>
      </w:r>
      <w:r w:rsidR="00E64924">
        <w:rPr>
          <w:rFonts w:ascii="Times New Roman" w:hAnsi="Times New Roman" w:cs="Times New Roman"/>
        </w:rPr>
        <w:t>L</w:t>
      </w:r>
      <w:r w:rsidRPr="006E6C5D" w:rsidR="006E6C5D">
        <w:rPr>
          <w:rFonts w:ascii="Times New Roman" w:hAnsi="Times New Roman" w:cs="Times New Roman"/>
        </w:rPr>
        <w:t xml:space="preserve">icensing and </w:t>
      </w:r>
      <w:r w:rsidR="00E64924">
        <w:rPr>
          <w:rFonts w:ascii="Times New Roman" w:hAnsi="Times New Roman" w:cs="Times New Roman"/>
        </w:rPr>
        <w:t>R</w:t>
      </w:r>
      <w:r w:rsidRPr="006E6C5D" w:rsidR="006E6C5D">
        <w:rPr>
          <w:rFonts w:ascii="Times New Roman" w:hAnsi="Times New Roman" w:cs="Times New Roman"/>
        </w:rPr>
        <w:t xml:space="preserve">egulation of </w:t>
      </w:r>
      <w:r w:rsidR="00E64924">
        <w:rPr>
          <w:rFonts w:ascii="Times New Roman" w:hAnsi="Times New Roman" w:cs="Times New Roman"/>
        </w:rPr>
        <w:t>A</w:t>
      </w:r>
      <w:r w:rsidRPr="006E6C5D" w:rsidR="006E6C5D">
        <w:rPr>
          <w:rFonts w:ascii="Times New Roman" w:hAnsi="Times New Roman" w:cs="Times New Roman"/>
        </w:rPr>
        <w:t xml:space="preserve">dvanced </w:t>
      </w:r>
      <w:r w:rsidR="00E64924">
        <w:rPr>
          <w:rFonts w:ascii="Times New Roman" w:hAnsi="Times New Roman" w:cs="Times New Roman"/>
        </w:rPr>
        <w:t>N</w:t>
      </w:r>
      <w:r w:rsidRPr="006E6C5D" w:rsidR="006E6C5D">
        <w:rPr>
          <w:rFonts w:ascii="Times New Roman" w:hAnsi="Times New Roman" w:cs="Times New Roman"/>
        </w:rPr>
        <w:t xml:space="preserve">uclear </w:t>
      </w:r>
      <w:r w:rsidR="00E64924">
        <w:rPr>
          <w:rFonts w:ascii="Times New Roman" w:hAnsi="Times New Roman" w:cs="Times New Roman"/>
        </w:rPr>
        <w:t>R</w:t>
      </w:r>
      <w:r w:rsidRPr="006E6C5D" w:rsidR="006E6C5D">
        <w:rPr>
          <w:rFonts w:ascii="Times New Roman" w:hAnsi="Times New Roman" w:cs="Times New Roman"/>
        </w:rPr>
        <w:t>eactors</w:t>
      </w:r>
      <w:r w:rsidR="006E6C5D">
        <w:rPr>
          <w:rFonts w:ascii="Times New Roman" w:hAnsi="Times New Roman" w:cs="Times New Roman"/>
        </w:rPr>
        <w:t>,</w:t>
      </w:r>
      <w:r w:rsidR="00E64924">
        <w:rPr>
          <w:rFonts w:ascii="Times New Roman" w:hAnsi="Times New Roman" w:cs="Times New Roman"/>
        </w:rPr>
        <w:t>”</w:t>
      </w:r>
      <w:r w:rsidR="00F7029A">
        <w:rPr>
          <w:rFonts w:ascii="Times New Roman" w:hAnsi="Times New Roman" w:cs="Times New Roman"/>
        </w:rPr>
        <w:t xml:space="preserve"> </w:t>
      </w:r>
      <w:r w:rsidR="00C15CFA">
        <w:rPr>
          <w:rFonts w:ascii="Times New Roman" w:hAnsi="Times New Roman" w:cs="Times New Roman"/>
        </w:rPr>
        <w:t xml:space="preserve">dated </w:t>
      </w:r>
      <w:r w:rsidR="00F7029A">
        <w:rPr>
          <w:rFonts w:ascii="Times New Roman" w:hAnsi="Times New Roman" w:cs="Times New Roman"/>
        </w:rPr>
        <w:t>October</w:t>
      </w:r>
      <w:r w:rsidR="00C15CFA">
        <w:rPr>
          <w:rFonts w:ascii="Times New Roman" w:hAnsi="Times New Roman" w:cs="Times New Roman"/>
        </w:rPr>
        <w:t> </w:t>
      </w:r>
      <w:r w:rsidR="00F7029A">
        <w:rPr>
          <w:rFonts w:ascii="Times New Roman" w:hAnsi="Times New Roman" w:cs="Times New Roman"/>
        </w:rPr>
        <w:t>21,</w:t>
      </w:r>
      <w:r w:rsidR="00C15CFA">
        <w:rPr>
          <w:rFonts w:ascii="Times New Roman" w:hAnsi="Times New Roman" w:cs="Times New Roman"/>
        </w:rPr>
        <w:t> </w:t>
      </w:r>
      <w:r w:rsidR="00F7029A">
        <w:rPr>
          <w:rFonts w:ascii="Times New Roman" w:hAnsi="Times New Roman" w:cs="Times New Roman"/>
        </w:rPr>
        <w:t>2020</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20</w:t>
      </w:r>
      <w:r w:rsidR="00E018AE">
        <w:rPr>
          <w:rFonts w:ascii="Times New Roman" w:hAnsi="Times New Roman" w:cs="Times New Roman"/>
        </w:rPr>
        <w:t>)</w:t>
      </w:r>
      <w:r w:rsidR="00F7029A">
        <w:rPr>
          <w:rFonts w:ascii="Times New Roman" w:hAnsi="Times New Roman" w:cs="Times New Roman"/>
        </w:rPr>
        <w:t>: “</w:t>
      </w:r>
      <w:r w:rsidRPr="00806B14" w:rsidR="00806B14">
        <w:rPr>
          <w:rFonts w:ascii="Times New Roman" w:hAnsi="Times New Roman" w:cs="Times New Roman"/>
        </w:rPr>
        <w:t>The staff should ensure that applicants compensate for novel designs with uncertainties due to incompleteness in the knowledge base by performing systematic searches for hazards, initiating events, and accident scenarios with no preconceptions that could limit the creative process.</w:t>
      </w:r>
      <w:r w:rsidR="00806B14">
        <w:rPr>
          <w:rFonts w:ascii="Times New Roman" w:hAnsi="Times New Roman" w:cs="Times New Roman"/>
        </w:rPr>
        <w:t>”</w:t>
      </w:r>
    </w:p>
    <w:p w:rsidR="00593CB9" w:rsidP="002F3C90" w14:paraId="7C5A8545" w14:textId="01675E70">
      <w:pPr>
        <w:spacing w:after="0" w:line="240" w:lineRule="auto"/>
        <w:rPr>
          <w:rFonts w:ascii="Times New Roman" w:hAnsi="Times New Roman" w:cs="Times New Roman"/>
        </w:rPr>
      </w:pPr>
    </w:p>
    <w:p w:rsidR="00593CB9" w:rsidRPr="00370DBC" w:rsidP="002F3C90" w14:paraId="759E8FBA" w14:textId="00D842A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88785A">
        <w:rPr>
          <w:rFonts w:ascii="Times New Roman" w:hAnsi="Times New Roman" w:cs="Times New Roman"/>
        </w:rPr>
        <w:t>etter</w:t>
      </w:r>
      <w:r w:rsidRPr="00370DBC" w:rsidR="0088785A">
        <w:rPr>
          <w:rFonts w:ascii="Times New Roman" w:hAnsi="Times New Roman" w:cs="Times New Roman"/>
        </w:rPr>
        <w:t xml:space="preserve"> </w:t>
      </w:r>
      <w:r>
        <w:rPr>
          <w:rFonts w:ascii="Times New Roman" w:hAnsi="Times New Roman" w:cs="Times New Roman"/>
        </w:rPr>
        <w:t>r</w:t>
      </w:r>
      <w:r w:rsidRPr="00370DBC" w:rsidR="001C669D">
        <w:rPr>
          <w:rFonts w:ascii="Times New Roman" w:hAnsi="Times New Roman" w:cs="Times New Roman"/>
        </w:rPr>
        <w:t>eport</w:t>
      </w:r>
      <w:r w:rsidR="008C593F">
        <w:rPr>
          <w:rFonts w:ascii="Times New Roman" w:hAnsi="Times New Roman" w:cs="Times New Roman"/>
        </w:rPr>
        <w:t>,</w:t>
      </w:r>
      <w:r w:rsidRPr="00370DBC" w:rsidR="00C73E33">
        <w:rPr>
          <w:rFonts w:ascii="Times New Roman" w:hAnsi="Times New Roman" w:cs="Times New Roman"/>
        </w:rPr>
        <w:t xml:space="preserve"> </w:t>
      </w:r>
      <w:r w:rsidR="008C593F">
        <w:rPr>
          <w:rFonts w:ascii="Times New Roman" w:hAnsi="Times New Roman" w:cs="Times New Roman"/>
        </w:rPr>
        <w:t>“</w:t>
      </w:r>
      <w:r w:rsidR="00BE5244">
        <w:rPr>
          <w:rFonts w:ascii="Times New Roman" w:hAnsi="Times New Roman" w:cs="Times New Roman"/>
        </w:rPr>
        <w:t>P</w:t>
      </w:r>
      <w:r w:rsidRPr="00370DBC" w:rsidR="00E1289D">
        <w:rPr>
          <w:rFonts w:ascii="Times New Roman" w:hAnsi="Times New Roman" w:cs="Times New Roman"/>
        </w:rPr>
        <w:t xml:space="preserve">reliminary </w:t>
      </w:r>
      <w:r w:rsidR="00BE5244">
        <w:rPr>
          <w:rFonts w:ascii="Times New Roman" w:hAnsi="Times New Roman" w:cs="Times New Roman"/>
        </w:rPr>
        <w:t>P</w:t>
      </w:r>
      <w:r w:rsidRPr="00370DBC" w:rsidR="00E1289D">
        <w:rPr>
          <w:rFonts w:ascii="Times New Roman" w:hAnsi="Times New Roman" w:cs="Times New Roman"/>
        </w:rPr>
        <w:t xml:space="preserve">roposed </w:t>
      </w:r>
      <w:r w:rsidR="00BE5244">
        <w:rPr>
          <w:rFonts w:ascii="Times New Roman" w:hAnsi="Times New Roman" w:cs="Times New Roman"/>
        </w:rPr>
        <w:t>R</w:t>
      </w:r>
      <w:r w:rsidRPr="00370DBC" w:rsidR="00E1289D">
        <w:rPr>
          <w:rFonts w:ascii="Times New Roman" w:hAnsi="Times New Roman" w:cs="Times New Roman"/>
        </w:rPr>
        <w:t xml:space="preserve">ule </w:t>
      </w:r>
      <w:r w:rsidR="00BE5244">
        <w:rPr>
          <w:rFonts w:ascii="Times New Roman" w:hAnsi="Times New Roman" w:cs="Times New Roman"/>
        </w:rPr>
        <w:t>L</w:t>
      </w:r>
      <w:r w:rsidRPr="00370DBC" w:rsidR="00E1289D">
        <w:rPr>
          <w:rFonts w:ascii="Times New Roman" w:hAnsi="Times New Roman" w:cs="Times New Roman"/>
        </w:rPr>
        <w:t>anguage for 10</w:t>
      </w:r>
      <w:r w:rsidR="00C15CFA">
        <w:rPr>
          <w:rFonts w:ascii="Times New Roman" w:hAnsi="Times New Roman" w:cs="Times New Roman"/>
        </w:rPr>
        <w:t> </w:t>
      </w:r>
      <w:r w:rsidRPr="00370DBC" w:rsidR="00E1289D">
        <w:rPr>
          <w:rFonts w:ascii="Times New Roman" w:hAnsi="Times New Roman" w:cs="Times New Roman"/>
        </w:rPr>
        <w:t>CFR</w:t>
      </w:r>
      <w:r w:rsidR="00C15CFA">
        <w:rPr>
          <w:rFonts w:ascii="Times New Roman" w:hAnsi="Times New Roman" w:cs="Times New Roman"/>
        </w:rPr>
        <w:t> </w:t>
      </w:r>
      <w:r w:rsidRPr="00370DBC" w:rsidR="00E1289D">
        <w:rPr>
          <w:rFonts w:ascii="Times New Roman" w:hAnsi="Times New Roman" w:cs="Times New Roman"/>
        </w:rPr>
        <w:t>Part</w:t>
      </w:r>
      <w:r w:rsidR="00C15CFA">
        <w:rPr>
          <w:rFonts w:ascii="Times New Roman" w:hAnsi="Times New Roman" w:cs="Times New Roman"/>
        </w:rPr>
        <w:t> </w:t>
      </w:r>
      <w:r w:rsidRPr="00370DBC" w:rsidR="00E1289D">
        <w:rPr>
          <w:rFonts w:ascii="Times New Roman" w:hAnsi="Times New Roman" w:cs="Times New Roman"/>
        </w:rPr>
        <w:t xml:space="preserve">53, </w:t>
      </w:r>
      <w:r w:rsidR="00BE5244">
        <w:rPr>
          <w:rFonts w:ascii="Times New Roman" w:hAnsi="Times New Roman" w:cs="Times New Roman"/>
        </w:rPr>
        <w:t>‘</w:t>
      </w:r>
      <w:r w:rsidRPr="00370DBC" w:rsidR="00E1289D">
        <w:rPr>
          <w:rFonts w:ascii="Times New Roman" w:hAnsi="Times New Roman" w:cs="Times New Roman"/>
        </w:rPr>
        <w:t>Licensing and Regulation of Advanced Nuclear Reactors,</w:t>
      </w:r>
      <w:r w:rsidR="00BE5244">
        <w:rPr>
          <w:rFonts w:ascii="Times New Roman" w:hAnsi="Times New Roman" w:cs="Times New Roman"/>
        </w:rPr>
        <w:t>’ Interim Report,</w:t>
      </w:r>
      <w:r w:rsidR="005F4759">
        <w:rPr>
          <w:rFonts w:ascii="Times New Roman" w:hAnsi="Times New Roman" w:cs="Times New Roman"/>
        </w:rPr>
        <w:t>”</w:t>
      </w:r>
      <w:r w:rsidRPr="00370DBC" w:rsidR="00E1289D">
        <w:rPr>
          <w:rFonts w:ascii="Times New Roman" w:hAnsi="Times New Roman" w:cs="Times New Roman"/>
        </w:rPr>
        <w:t xml:space="preserve"> </w:t>
      </w:r>
      <w:r w:rsidR="00C15CFA">
        <w:rPr>
          <w:rFonts w:ascii="Times New Roman" w:hAnsi="Times New Roman" w:cs="Times New Roman"/>
        </w:rPr>
        <w:t xml:space="preserve">dated </w:t>
      </w:r>
      <w:r w:rsidRPr="00370DBC" w:rsidR="001C669D">
        <w:rPr>
          <w:rFonts w:ascii="Times New Roman" w:hAnsi="Times New Roman" w:cs="Times New Roman"/>
        </w:rPr>
        <w:t>May</w:t>
      </w:r>
      <w:r w:rsidR="00C15CFA">
        <w:rPr>
          <w:rFonts w:ascii="Times New Roman" w:hAnsi="Times New Roman" w:cs="Times New Roman"/>
        </w:rPr>
        <w:t> </w:t>
      </w:r>
      <w:r w:rsidRPr="00370DBC" w:rsidR="003B42B9">
        <w:rPr>
          <w:rFonts w:ascii="Times New Roman" w:hAnsi="Times New Roman" w:cs="Times New Roman"/>
        </w:rPr>
        <w:t>30,</w:t>
      </w:r>
      <w:r w:rsidR="00C15CFA">
        <w:rPr>
          <w:rFonts w:ascii="Times New Roman" w:hAnsi="Times New Roman" w:cs="Times New Roman"/>
        </w:rPr>
        <w:t> </w:t>
      </w:r>
      <w:r w:rsidRPr="00370DBC" w:rsidR="003B42B9">
        <w:rPr>
          <w:rFonts w:ascii="Times New Roman" w:hAnsi="Times New Roman" w:cs="Times New Roman"/>
        </w:rPr>
        <w:t>2021</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21</w:t>
      </w:r>
      <w:r w:rsidR="00E018AE">
        <w:rPr>
          <w:rFonts w:ascii="Times New Roman" w:hAnsi="Times New Roman" w:cs="Times New Roman"/>
        </w:rPr>
        <w:t>)</w:t>
      </w:r>
      <w:r w:rsidRPr="00370DBC" w:rsidR="003B42B9">
        <w:rPr>
          <w:rFonts w:ascii="Times New Roman" w:hAnsi="Times New Roman" w:cs="Times New Roman"/>
        </w:rPr>
        <w:t>: “</w:t>
      </w:r>
      <w:r w:rsidRPr="00370DBC" w:rsidR="00370DBC">
        <w:rPr>
          <w:rFonts w:ascii="Times New Roman" w:hAnsi="Times New Roman" w:cs="Times New Roman"/>
        </w:rPr>
        <w:t>The two recommendations in our first letter report on 10</w:t>
      </w:r>
      <w:r w:rsidR="00C15CFA">
        <w:rPr>
          <w:rFonts w:ascii="Times New Roman" w:hAnsi="Times New Roman" w:cs="Times New Roman"/>
        </w:rPr>
        <w:t> </w:t>
      </w:r>
      <w:r w:rsidRPr="00370DBC" w:rsidR="00370DBC">
        <w:rPr>
          <w:rFonts w:ascii="Times New Roman" w:hAnsi="Times New Roman" w:cs="Times New Roman"/>
        </w:rPr>
        <w:t>CFR</w:t>
      </w:r>
      <w:r w:rsidR="00C15CFA">
        <w:rPr>
          <w:rFonts w:ascii="Times New Roman" w:hAnsi="Times New Roman" w:cs="Times New Roman"/>
        </w:rPr>
        <w:t> </w:t>
      </w:r>
      <w:r w:rsidRPr="00370DBC" w:rsidR="00370DBC">
        <w:rPr>
          <w:rFonts w:ascii="Times New Roman" w:hAnsi="Times New Roman" w:cs="Times New Roman"/>
        </w:rPr>
        <w:t>Part</w:t>
      </w:r>
      <w:r w:rsidR="00C15CFA">
        <w:rPr>
          <w:rFonts w:ascii="Times New Roman" w:hAnsi="Times New Roman" w:cs="Times New Roman"/>
        </w:rPr>
        <w:t> </w:t>
      </w:r>
      <w:r w:rsidRPr="00370DBC" w:rsidR="00370DBC">
        <w:rPr>
          <w:rFonts w:ascii="Times New Roman" w:hAnsi="Times New Roman" w:cs="Times New Roman"/>
        </w:rPr>
        <w:t>53 of October</w:t>
      </w:r>
      <w:r w:rsidR="00C15CFA">
        <w:rPr>
          <w:rFonts w:ascii="Times New Roman" w:hAnsi="Times New Roman" w:cs="Times New Roman"/>
        </w:rPr>
        <w:t> </w:t>
      </w:r>
      <w:r w:rsidRPr="00370DBC" w:rsidR="00370DBC">
        <w:rPr>
          <w:rFonts w:ascii="Times New Roman" w:hAnsi="Times New Roman" w:cs="Times New Roman"/>
        </w:rPr>
        <w:t>21,</w:t>
      </w:r>
      <w:r w:rsidR="00C15CFA">
        <w:rPr>
          <w:rFonts w:ascii="Times New Roman" w:hAnsi="Times New Roman" w:cs="Times New Roman"/>
        </w:rPr>
        <w:t> </w:t>
      </w:r>
      <w:r w:rsidRPr="00370DBC" w:rsidR="00370DBC">
        <w:rPr>
          <w:rFonts w:ascii="Times New Roman" w:hAnsi="Times New Roman" w:cs="Times New Roman"/>
        </w:rPr>
        <w:t>2020, still apply: for novel designs with uncertainties due to incompleteness in the knowledge base, systematic searches for hazards, initiating events, and accident scenarios should be required; and a licensing pathway including additional testing and monitoring akin to</w:t>
      </w:r>
      <w:r w:rsidR="00370DBC">
        <w:rPr>
          <w:rFonts w:ascii="Times New Roman" w:hAnsi="Times New Roman" w:cs="Times New Roman"/>
        </w:rPr>
        <w:t xml:space="preserve"> </w:t>
      </w:r>
      <w:r w:rsidRPr="00370DBC" w:rsidR="00370DBC">
        <w:rPr>
          <w:rFonts w:ascii="Times New Roman" w:hAnsi="Times New Roman" w:cs="Times New Roman"/>
        </w:rPr>
        <w:t>prototype testing should be available.</w:t>
      </w:r>
      <w:r w:rsidR="00370DBC">
        <w:rPr>
          <w:rFonts w:ascii="Times New Roman" w:hAnsi="Times New Roman" w:cs="Times New Roman"/>
        </w:rPr>
        <w:t>”</w:t>
      </w:r>
    </w:p>
    <w:p w:rsidR="00593CB9" w:rsidP="002F3C90" w14:paraId="0C7EE222" w14:textId="5772F65C">
      <w:pPr>
        <w:spacing w:after="0" w:line="240" w:lineRule="auto"/>
        <w:rPr>
          <w:rFonts w:ascii="Times New Roman" w:hAnsi="Times New Roman" w:cs="Times New Roman"/>
        </w:rPr>
      </w:pPr>
    </w:p>
    <w:p w:rsidR="00593CB9" w:rsidRPr="00CB5DD0" w:rsidP="002F3C90" w14:paraId="7061FC63" w14:textId="5BEF9F1C">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Pr="00CB5DD0" w:rsidR="00322ED0">
        <w:rPr>
          <w:rFonts w:ascii="Times New Roman" w:hAnsi="Times New Roman" w:cs="Times New Roman"/>
        </w:rPr>
        <w:t xml:space="preserve">etter </w:t>
      </w:r>
      <w:r>
        <w:rPr>
          <w:rFonts w:ascii="Times New Roman" w:hAnsi="Times New Roman" w:cs="Times New Roman"/>
        </w:rPr>
        <w:t>r</w:t>
      </w:r>
      <w:r w:rsidR="0044429A">
        <w:rPr>
          <w:rFonts w:ascii="Times New Roman" w:hAnsi="Times New Roman" w:cs="Times New Roman"/>
        </w:rPr>
        <w:t>eport</w:t>
      </w:r>
      <w:r>
        <w:rPr>
          <w:rFonts w:ascii="Times New Roman" w:hAnsi="Times New Roman" w:cs="Times New Roman"/>
        </w:rPr>
        <w:t>,</w:t>
      </w:r>
      <w:r w:rsidR="0044429A">
        <w:rPr>
          <w:rFonts w:ascii="Times New Roman" w:hAnsi="Times New Roman" w:cs="Times New Roman"/>
        </w:rPr>
        <w:t xml:space="preserve"> </w:t>
      </w:r>
      <w:r>
        <w:rPr>
          <w:rFonts w:ascii="Times New Roman" w:hAnsi="Times New Roman" w:cs="Times New Roman"/>
        </w:rPr>
        <w:t>“Regulatory Guide</w:t>
      </w:r>
      <w:r w:rsidR="00C15CFA">
        <w:rPr>
          <w:rFonts w:ascii="Times New Roman" w:hAnsi="Times New Roman" w:cs="Times New Roman"/>
        </w:rPr>
        <w:t> </w:t>
      </w:r>
      <w:r w:rsidRPr="00CB5DD0" w:rsidR="00B94D16">
        <w:rPr>
          <w:rFonts w:ascii="Times New Roman" w:hAnsi="Times New Roman" w:cs="Times New Roman"/>
        </w:rPr>
        <w:t xml:space="preserve">1.247, </w:t>
      </w:r>
      <w:r>
        <w:rPr>
          <w:rFonts w:ascii="Times New Roman" w:hAnsi="Times New Roman" w:cs="Times New Roman"/>
        </w:rPr>
        <w:t>‘</w:t>
      </w:r>
      <w:r w:rsidRPr="00CB5DD0" w:rsidR="00F4721C">
        <w:rPr>
          <w:rFonts w:ascii="Times New Roman" w:hAnsi="Times New Roman" w:cs="Times New Roman"/>
        </w:rPr>
        <w:t>Acceptability of Probabilistic Risk Assessment Results for Advanced Non-Light</w:t>
      </w:r>
      <w:r w:rsidR="00AA1C5B">
        <w:rPr>
          <w:rFonts w:ascii="Times New Roman" w:hAnsi="Times New Roman" w:cs="Times New Roman"/>
        </w:rPr>
        <w:t>-</w:t>
      </w:r>
      <w:r w:rsidRPr="00CB5DD0" w:rsidR="00F4721C">
        <w:rPr>
          <w:rFonts w:ascii="Times New Roman" w:hAnsi="Times New Roman" w:cs="Times New Roman"/>
        </w:rPr>
        <w:t>Water Reactor Risk-Informed Activities</w:t>
      </w:r>
      <w:r w:rsidR="003A2229">
        <w:rPr>
          <w:rFonts w:ascii="Times New Roman" w:hAnsi="Times New Roman" w:cs="Times New Roman"/>
        </w:rPr>
        <w:t>,</w:t>
      </w:r>
      <w:r>
        <w:rPr>
          <w:rFonts w:ascii="Times New Roman" w:hAnsi="Times New Roman" w:cs="Times New Roman"/>
        </w:rPr>
        <w:t>’</w:t>
      </w:r>
      <w:r w:rsidR="003A2229">
        <w:rPr>
          <w:rFonts w:ascii="Times New Roman" w:hAnsi="Times New Roman" w:cs="Times New Roman"/>
        </w:rPr>
        <w:t xml:space="preserve">” </w:t>
      </w:r>
      <w:r w:rsidR="00C15CFA">
        <w:rPr>
          <w:rFonts w:ascii="Times New Roman" w:hAnsi="Times New Roman" w:cs="Times New Roman"/>
        </w:rPr>
        <w:t xml:space="preserve">dated </w:t>
      </w:r>
      <w:r w:rsidR="003A2229">
        <w:rPr>
          <w:rFonts w:ascii="Times New Roman" w:hAnsi="Times New Roman" w:cs="Times New Roman"/>
        </w:rPr>
        <w:t>October</w:t>
      </w:r>
      <w:r w:rsidR="00C15CFA">
        <w:rPr>
          <w:rFonts w:ascii="Times New Roman" w:hAnsi="Times New Roman" w:cs="Times New Roman"/>
        </w:rPr>
        <w:t> </w:t>
      </w:r>
      <w:r w:rsidR="003A2229">
        <w:rPr>
          <w:rFonts w:ascii="Times New Roman" w:hAnsi="Times New Roman" w:cs="Times New Roman"/>
        </w:rPr>
        <w:t>26,</w:t>
      </w:r>
      <w:r w:rsidR="00C15CFA">
        <w:rPr>
          <w:rFonts w:ascii="Times New Roman" w:hAnsi="Times New Roman" w:cs="Times New Roman"/>
        </w:rPr>
        <w:t> </w:t>
      </w:r>
      <w:r w:rsidR="003A2229">
        <w:rPr>
          <w:rFonts w:ascii="Times New Roman" w:hAnsi="Times New Roman" w:cs="Times New Roman"/>
        </w:rPr>
        <w:t>2021</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22</w:t>
      </w:r>
      <w:r w:rsidR="00E018AE">
        <w:rPr>
          <w:rFonts w:ascii="Times New Roman" w:hAnsi="Times New Roman" w:cs="Times New Roman"/>
        </w:rPr>
        <w:t>)</w:t>
      </w:r>
      <w:r w:rsidR="003A2229">
        <w:rPr>
          <w:rFonts w:ascii="Times New Roman" w:hAnsi="Times New Roman" w:cs="Times New Roman"/>
        </w:rPr>
        <w:t xml:space="preserve">: </w:t>
      </w:r>
      <w:r w:rsidRPr="00CB5DD0" w:rsidR="00322ED0">
        <w:rPr>
          <w:rFonts w:ascii="Times New Roman" w:hAnsi="Times New Roman" w:cs="Times New Roman"/>
        </w:rPr>
        <w:t>“</w:t>
      </w:r>
      <w:r w:rsidRPr="00CB5DD0" w:rsidR="0021217D">
        <w:rPr>
          <w:rFonts w:ascii="Times New Roman" w:hAnsi="Times New Roman" w:cs="Times New Roman"/>
        </w:rPr>
        <w:t>Include guidance that the initial search for initiating events and scenarios should be done</w:t>
      </w:r>
      <w:r w:rsidR="00CB5DD0">
        <w:rPr>
          <w:rFonts w:ascii="Times New Roman" w:hAnsi="Times New Roman" w:cs="Times New Roman"/>
        </w:rPr>
        <w:t xml:space="preserve"> </w:t>
      </w:r>
      <w:r w:rsidRPr="00CB5DD0" w:rsidR="0021217D">
        <w:rPr>
          <w:rFonts w:ascii="Times New Roman" w:hAnsi="Times New Roman" w:cs="Times New Roman"/>
        </w:rPr>
        <w:t>without preconceptions or using existing lists.</w:t>
      </w:r>
      <w:r w:rsidR="00D67E96">
        <w:rPr>
          <w:rFonts w:ascii="Times New Roman" w:hAnsi="Times New Roman" w:cs="Times New Roman"/>
        </w:rPr>
        <w:t>”</w:t>
      </w:r>
    </w:p>
    <w:p w:rsidR="00A2632B" w:rsidP="002F3C90" w14:paraId="6ADE3C36" w14:textId="24318BE6">
      <w:pPr>
        <w:spacing w:after="0" w:line="240" w:lineRule="auto"/>
        <w:rPr>
          <w:rFonts w:ascii="Times New Roman" w:hAnsi="Times New Roman" w:cs="Times New Roman"/>
          <w:color w:val="FF0000"/>
        </w:rPr>
      </w:pPr>
    </w:p>
    <w:p w:rsidR="007C3D74" w:rsidP="002F3C90" w14:paraId="1BD10F79" w14:textId="0CE9B954">
      <w:pPr>
        <w:spacing w:after="0" w:line="240" w:lineRule="auto"/>
        <w:rPr>
          <w:rFonts w:ascii="Times New Roman" w:hAnsi="Times New Roman" w:cs="Times New Roman"/>
          <w:u w:val="single"/>
        </w:rPr>
      </w:pPr>
      <w:r>
        <w:rPr>
          <w:rFonts w:ascii="Times New Roman" w:hAnsi="Times New Roman" w:cs="Times New Roman"/>
          <w:u w:val="single"/>
        </w:rPr>
        <w:t>Staff Perspective</w:t>
      </w:r>
      <w:r w:rsidR="005C0B4B">
        <w:rPr>
          <w:rFonts w:ascii="Times New Roman" w:hAnsi="Times New Roman" w:cs="Times New Roman"/>
          <w:u w:val="single"/>
        </w:rPr>
        <w:t xml:space="preserve"> on Identification of Licensing Events</w:t>
      </w:r>
    </w:p>
    <w:p w:rsidR="007C3D74" w:rsidP="002F3C90" w14:paraId="3E4B60EF" w14:textId="77777777">
      <w:pPr>
        <w:spacing w:after="0" w:line="240" w:lineRule="auto"/>
        <w:rPr>
          <w:rFonts w:ascii="Times New Roman" w:hAnsi="Times New Roman" w:cs="Times New Roman"/>
        </w:rPr>
      </w:pPr>
    </w:p>
    <w:p w:rsidR="007C3D74" w:rsidP="002F3C90" w14:paraId="6CD291B4" w14:textId="7821C8B3">
      <w:pPr>
        <w:spacing w:after="0" w:line="240" w:lineRule="auto"/>
        <w:ind w:firstLine="720"/>
        <w:rPr>
          <w:rFonts w:ascii="Times New Roman" w:hAnsi="Times New Roman" w:cs="Times New Roman"/>
        </w:rPr>
      </w:pPr>
      <w:r w:rsidRPr="3E9B0B8B">
        <w:rPr>
          <w:rFonts w:ascii="Times New Roman" w:hAnsi="Times New Roman" w:cs="Times New Roman"/>
        </w:rPr>
        <w:t xml:space="preserve">The identification of licensing events </w:t>
      </w:r>
      <w:r w:rsidRPr="00C60CEA">
        <w:rPr>
          <w:rFonts w:ascii="Times New Roman" w:hAnsi="Times New Roman" w:cs="Times New Roman"/>
        </w:rPr>
        <w:t>should be conducted</w:t>
      </w:r>
      <w:r w:rsidRPr="3E9B0B8B">
        <w:rPr>
          <w:rFonts w:ascii="Times New Roman" w:hAnsi="Times New Roman" w:cs="Times New Roman"/>
        </w:rPr>
        <w:t xml:space="preserve"> objectively and without preconceptions or reliance on predefined lists (such as those provided in the SRP</w:t>
      </w:r>
      <w:r w:rsidR="007038A3">
        <w:rPr>
          <w:rFonts w:ascii="Times New Roman" w:hAnsi="Times New Roman" w:cs="Times New Roman"/>
        </w:rPr>
        <w:t>;</w:t>
      </w:r>
      <w:r w:rsidRPr="3E9B0B8B">
        <w:rPr>
          <w:rFonts w:ascii="Times New Roman" w:hAnsi="Times New Roman" w:cs="Times New Roman"/>
        </w:rPr>
        <w:t xml:space="preserve"> previous applications for permits, licenses, certifications, and approvals</w:t>
      </w:r>
      <w:r w:rsidR="007038A3">
        <w:rPr>
          <w:rFonts w:ascii="Times New Roman" w:hAnsi="Times New Roman" w:cs="Times New Roman"/>
        </w:rPr>
        <w:t>;</w:t>
      </w:r>
      <w:r w:rsidRPr="3E9B0B8B">
        <w:rPr>
          <w:rFonts w:ascii="Times New Roman" w:hAnsi="Times New Roman" w:cs="Times New Roman"/>
        </w:rPr>
        <w:t xml:space="preserve"> and previous </w:t>
      </w:r>
      <w:r w:rsidRPr="3E9B0B8B" w:rsidR="008A0B68">
        <w:rPr>
          <w:rFonts w:ascii="Times New Roman" w:hAnsi="Times New Roman" w:cs="Times New Roman"/>
        </w:rPr>
        <w:t>PRAs</w:t>
      </w:r>
      <w:r w:rsidRPr="3E9B0B8B">
        <w:rPr>
          <w:rFonts w:ascii="Times New Roman" w:hAnsi="Times New Roman" w:cs="Times New Roman"/>
        </w:rPr>
        <w:t>). The use of a “blank sheet of paper” approach helps to avoid pitfalls such as, but not limited to</w:t>
      </w:r>
      <w:r w:rsidR="007038A3">
        <w:rPr>
          <w:rFonts w:ascii="Times New Roman" w:hAnsi="Times New Roman" w:cs="Times New Roman"/>
        </w:rPr>
        <w:t>, the following</w:t>
      </w:r>
      <w:r w:rsidR="005F4AB2">
        <w:rPr>
          <w:rFonts w:ascii="Times New Roman" w:hAnsi="Times New Roman" w:cs="Times New Roman"/>
        </w:rPr>
        <w:t>—</w:t>
      </w:r>
    </w:p>
    <w:p w:rsidR="007C3D74" w:rsidP="002F3C90" w14:paraId="652CA145" w14:textId="77777777">
      <w:pPr>
        <w:spacing w:after="0" w:line="240" w:lineRule="auto"/>
        <w:rPr>
          <w:rFonts w:ascii="Times New Roman" w:hAnsi="Times New Roman" w:cs="Times New Roman"/>
        </w:rPr>
      </w:pPr>
    </w:p>
    <w:p w:rsidR="007C3D74" w:rsidP="002F3C90" w14:paraId="6AC233FA" w14:textId="2A56C0DB">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unwitting or unquestioning carryover of assumptions about plant design or behavior</w:t>
      </w:r>
    </w:p>
    <w:p w:rsidR="007038A3" w:rsidRPr="005C2886" w:rsidP="002F3C90" w14:paraId="5D316806" w14:textId="77777777">
      <w:pPr>
        <w:pStyle w:val="ListParagraph"/>
        <w:spacing w:after="0" w:line="240" w:lineRule="auto"/>
        <w:rPr>
          <w:rFonts w:ascii="Times New Roman" w:hAnsi="Times New Roman" w:cs="Times New Roman"/>
        </w:rPr>
      </w:pPr>
    </w:p>
    <w:p w:rsidR="007C3D74" w:rsidP="002F3C90" w14:paraId="39397D56" w14:textId="7F749A2B">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tendency to focus on which predefined events apply</w:t>
      </w:r>
      <w:r>
        <w:rPr>
          <w:rFonts w:ascii="Times New Roman" w:hAnsi="Times New Roman" w:cs="Times New Roman"/>
        </w:rPr>
        <w:t xml:space="preserve"> (or do not apply)</w:t>
      </w:r>
      <w:r w:rsidRPr="00277922">
        <w:rPr>
          <w:rFonts w:ascii="Times New Roman" w:hAnsi="Times New Roman" w:cs="Times New Roman"/>
        </w:rPr>
        <w:t xml:space="preserve"> rather than which events are missing from the list</w:t>
      </w:r>
    </w:p>
    <w:p w:rsidR="007038A3" w:rsidRPr="005C2886" w:rsidP="002F3C90" w14:paraId="374B524B" w14:textId="77777777">
      <w:pPr>
        <w:pStyle w:val="ListParagraph"/>
        <w:spacing w:after="0" w:line="240" w:lineRule="auto"/>
        <w:rPr>
          <w:rFonts w:ascii="Times New Roman" w:hAnsi="Times New Roman" w:cs="Times New Roman"/>
        </w:rPr>
      </w:pPr>
    </w:p>
    <w:p w:rsidR="007C3D74" w:rsidRPr="00277922" w:rsidP="002F3C90" w14:paraId="6D8A1525" w14:textId="188DAEAD">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use of</w:t>
      </w:r>
      <w:r>
        <w:rPr>
          <w:rFonts w:ascii="Times New Roman" w:hAnsi="Times New Roman" w:cs="Times New Roman"/>
        </w:rPr>
        <w:t xml:space="preserve"> predefined</w:t>
      </w:r>
      <w:r w:rsidRPr="00277922">
        <w:rPr>
          <w:rFonts w:ascii="Times New Roman" w:hAnsi="Times New Roman" w:cs="Times New Roman"/>
        </w:rPr>
        <w:t xml:space="preserve"> lists that are dated and do not reflect contemporary commercial nuclear plant </w:t>
      </w:r>
      <w:r w:rsidR="00A31CC8">
        <w:rPr>
          <w:rFonts w:ascii="Times New Roman" w:hAnsi="Times New Roman" w:cs="Times New Roman"/>
        </w:rPr>
        <w:t xml:space="preserve">design or </w:t>
      </w:r>
      <w:r w:rsidRPr="00277922">
        <w:rPr>
          <w:rFonts w:ascii="Times New Roman" w:hAnsi="Times New Roman" w:cs="Times New Roman"/>
        </w:rPr>
        <w:t>operating experience</w:t>
      </w:r>
    </w:p>
    <w:p w:rsidR="007C3D74" w:rsidP="002F3C90" w14:paraId="655A2287" w14:textId="77777777">
      <w:pPr>
        <w:spacing w:after="0" w:line="240" w:lineRule="auto"/>
        <w:rPr>
          <w:rFonts w:ascii="Times New Roman" w:hAnsi="Times New Roman" w:cs="Times New Roman"/>
        </w:rPr>
      </w:pPr>
    </w:p>
    <w:p w:rsidR="00056734" w:rsidRPr="007C79DA" w:rsidP="002F3C90" w14:paraId="2859B2A4" w14:textId="2041816C">
      <w:pPr>
        <w:spacing w:after="220" w:line="240" w:lineRule="auto"/>
        <w:ind w:firstLine="720"/>
        <w:rPr>
          <w:rFonts w:ascii="Times New Roman" w:hAnsi="Times New Roman"/>
          <w:color w:val="FF0000"/>
        </w:rPr>
      </w:pPr>
      <w:r>
        <w:rPr>
          <w:rFonts w:ascii="Times New Roman" w:hAnsi="Times New Roman" w:cs="Times New Roman"/>
        </w:rPr>
        <w:t xml:space="preserve">In short, </w:t>
      </w:r>
      <w:bookmarkStart w:id="1" w:name="_Hlk101251101"/>
      <w:r>
        <w:rPr>
          <w:rFonts w:ascii="Times New Roman" w:hAnsi="Times New Roman" w:cs="Times New Roman"/>
        </w:rPr>
        <w:t>the identification of licensing events</w:t>
      </w:r>
      <w:r w:rsidR="001E1BFE">
        <w:rPr>
          <w:rFonts w:ascii="Times New Roman" w:hAnsi="Times New Roman" w:cs="Times New Roman"/>
        </w:rPr>
        <w:t>,</w:t>
      </w:r>
      <w:r>
        <w:rPr>
          <w:rFonts w:ascii="Times New Roman" w:hAnsi="Times New Roman" w:cs="Times New Roman"/>
        </w:rPr>
        <w:t xml:space="preserve"> conducted objectively and without preconceptions or reliance on predefined lists</w:t>
      </w:r>
      <w:r w:rsidR="001E1BFE">
        <w:rPr>
          <w:rFonts w:ascii="Times New Roman" w:hAnsi="Times New Roman" w:cs="Times New Roman"/>
        </w:rPr>
        <w:t>,</w:t>
      </w:r>
      <w:r>
        <w:rPr>
          <w:rFonts w:ascii="Times New Roman" w:hAnsi="Times New Roman" w:cs="Times New Roman"/>
        </w:rPr>
        <w:t xml:space="preserve"> helps to ensure that the final list of licensing events </w:t>
      </w:r>
      <w:r w:rsidR="00BF60B7">
        <w:rPr>
          <w:rFonts w:ascii="Times New Roman" w:hAnsi="Times New Roman" w:cs="Times New Roman"/>
        </w:rPr>
        <w:t xml:space="preserve">is </w:t>
      </w:r>
      <w:r>
        <w:rPr>
          <w:rFonts w:ascii="Times New Roman" w:hAnsi="Times New Roman" w:cs="Times New Roman"/>
        </w:rPr>
        <w:t>comprehensive</w:t>
      </w:r>
      <w:bookmarkEnd w:id="1"/>
      <w:r>
        <w:rPr>
          <w:rFonts w:ascii="Times New Roman" w:hAnsi="Times New Roman" w:cs="Times New Roman"/>
        </w:rPr>
        <w:t xml:space="preserve"> and, hence, that the plant design is </w:t>
      </w:r>
      <w:r w:rsidR="002B5907">
        <w:rPr>
          <w:rFonts w:ascii="Times New Roman" w:hAnsi="Times New Roman" w:cs="Times New Roman"/>
        </w:rPr>
        <w:t xml:space="preserve">appropriately analyzed and </w:t>
      </w:r>
      <w:r w:rsidR="00167487">
        <w:rPr>
          <w:rFonts w:ascii="Times New Roman" w:hAnsi="Times New Roman" w:cs="Times New Roman"/>
        </w:rPr>
        <w:t>demonstrated to be safe</w:t>
      </w:r>
      <w:r w:rsidR="00841941">
        <w:rPr>
          <w:rFonts w:ascii="Times New Roman" w:hAnsi="Times New Roman" w:cs="Times New Roman"/>
        </w:rPr>
        <w:t xml:space="preserve"> based on the com</w:t>
      </w:r>
      <w:r w:rsidR="00944D15">
        <w:rPr>
          <w:rFonts w:ascii="Times New Roman" w:hAnsi="Times New Roman" w:cs="Times New Roman"/>
        </w:rPr>
        <w:t xml:space="preserve">prehensive </w:t>
      </w:r>
      <w:r w:rsidR="00EE45CC">
        <w:rPr>
          <w:rFonts w:ascii="Times New Roman" w:hAnsi="Times New Roman" w:cs="Times New Roman"/>
        </w:rPr>
        <w:t>set of licensing events</w:t>
      </w:r>
      <w:r>
        <w:rPr>
          <w:rFonts w:ascii="Times New Roman" w:hAnsi="Times New Roman" w:cs="Times New Roman"/>
        </w:rPr>
        <w:t>.</w:t>
      </w:r>
    </w:p>
    <w:p w:rsidR="00A2632B" w:rsidRPr="00352574" w:rsidP="00984EEB" w14:paraId="6997CD7F" w14:textId="7EC22BAE">
      <w:pPr>
        <w:pStyle w:val="Heading2"/>
        <w:spacing w:line="240" w:lineRule="auto"/>
        <w:ind w:left="0" w:firstLine="0"/>
      </w:pPr>
      <w:r>
        <w:br w:type="page"/>
      </w:r>
      <w:r w:rsidRPr="00352574">
        <w:t>Consideration of International Standards</w:t>
      </w:r>
    </w:p>
    <w:p w:rsidR="00B91CD3" w:rsidP="002F3C90" w14:paraId="53644770" w14:textId="3CA43C18">
      <w:pPr>
        <w:spacing w:after="0" w:line="240" w:lineRule="auto"/>
        <w:ind w:firstLine="360"/>
        <w:rPr>
          <w:rFonts w:ascii="Times New Roman" w:hAnsi="Times New Roman" w:cs="Times New Roman"/>
        </w:rPr>
      </w:pPr>
    </w:p>
    <w:p w:rsidR="00D9340D" w:rsidRPr="00F33A40" w:rsidP="002F3C90" w14:paraId="4C72A261" w14:textId="2974E226">
      <w:pPr>
        <w:spacing w:after="0" w:line="240" w:lineRule="auto"/>
        <w:ind w:firstLine="720"/>
        <w:rPr>
          <w:rFonts w:ascii="Times New Roman" w:eastAsia="Times New Roman" w:hAnsi="Times New Roman" w:cs="Times New Roman"/>
        </w:rPr>
      </w:pPr>
      <w:r w:rsidRPr="00F33A40">
        <w:rPr>
          <w:rFonts w:ascii="Times New Roman" w:eastAsia="Times New Roman" w:hAnsi="Times New Roman" w:cs="Times New Roman"/>
        </w:rPr>
        <w:t xml:space="preserve">The International Atomic Energy Agency (IAEA) works with member states and other partners to promote the safe, secure, and peaceful use of nuclear technologies. The IAEA develops Safety Requirements and Safety Guides for protecting people and the environment from </w:t>
      </w:r>
      <w:r w:rsidR="0063116D">
        <w:rPr>
          <w:rFonts w:ascii="Times New Roman" w:eastAsia="Times New Roman" w:hAnsi="Times New Roman" w:cs="Times New Roman"/>
        </w:rPr>
        <w:t>the</w:t>
      </w:r>
      <w:r w:rsidRPr="00F33A40">
        <w:rPr>
          <w:rFonts w:ascii="Times New Roman" w:eastAsia="Times New Roman" w:hAnsi="Times New Roman" w:cs="Times New Roman"/>
        </w:rPr>
        <w:t xml:space="preserve"> harmful effects of ionizing radiation. This system of safety fundamentals, safety requirements, safety guides, and other relevant reports, reflects an international perspective on what constitutes a high level of safety. </w:t>
      </w:r>
      <w:r w:rsidRPr="00F33A40">
        <w:rPr>
          <w:rFonts w:ascii="Times New Roman" w:eastAsia="Times New Roman" w:hAnsi="Times New Roman" w:cs="Times New Roman"/>
          <w:color w:val="000000"/>
        </w:rPr>
        <w:t>To inform its development of this RG, the NRC considered IAEA Safety Requirements and Safety Guides pursuant to the Commission’s International Policy Statement (Ref.</w:t>
      </w:r>
      <w:r w:rsidR="007038A3">
        <w:rPr>
          <w:rFonts w:ascii="Times New Roman" w:eastAsia="Times New Roman" w:hAnsi="Times New Roman" w:cs="Times New Roman"/>
          <w:color w:val="000000"/>
        </w:rPr>
        <w:t> </w:t>
      </w:r>
      <w:r w:rsidRPr="00F119A4" w:rsidR="001F610F">
        <w:rPr>
          <w:rFonts w:ascii="Times New Roman" w:eastAsia="Times New Roman" w:hAnsi="Times New Roman" w:cs="Times New Roman"/>
          <w:color w:val="000000"/>
        </w:rPr>
        <w:t>2</w:t>
      </w:r>
      <w:r w:rsidR="001F610F">
        <w:rPr>
          <w:rFonts w:ascii="Times New Roman" w:eastAsia="Times New Roman" w:hAnsi="Times New Roman" w:cs="Times New Roman"/>
          <w:color w:val="000000"/>
        </w:rPr>
        <w:t>3</w:t>
      </w:r>
      <w:r w:rsidRPr="00F33A40">
        <w:rPr>
          <w:rFonts w:ascii="Times New Roman" w:eastAsia="Times New Roman" w:hAnsi="Times New Roman" w:cs="Times New Roman"/>
          <w:color w:val="000000"/>
        </w:rPr>
        <w:t>) and Management Directive and Handbook</w:t>
      </w:r>
      <w:r w:rsidR="007038A3">
        <w:rPr>
          <w:rFonts w:ascii="Times New Roman" w:eastAsia="Times New Roman" w:hAnsi="Times New Roman" w:cs="Times New Roman"/>
          <w:color w:val="000000"/>
        </w:rPr>
        <w:t> </w:t>
      </w:r>
      <w:r w:rsidRPr="00F33A40">
        <w:rPr>
          <w:rFonts w:ascii="Times New Roman" w:eastAsia="Times New Roman" w:hAnsi="Times New Roman" w:cs="Times New Roman"/>
          <w:color w:val="000000"/>
        </w:rPr>
        <w:t>6.6, “Regulatory Guides</w:t>
      </w:r>
      <w:r w:rsidR="00396E28">
        <w:rPr>
          <w:rFonts w:ascii="Times New Roman" w:eastAsia="Times New Roman" w:hAnsi="Times New Roman" w:cs="Times New Roman"/>
          <w:color w:val="000000"/>
        </w:rPr>
        <w:t>”</w:t>
      </w:r>
      <w:r w:rsidRPr="00F33A40">
        <w:rPr>
          <w:rFonts w:ascii="Times New Roman" w:eastAsia="Times New Roman" w:hAnsi="Times New Roman" w:cs="Times New Roman"/>
          <w:color w:val="000000"/>
        </w:rPr>
        <w:t xml:space="preserve"> (Ref.</w:t>
      </w:r>
      <w:r w:rsidR="007038A3">
        <w:rPr>
          <w:rFonts w:ascii="Times New Roman" w:eastAsia="Times New Roman" w:hAnsi="Times New Roman" w:cs="Times New Roman"/>
          <w:color w:val="000000"/>
        </w:rPr>
        <w:t> </w:t>
      </w:r>
      <w:r w:rsidRPr="00F119A4" w:rsidR="001F610F">
        <w:rPr>
          <w:rFonts w:ascii="Times New Roman" w:eastAsia="Times New Roman" w:hAnsi="Times New Roman" w:cs="Times New Roman"/>
          <w:color w:val="000000"/>
        </w:rPr>
        <w:t>2</w:t>
      </w:r>
      <w:r w:rsidR="001F610F">
        <w:rPr>
          <w:rFonts w:ascii="Times New Roman" w:eastAsia="Times New Roman" w:hAnsi="Times New Roman" w:cs="Times New Roman"/>
          <w:color w:val="000000"/>
        </w:rPr>
        <w:t>4</w:t>
      </w:r>
      <w:r w:rsidRPr="00F33A40">
        <w:rPr>
          <w:rFonts w:ascii="Times New Roman" w:eastAsia="Times New Roman" w:hAnsi="Times New Roman" w:cs="Times New Roman"/>
          <w:color w:val="000000"/>
        </w:rPr>
        <w:t xml:space="preserve">). </w:t>
      </w:r>
    </w:p>
    <w:p w:rsidR="00D9340D" w:rsidRPr="00F119A4" w:rsidP="002F3C90" w14:paraId="64CC4BE9" w14:textId="77777777">
      <w:pPr>
        <w:spacing w:after="0" w:line="240" w:lineRule="auto"/>
        <w:ind w:firstLine="360"/>
        <w:rPr>
          <w:rFonts w:ascii="Times New Roman" w:hAnsi="Times New Roman" w:cs="Times New Roman"/>
        </w:rPr>
      </w:pPr>
    </w:p>
    <w:p w:rsidR="00D9340D" w:rsidP="002F3C90" w14:paraId="6DDD97DD" w14:textId="1230FFD6">
      <w:pPr>
        <w:spacing w:after="0" w:line="240" w:lineRule="auto"/>
        <w:ind w:firstLine="720"/>
        <w:rPr>
          <w:rFonts w:ascii="Times New Roman" w:hAnsi="Times New Roman" w:cs="Times New Roman"/>
        </w:rPr>
      </w:pPr>
      <w:r w:rsidRPr="00B524CF">
        <w:rPr>
          <w:rFonts w:ascii="Times New Roman" w:hAnsi="Times New Roman" w:cs="Times New Roman"/>
        </w:rPr>
        <w:t xml:space="preserve">This </w:t>
      </w:r>
      <w:r w:rsidRPr="00F119A4">
        <w:rPr>
          <w:rFonts w:ascii="Times New Roman" w:hAnsi="Times New Roman" w:cs="Times New Roman"/>
        </w:rPr>
        <w:t>RG</w:t>
      </w:r>
      <w:r w:rsidRPr="00B524CF">
        <w:rPr>
          <w:rFonts w:ascii="Times New Roman" w:hAnsi="Times New Roman" w:cs="Times New Roman"/>
        </w:rPr>
        <w:t xml:space="preserve"> is, </w:t>
      </w:r>
      <w:r w:rsidRPr="00B524CF">
        <w:rPr>
          <w:rFonts w:ascii="Times New Roman" w:hAnsi="Times New Roman" w:cs="Times New Roman"/>
        </w:rPr>
        <w:t>with the exception of</w:t>
      </w:r>
      <w:r w:rsidRPr="00B524CF">
        <w:rPr>
          <w:rFonts w:ascii="Times New Roman" w:hAnsi="Times New Roman" w:cs="Times New Roman"/>
        </w:rPr>
        <w:t xml:space="preserve"> technology-specific topics, generally consistent with the principles and guidance in the IAEA document series, including the </w:t>
      </w:r>
      <w:r w:rsidR="008C157A">
        <w:rPr>
          <w:rFonts w:ascii="Times New Roman" w:hAnsi="Times New Roman" w:cs="Times New Roman"/>
        </w:rPr>
        <w:t xml:space="preserve">following </w:t>
      </w:r>
      <w:r w:rsidRPr="00B524CF">
        <w:rPr>
          <w:rFonts w:ascii="Times New Roman" w:hAnsi="Times New Roman" w:cs="Times New Roman"/>
        </w:rPr>
        <w:t>IAEA documents</w:t>
      </w:r>
      <w:r w:rsidRPr="00F119A4">
        <w:rPr>
          <w:rFonts w:ascii="Times New Roman" w:hAnsi="Times New Roman" w:cs="Times New Roman"/>
        </w:rPr>
        <w:t>:</w:t>
      </w:r>
    </w:p>
    <w:p w:rsidR="00B91CD3" w:rsidRPr="00B91CD3" w:rsidP="002F3C90" w14:paraId="39EBACCB" w14:textId="77777777">
      <w:pPr>
        <w:spacing w:after="0" w:line="240" w:lineRule="auto"/>
        <w:rPr>
          <w:rFonts w:ascii="Times New Roman" w:hAnsi="Times New Roman" w:cs="Times New Roman"/>
        </w:rPr>
      </w:pPr>
    </w:p>
    <w:p w:rsidR="00B91CD3" w:rsidP="002F3C90" w14:paraId="0A510E52" w14:textId="376E88A6">
      <w:pPr>
        <w:pStyle w:val="ListParagraph"/>
        <w:numPr>
          <w:ilvl w:val="0"/>
          <w:numId w:val="67"/>
        </w:numPr>
        <w:spacing w:after="0" w:line="240" w:lineRule="auto"/>
        <w:rPr>
          <w:rFonts w:ascii="Times New Roman" w:hAnsi="Times New Roman" w:cs="Times New Roman"/>
        </w:rPr>
      </w:pPr>
      <w:r w:rsidRPr="007038A3">
        <w:rPr>
          <w:rFonts w:ascii="Times New Roman" w:hAnsi="Times New Roman" w:cs="Times New Roman"/>
        </w:rPr>
        <w:t>Specific Safety Requirements (SSR), No.</w:t>
      </w:r>
      <w:r w:rsidRPr="007038A3" w:rsidR="007038A3">
        <w:rPr>
          <w:rFonts w:ascii="Times New Roman" w:hAnsi="Times New Roman" w:cs="Times New Roman"/>
        </w:rPr>
        <w:t> </w:t>
      </w:r>
      <w:r w:rsidRPr="007038A3">
        <w:rPr>
          <w:rFonts w:ascii="Times New Roman" w:hAnsi="Times New Roman" w:cs="Times New Roman"/>
        </w:rPr>
        <w:t>SSR-2/1, “Safety of Nuclear Power Plants: Design</w:t>
      </w:r>
      <w:r w:rsidR="00064630">
        <w:rPr>
          <w:rFonts w:ascii="Times New Roman" w:hAnsi="Times New Roman" w:cs="Times New Roman"/>
        </w:rPr>
        <w:t>,</w:t>
      </w:r>
      <w:r w:rsidRPr="007038A3">
        <w:rPr>
          <w:rFonts w:ascii="Times New Roman" w:hAnsi="Times New Roman" w:cs="Times New Roman"/>
        </w:rPr>
        <w:t>”</w:t>
      </w:r>
      <w:r w:rsidR="00064630">
        <w:rPr>
          <w:rFonts w:ascii="Times New Roman" w:hAnsi="Times New Roman" w:cs="Times New Roman"/>
        </w:rPr>
        <w:t xml:space="preserve"> issued 2016</w:t>
      </w:r>
      <w:r w:rsidR="007038A3">
        <w:rPr>
          <w:rFonts w:ascii="Times New Roman" w:hAnsi="Times New Roman" w:cs="Times New Roman"/>
        </w:rPr>
        <w:t xml:space="preserve"> </w:t>
      </w:r>
      <w:r w:rsidRPr="007038A3">
        <w:rPr>
          <w:rFonts w:ascii="Times New Roman" w:hAnsi="Times New Roman" w:cs="Times New Roman"/>
        </w:rPr>
        <w:t>(Ref.</w:t>
      </w:r>
      <w:r w:rsidRPr="007038A3" w:rsidR="007038A3">
        <w:rPr>
          <w:rFonts w:ascii="Times New Roman" w:hAnsi="Times New Roman" w:cs="Times New Roman"/>
        </w:rPr>
        <w:t> </w:t>
      </w:r>
      <w:r w:rsidRPr="007038A3" w:rsidR="001F610F">
        <w:rPr>
          <w:rFonts w:ascii="Times New Roman" w:hAnsi="Times New Roman" w:cs="Times New Roman"/>
        </w:rPr>
        <w:t>2</w:t>
      </w:r>
      <w:r w:rsidR="001F610F">
        <w:rPr>
          <w:rFonts w:ascii="Times New Roman" w:hAnsi="Times New Roman" w:cs="Times New Roman"/>
        </w:rPr>
        <w:t>5</w:t>
      </w:r>
      <w:r w:rsidRPr="007038A3">
        <w:rPr>
          <w:rFonts w:ascii="Times New Roman" w:hAnsi="Times New Roman" w:cs="Times New Roman"/>
        </w:rPr>
        <w:t>)</w:t>
      </w:r>
    </w:p>
    <w:p w:rsidR="00D35486" w:rsidRPr="007038A3" w:rsidP="002F3C90" w14:paraId="567F81E2" w14:textId="77777777">
      <w:pPr>
        <w:pStyle w:val="ListParagraph"/>
        <w:spacing w:after="0" w:line="240" w:lineRule="auto"/>
        <w:rPr>
          <w:rFonts w:ascii="Times New Roman" w:hAnsi="Times New Roman" w:cs="Times New Roman"/>
        </w:rPr>
      </w:pPr>
    </w:p>
    <w:p w:rsidR="00B91CD3" w:rsidRPr="007038A3" w:rsidP="002F3C90" w14:paraId="0B7A63A3" w14:textId="59F013D1">
      <w:pPr>
        <w:pStyle w:val="ListParagraph"/>
        <w:numPr>
          <w:ilvl w:val="0"/>
          <w:numId w:val="67"/>
        </w:numPr>
        <w:spacing w:after="0" w:line="240" w:lineRule="auto"/>
        <w:rPr>
          <w:rFonts w:ascii="Times New Roman" w:hAnsi="Times New Roman" w:cs="Times New Roman"/>
        </w:rPr>
      </w:pPr>
      <w:r w:rsidRPr="007038A3">
        <w:rPr>
          <w:rFonts w:ascii="Times New Roman" w:hAnsi="Times New Roman" w:cs="Times New Roman"/>
        </w:rPr>
        <w:t>Specific Safety Guide (SSG), No.</w:t>
      </w:r>
      <w:r w:rsidRPr="007038A3" w:rsidR="007038A3">
        <w:rPr>
          <w:rFonts w:ascii="Times New Roman" w:hAnsi="Times New Roman" w:cs="Times New Roman"/>
        </w:rPr>
        <w:t> </w:t>
      </w:r>
      <w:r w:rsidRPr="007038A3">
        <w:rPr>
          <w:rFonts w:ascii="Times New Roman" w:hAnsi="Times New Roman" w:cs="Times New Roman"/>
        </w:rPr>
        <w:t>SSG</w:t>
      </w:r>
      <w:r w:rsidRPr="007038A3" w:rsidR="007038A3">
        <w:rPr>
          <w:rFonts w:ascii="Times New Roman" w:hAnsi="Times New Roman" w:cs="Times New Roman"/>
        </w:rPr>
        <w:noBreakHyphen/>
      </w:r>
      <w:r w:rsidRPr="007038A3">
        <w:rPr>
          <w:rFonts w:ascii="Times New Roman" w:hAnsi="Times New Roman" w:cs="Times New Roman"/>
        </w:rPr>
        <w:t>2, “Deterministic Safety Analysis for Nuclear Power</w:t>
      </w:r>
      <w:r w:rsidR="007038A3">
        <w:rPr>
          <w:rFonts w:ascii="Times New Roman" w:hAnsi="Times New Roman" w:cs="Times New Roman"/>
        </w:rPr>
        <w:t xml:space="preserve"> </w:t>
      </w:r>
      <w:r w:rsidRPr="007038A3">
        <w:rPr>
          <w:rFonts w:ascii="Times New Roman" w:hAnsi="Times New Roman" w:cs="Times New Roman"/>
        </w:rPr>
        <w:t>Plants</w:t>
      </w:r>
      <w:r w:rsidR="00064630">
        <w:rPr>
          <w:rFonts w:ascii="Times New Roman" w:hAnsi="Times New Roman" w:cs="Times New Roman"/>
        </w:rPr>
        <w:t>,</w:t>
      </w:r>
      <w:r w:rsidRPr="007038A3">
        <w:rPr>
          <w:rFonts w:ascii="Times New Roman" w:hAnsi="Times New Roman" w:cs="Times New Roman"/>
        </w:rPr>
        <w:t>”</w:t>
      </w:r>
      <w:r w:rsidR="00064630">
        <w:rPr>
          <w:rFonts w:ascii="Times New Roman" w:hAnsi="Times New Roman" w:cs="Times New Roman"/>
        </w:rPr>
        <w:t xml:space="preserve"> issued 2010</w:t>
      </w:r>
      <w:r w:rsidRPr="007038A3">
        <w:rPr>
          <w:rFonts w:ascii="Times New Roman" w:hAnsi="Times New Roman" w:cs="Times New Roman"/>
        </w:rPr>
        <w:t xml:space="preserve"> (Ref.</w:t>
      </w:r>
      <w:r w:rsidR="007038A3">
        <w:rPr>
          <w:rFonts w:ascii="Times New Roman" w:hAnsi="Times New Roman" w:cs="Times New Roman"/>
        </w:rPr>
        <w:t> </w:t>
      </w:r>
      <w:r w:rsidRPr="007038A3" w:rsidR="001F610F">
        <w:rPr>
          <w:rFonts w:ascii="Times New Roman" w:hAnsi="Times New Roman" w:cs="Times New Roman"/>
        </w:rPr>
        <w:t>2</w:t>
      </w:r>
      <w:r w:rsidR="001F610F">
        <w:rPr>
          <w:rFonts w:ascii="Times New Roman" w:hAnsi="Times New Roman" w:cs="Times New Roman"/>
        </w:rPr>
        <w:t>6</w:t>
      </w:r>
      <w:r w:rsidRPr="007038A3">
        <w:rPr>
          <w:rFonts w:ascii="Times New Roman" w:hAnsi="Times New Roman" w:cs="Times New Roman"/>
        </w:rPr>
        <w:t>)</w:t>
      </w:r>
    </w:p>
    <w:p w:rsidR="007C2BE3" w:rsidP="002F3C90" w14:paraId="7F67BC89" w14:textId="77777777">
      <w:pPr>
        <w:spacing w:after="0" w:line="240" w:lineRule="auto"/>
        <w:rPr>
          <w:rFonts w:ascii="Times New Roman" w:hAnsi="Times New Roman" w:cs="Times New Roman"/>
          <w:highlight w:val="cyan"/>
        </w:rPr>
      </w:pPr>
    </w:p>
    <w:p w:rsidR="00FD7425" w:rsidRPr="00352574" w:rsidP="002F3C90" w14:paraId="77BA8DB9" w14:textId="136C1D6F">
      <w:pPr>
        <w:spacing w:after="0" w:line="240" w:lineRule="auto"/>
        <w:rPr>
          <w:rFonts w:ascii="Times New Roman" w:hAnsi="Times New Roman" w:cs="Times New Roman"/>
          <w:b/>
          <w:bCs/>
        </w:rPr>
      </w:pPr>
    </w:p>
    <w:p w:rsidR="00770E56" w:rsidP="002F3C90" w14:paraId="5358932E" w14:textId="77777777">
      <w:pPr>
        <w:spacing w:after="0" w:line="240" w:lineRule="auto"/>
        <w:jc w:val="center"/>
        <w:rPr>
          <w:rFonts w:ascii="Times New Roman" w:hAnsi="Times New Roman" w:cs="Times New Roman"/>
          <w:b/>
          <w:bCs/>
        </w:rPr>
      </w:pPr>
      <w:r>
        <w:rPr>
          <w:rFonts w:ascii="Times New Roman" w:hAnsi="Times New Roman" w:cs="Times New Roman"/>
          <w:b/>
          <w:bCs/>
        </w:rPr>
        <w:br w:type="page"/>
      </w:r>
    </w:p>
    <w:p w:rsidR="00A2632B" w:rsidRPr="00C53546" w:rsidP="002F3C90" w14:paraId="6EDFA617" w14:textId="10824CA3">
      <w:pPr>
        <w:pStyle w:val="Heading1"/>
        <w:spacing w:line="240" w:lineRule="auto"/>
      </w:pPr>
      <w:r w:rsidRPr="00C53546">
        <w:t>C.</w:t>
      </w:r>
      <w:r w:rsidR="00C62937">
        <w:t xml:space="preserve"> </w:t>
      </w:r>
      <w:r w:rsidR="00064630">
        <w:t xml:space="preserve"> </w:t>
      </w:r>
      <w:r w:rsidRPr="00C53546" w:rsidR="00C62937">
        <w:t>STAFF REGULATORY GUIDANCE</w:t>
      </w:r>
    </w:p>
    <w:p w:rsidR="00A2632B" w:rsidP="002F3C90" w14:paraId="14F3C090" w14:textId="5BDEF4C6">
      <w:pPr>
        <w:spacing w:after="0" w:line="240" w:lineRule="auto"/>
        <w:rPr>
          <w:rFonts w:ascii="Times New Roman" w:hAnsi="Times New Roman" w:cs="Times New Roman"/>
        </w:rPr>
      </w:pPr>
    </w:p>
    <w:p w:rsidR="004A619A" w:rsidRPr="004A619A" w:rsidP="002F3C90" w14:paraId="65A7A72F" w14:textId="7074DC57">
      <w:pPr>
        <w:pStyle w:val="Heading2"/>
        <w:spacing w:line="240" w:lineRule="auto"/>
      </w:pPr>
      <w:r>
        <w:t>General Guidance</w:t>
      </w:r>
    </w:p>
    <w:p w:rsidR="004A619A" w:rsidP="002F3C90" w14:paraId="03868E7B" w14:textId="77777777">
      <w:pPr>
        <w:spacing w:after="0" w:line="240" w:lineRule="auto"/>
        <w:rPr>
          <w:rFonts w:ascii="Times New Roman" w:hAnsi="Times New Roman" w:cs="Times New Roman"/>
        </w:rPr>
      </w:pPr>
      <w:r>
        <w:rPr>
          <w:rFonts w:ascii="Times New Roman" w:hAnsi="Times New Roman" w:cs="Times New Roman"/>
        </w:rPr>
        <w:tab/>
      </w:r>
    </w:p>
    <w:p w:rsidR="00714D67" w:rsidRPr="0004538D" w:rsidP="002F3C90" w14:paraId="69E7D509" w14:textId="75C16153">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An acceptable technology-inclusive approach </w:t>
      </w:r>
      <w:r w:rsidRPr="0004538D" w:rsidR="00537444">
        <w:rPr>
          <w:rFonts w:ascii="Times New Roman" w:hAnsi="Times New Roman" w:cs="Times New Roman"/>
        </w:rPr>
        <w:t>for</w:t>
      </w:r>
      <w:r w:rsidRPr="0004538D">
        <w:rPr>
          <w:rFonts w:ascii="Times New Roman" w:hAnsi="Times New Roman" w:cs="Times New Roman"/>
        </w:rPr>
        <w:t xml:space="preserve"> identifying </w:t>
      </w:r>
      <w:r w:rsidRPr="0004538D" w:rsidR="005D2AA2">
        <w:rPr>
          <w:rFonts w:ascii="Times New Roman" w:hAnsi="Times New Roman" w:cs="Times New Roman"/>
        </w:rPr>
        <w:t xml:space="preserve">commercial nuclear plant </w:t>
      </w:r>
      <w:r w:rsidRPr="0004538D">
        <w:rPr>
          <w:rFonts w:ascii="Times New Roman" w:hAnsi="Times New Roman" w:cs="Times New Roman"/>
        </w:rPr>
        <w:t xml:space="preserve">licensing events </w:t>
      </w:r>
      <w:r w:rsidRPr="0004538D" w:rsidR="005D2AA2">
        <w:rPr>
          <w:rFonts w:ascii="Times New Roman" w:hAnsi="Times New Roman" w:cs="Times New Roman"/>
        </w:rPr>
        <w:t xml:space="preserve">should address the following </w:t>
      </w:r>
      <w:r w:rsidRPr="0004538D" w:rsidR="00CC796C">
        <w:rPr>
          <w:rFonts w:ascii="Times New Roman" w:hAnsi="Times New Roman" w:cs="Times New Roman"/>
        </w:rPr>
        <w:t>overarching</w:t>
      </w:r>
      <w:r w:rsidRPr="0004538D" w:rsidR="005D2AA2">
        <w:rPr>
          <w:rFonts w:ascii="Times New Roman" w:hAnsi="Times New Roman" w:cs="Times New Roman"/>
        </w:rPr>
        <w:t xml:space="preserve"> principles:</w:t>
      </w:r>
    </w:p>
    <w:p w:rsidR="005D2AA2" w:rsidP="002F3C90" w14:paraId="7710E1B9" w14:textId="5DB05D28">
      <w:pPr>
        <w:spacing w:after="0" w:line="240" w:lineRule="auto"/>
        <w:rPr>
          <w:rFonts w:ascii="Times New Roman" w:hAnsi="Times New Roman" w:cs="Times New Roman"/>
        </w:rPr>
      </w:pPr>
    </w:p>
    <w:p w:rsidR="005D2AA2" w:rsidP="002F3C90" w14:paraId="51F2B78C" w14:textId="1E52BD9E">
      <w:pPr>
        <w:pStyle w:val="ListParagraph"/>
        <w:numPr>
          <w:ilvl w:val="0"/>
          <w:numId w:val="33"/>
        </w:numPr>
        <w:spacing w:after="0" w:line="240" w:lineRule="auto"/>
        <w:ind w:left="1440" w:hanging="720"/>
        <w:contextualSpacing w:val="0"/>
        <w:rPr>
          <w:rFonts w:ascii="Times New Roman" w:hAnsi="Times New Roman" w:cs="Times New Roman"/>
        </w:rPr>
      </w:pPr>
      <w:r>
        <w:rPr>
          <w:rFonts w:ascii="Times New Roman" w:hAnsi="Times New Roman" w:cs="Times New Roman"/>
        </w:rPr>
        <w:t>Identify</w:t>
      </w:r>
      <w:r w:rsidR="00CF0CAB">
        <w:rPr>
          <w:rFonts w:ascii="Times New Roman" w:hAnsi="Times New Roman" w:cs="Times New Roman"/>
        </w:rPr>
        <w:t xml:space="preserve"> </w:t>
      </w:r>
      <w:r w:rsidR="00616600">
        <w:rPr>
          <w:rFonts w:ascii="Times New Roman" w:hAnsi="Times New Roman" w:cs="Times New Roman"/>
        </w:rPr>
        <w:t>application-specific f</w:t>
      </w:r>
      <w:r w:rsidR="00E81E59">
        <w:rPr>
          <w:rFonts w:ascii="Times New Roman" w:hAnsi="Times New Roman" w:cs="Times New Roman"/>
        </w:rPr>
        <w:t>actors</w:t>
      </w:r>
      <w:r w:rsidR="008E6DAA">
        <w:rPr>
          <w:rFonts w:ascii="Times New Roman" w:hAnsi="Times New Roman" w:cs="Times New Roman"/>
        </w:rPr>
        <w:t xml:space="preserve"> (licensing framework, plant-specific design features, and site characteristics)</w:t>
      </w:r>
      <w:r w:rsidR="00FC0D72">
        <w:rPr>
          <w:rFonts w:ascii="Times New Roman" w:hAnsi="Times New Roman" w:cs="Times New Roman"/>
        </w:rPr>
        <w:t>.</w:t>
      </w:r>
    </w:p>
    <w:p w:rsidR="001915C9" w:rsidRPr="001F3619" w:rsidP="002F3C90" w14:paraId="116A20A9" w14:textId="77777777">
      <w:pPr>
        <w:pStyle w:val="ListParagraph"/>
        <w:spacing w:after="0" w:line="240" w:lineRule="auto"/>
        <w:ind w:left="1440"/>
        <w:contextualSpacing w:val="0"/>
        <w:rPr>
          <w:rFonts w:ascii="Times New Roman" w:hAnsi="Times New Roman" w:cs="Times New Roman"/>
        </w:rPr>
      </w:pPr>
    </w:p>
    <w:p w:rsidR="001915C9" w:rsidRPr="0021002A" w:rsidP="0021002A" w14:paraId="27A445BD" w14:textId="0C26E382">
      <w:pPr>
        <w:pStyle w:val="ListParagraph"/>
        <w:numPr>
          <w:ilvl w:val="0"/>
          <w:numId w:val="33"/>
        </w:numPr>
        <w:spacing w:after="0" w:line="240" w:lineRule="auto"/>
        <w:ind w:left="1440" w:hanging="720"/>
        <w:contextualSpacing w:val="0"/>
        <w:rPr>
          <w:rFonts w:ascii="Times New Roman" w:hAnsi="Times New Roman" w:cs="Times New Roman"/>
        </w:rPr>
      </w:pPr>
      <w:r>
        <w:rPr>
          <w:rFonts w:ascii="Times New Roman" w:hAnsi="Times New Roman" w:cs="Times New Roman"/>
        </w:rPr>
        <w:t>Conduct a systematic and comprehensive search for initiating events</w:t>
      </w:r>
      <w:r w:rsidR="00E95759">
        <w:rPr>
          <w:rFonts w:ascii="Times New Roman" w:hAnsi="Times New Roman" w:cs="Times New Roman"/>
        </w:rPr>
        <w:t>.</w:t>
      </w:r>
    </w:p>
    <w:p w:rsidR="001915C9" w:rsidRPr="001F3619" w:rsidP="002F3C90" w14:paraId="442A58FA" w14:textId="77777777">
      <w:pPr>
        <w:pStyle w:val="ListParagraph"/>
        <w:spacing w:after="0" w:line="240" w:lineRule="auto"/>
        <w:ind w:left="1440"/>
        <w:contextualSpacing w:val="0"/>
        <w:rPr>
          <w:rFonts w:ascii="Times New Roman" w:hAnsi="Times New Roman" w:cs="Times New Roman"/>
        </w:rPr>
      </w:pPr>
    </w:p>
    <w:p w:rsidR="001F3619" w:rsidP="002F3C90" w14:paraId="1610E17B" w14:textId="6C3269D3">
      <w:pPr>
        <w:pStyle w:val="ListParagraph"/>
        <w:numPr>
          <w:ilvl w:val="0"/>
          <w:numId w:val="33"/>
        </w:numPr>
        <w:spacing w:after="0" w:line="240" w:lineRule="auto"/>
        <w:ind w:left="1440" w:hanging="720"/>
        <w:contextualSpacing w:val="0"/>
        <w:rPr>
          <w:rFonts w:ascii="Times New Roman" w:hAnsi="Times New Roman" w:cs="Times New Roman"/>
        </w:rPr>
      </w:pPr>
      <w:r>
        <w:rPr>
          <w:rFonts w:ascii="Times New Roman" w:hAnsi="Times New Roman" w:cs="Times New Roman"/>
        </w:rPr>
        <w:t>Use a systematic process to delineate a comprehensive set of event sequences</w:t>
      </w:r>
      <w:r w:rsidR="00E95759">
        <w:rPr>
          <w:rFonts w:ascii="Times New Roman" w:hAnsi="Times New Roman" w:cs="Times New Roman"/>
        </w:rPr>
        <w:t>.</w:t>
      </w:r>
    </w:p>
    <w:p w:rsidR="001915C9" w:rsidRPr="001F3619" w:rsidP="002F3C90" w14:paraId="29BBACDD" w14:textId="77777777">
      <w:pPr>
        <w:pStyle w:val="ListParagraph"/>
        <w:spacing w:after="0" w:line="240" w:lineRule="auto"/>
        <w:ind w:left="1440"/>
        <w:contextualSpacing w:val="0"/>
        <w:rPr>
          <w:rFonts w:ascii="Times New Roman" w:hAnsi="Times New Roman" w:cs="Times New Roman"/>
        </w:rPr>
      </w:pPr>
    </w:p>
    <w:p w:rsidR="001F3619" w:rsidP="002F3C90" w14:paraId="72AB090D" w14:textId="1202B9E6">
      <w:pPr>
        <w:pStyle w:val="ListParagraph"/>
        <w:numPr>
          <w:ilvl w:val="0"/>
          <w:numId w:val="33"/>
        </w:numPr>
        <w:spacing w:after="0" w:line="240" w:lineRule="auto"/>
        <w:ind w:left="1440" w:hanging="720"/>
        <w:contextualSpacing w:val="0"/>
        <w:rPr>
          <w:rFonts w:ascii="Times New Roman" w:hAnsi="Times New Roman" w:cs="Times New Roman"/>
        </w:rPr>
      </w:pPr>
      <w:r>
        <w:rPr>
          <w:rFonts w:ascii="Times New Roman" w:hAnsi="Times New Roman" w:cs="Times New Roman"/>
        </w:rPr>
        <w:t xml:space="preserve">Group </w:t>
      </w:r>
      <w:r w:rsidR="00152553">
        <w:rPr>
          <w:rFonts w:ascii="Times New Roman" w:hAnsi="Times New Roman" w:cs="Times New Roman"/>
        </w:rPr>
        <w:t xml:space="preserve">initiating events and event sequences </w:t>
      </w:r>
      <w:r w:rsidR="00C318F6">
        <w:rPr>
          <w:rFonts w:ascii="Times New Roman" w:hAnsi="Times New Roman" w:cs="Times New Roman"/>
        </w:rPr>
        <w:t xml:space="preserve">into </w:t>
      </w:r>
      <w:r w:rsidRPr="00C318F6" w:rsidR="00C318F6">
        <w:rPr>
          <w:rFonts w:ascii="Times New Roman" w:hAnsi="Times New Roman" w:cs="Times New Roman"/>
        </w:rPr>
        <w:t>designated licensing event categories</w:t>
      </w:r>
      <w:r w:rsidR="00C318F6">
        <w:rPr>
          <w:rFonts w:ascii="Times New Roman" w:hAnsi="Times New Roman" w:cs="Times New Roman"/>
        </w:rPr>
        <w:t xml:space="preserve"> according to the </w:t>
      </w:r>
      <w:r w:rsidR="00E95759">
        <w:rPr>
          <w:rFonts w:ascii="Times New Roman" w:hAnsi="Times New Roman" w:cs="Times New Roman"/>
        </w:rPr>
        <w:t>selected licensing framework.</w:t>
      </w:r>
    </w:p>
    <w:p w:rsidR="001915C9" w:rsidRPr="00977F87" w:rsidP="002F3C90" w14:paraId="76BFCBB5" w14:textId="77777777">
      <w:pPr>
        <w:spacing w:after="0" w:line="240" w:lineRule="auto"/>
        <w:rPr>
          <w:rFonts w:ascii="Times New Roman" w:hAnsi="Times New Roman" w:cs="Times New Roman"/>
        </w:rPr>
      </w:pPr>
    </w:p>
    <w:p w:rsidR="001F3619" w:rsidRPr="001F3619" w:rsidP="002F3C90" w14:paraId="42545D92" w14:textId="04553BEB">
      <w:pPr>
        <w:pStyle w:val="ListParagraph"/>
        <w:numPr>
          <w:ilvl w:val="0"/>
          <w:numId w:val="33"/>
        </w:numPr>
        <w:spacing w:after="0" w:line="240" w:lineRule="auto"/>
        <w:ind w:left="1440" w:hanging="720"/>
        <w:contextualSpacing w:val="0"/>
        <w:rPr>
          <w:rFonts w:ascii="Times New Roman" w:hAnsi="Times New Roman" w:cs="Times New Roman"/>
        </w:rPr>
      </w:pPr>
      <w:r>
        <w:rPr>
          <w:rFonts w:ascii="Times New Roman" w:hAnsi="Times New Roman" w:cs="Times New Roman"/>
        </w:rPr>
        <w:t xml:space="preserve">Provide assurance that the set of licensing events is </w:t>
      </w:r>
      <w:r w:rsidR="00CF6DF7">
        <w:rPr>
          <w:rFonts w:ascii="Times New Roman" w:hAnsi="Times New Roman" w:cs="Times New Roman"/>
        </w:rPr>
        <w:t>sufficient</w:t>
      </w:r>
      <w:r>
        <w:rPr>
          <w:rFonts w:ascii="Times New Roman" w:hAnsi="Times New Roman" w:cs="Times New Roman"/>
        </w:rPr>
        <w:t>.</w:t>
      </w:r>
    </w:p>
    <w:p w:rsidR="008F624A" w:rsidP="002F3C90" w14:paraId="63C090F0" w14:textId="20FD333F">
      <w:pPr>
        <w:spacing w:after="0" w:line="240" w:lineRule="auto"/>
        <w:rPr>
          <w:rFonts w:ascii="Times New Roman" w:hAnsi="Times New Roman" w:cs="Times New Roman"/>
        </w:rPr>
      </w:pPr>
    </w:p>
    <w:p w:rsidR="0085632E" w:rsidRPr="0004538D" w:rsidP="002F3C90" w14:paraId="68208131" w14:textId="6863CEA3">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Figure</w:t>
      </w:r>
      <w:r w:rsidR="009718DD">
        <w:rPr>
          <w:rFonts w:ascii="Times New Roman" w:hAnsi="Times New Roman" w:cs="Times New Roman"/>
        </w:rPr>
        <w:t> </w:t>
      </w:r>
      <w:r w:rsidRPr="0004538D">
        <w:rPr>
          <w:rFonts w:ascii="Times New Roman" w:hAnsi="Times New Roman" w:cs="Times New Roman"/>
        </w:rPr>
        <w:t>1 presents a</w:t>
      </w:r>
      <w:r w:rsidRPr="0004538D" w:rsidR="009A0C95">
        <w:rPr>
          <w:rFonts w:ascii="Times New Roman" w:hAnsi="Times New Roman" w:cs="Times New Roman"/>
        </w:rPr>
        <w:t>n acceptable</w:t>
      </w:r>
      <w:r w:rsidRPr="0004538D">
        <w:rPr>
          <w:rFonts w:ascii="Times New Roman" w:hAnsi="Times New Roman" w:cs="Times New Roman"/>
        </w:rPr>
        <w:t xml:space="preserve"> </w:t>
      </w:r>
      <w:r w:rsidRPr="0004538D" w:rsidR="00200C15">
        <w:rPr>
          <w:rFonts w:ascii="Times New Roman" w:hAnsi="Times New Roman" w:cs="Times New Roman"/>
        </w:rPr>
        <w:t xml:space="preserve">technology-inclusive </w:t>
      </w:r>
      <w:r w:rsidRPr="0004538D">
        <w:rPr>
          <w:rFonts w:ascii="Times New Roman" w:hAnsi="Times New Roman" w:cs="Times New Roman"/>
        </w:rPr>
        <w:t xml:space="preserve">process </w:t>
      </w:r>
      <w:r w:rsidRPr="0004538D" w:rsidR="00115C2F">
        <w:rPr>
          <w:rFonts w:ascii="Times New Roman" w:hAnsi="Times New Roman" w:cs="Times New Roman"/>
        </w:rPr>
        <w:t xml:space="preserve">for identifying licensing events </w:t>
      </w:r>
      <w:r w:rsidRPr="0004538D">
        <w:rPr>
          <w:rFonts w:ascii="Times New Roman" w:hAnsi="Times New Roman" w:cs="Times New Roman"/>
        </w:rPr>
        <w:t xml:space="preserve">that </w:t>
      </w:r>
      <w:r w:rsidRPr="0004538D">
        <w:rPr>
          <w:rFonts w:ascii="Times New Roman" w:hAnsi="Times New Roman" w:cs="Times New Roman"/>
        </w:rPr>
        <w:t>addresses</w:t>
      </w:r>
      <w:r w:rsidRPr="0004538D">
        <w:rPr>
          <w:rFonts w:ascii="Times New Roman" w:hAnsi="Times New Roman" w:cs="Times New Roman"/>
        </w:rPr>
        <w:t xml:space="preserve"> </w:t>
      </w:r>
      <w:r w:rsidRPr="0004538D" w:rsidR="009A0C95">
        <w:rPr>
          <w:rFonts w:ascii="Times New Roman" w:hAnsi="Times New Roman" w:cs="Times New Roman"/>
        </w:rPr>
        <w:t xml:space="preserve">each of these </w:t>
      </w:r>
      <w:r w:rsidRPr="0004538D" w:rsidR="00E95759">
        <w:rPr>
          <w:rFonts w:ascii="Times New Roman" w:hAnsi="Times New Roman" w:cs="Times New Roman"/>
        </w:rPr>
        <w:t>overarching</w:t>
      </w:r>
      <w:r w:rsidRPr="0004538D" w:rsidR="009A0C95">
        <w:rPr>
          <w:rFonts w:ascii="Times New Roman" w:hAnsi="Times New Roman" w:cs="Times New Roman"/>
        </w:rPr>
        <w:t xml:space="preserve"> principles</w:t>
      </w:r>
      <w:r w:rsidRPr="0004538D" w:rsidR="00B01F7C">
        <w:rPr>
          <w:rFonts w:ascii="Times New Roman" w:hAnsi="Times New Roman" w:cs="Times New Roman"/>
        </w:rPr>
        <w:t>.</w:t>
      </w:r>
      <w:r w:rsidRPr="0004538D" w:rsidR="000A24C1">
        <w:rPr>
          <w:rFonts w:ascii="Times New Roman" w:hAnsi="Times New Roman" w:cs="Times New Roman"/>
        </w:rPr>
        <w:t xml:space="preserve"> </w:t>
      </w:r>
      <w:r w:rsidRPr="0004538D" w:rsidR="00C34B2D">
        <w:rPr>
          <w:rFonts w:ascii="Times New Roman" w:hAnsi="Times New Roman" w:cs="Times New Roman"/>
        </w:rPr>
        <w:t>The process</w:t>
      </w:r>
      <w:r w:rsidRPr="0004538D" w:rsidR="00794668">
        <w:rPr>
          <w:rFonts w:ascii="Times New Roman" w:hAnsi="Times New Roman" w:cs="Times New Roman"/>
        </w:rPr>
        <w:t xml:space="preserve"> </w:t>
      </w:r>
      <w:r w:rsidRPr="0004538D" w:rsidR="001B1691">
        <w:rPr>
          <w:rFonts w:ascii="Times New Roman" w:hAnsi="Times New Roman" w:cs="Times New Roman"/>
        </w:rPr>
        <w:t xml:space="preserve">includes the following </w:t>
      </w:r>
      <w:r w:rsidRPr="0004538D" w:rsidR="000A01C9">
        <w:rPr>
          <w:rFonts w:ascii="Times New Roman" w:hAnsi="Times New Roman" w:cs="Times New Roman"/>
        </w:rPr>
        <w:t>substeps</w:t>
      </w:r>
      <w:r w:rsidRPr="0004538D" w:rsidR="000A24C1">
        <w:rPr>
          <w:rFonts w:ascii="Times New Roman" w:hAnsi="Times New Roman" w:cs="Times New Roman"/>
        </w:rPr>
        <w:t xml:space="preserve">: </w:t>
      </w:r>
    </w:p>
    <w:p w:rsidR="006D681D" w:rsidP="002F3C90" w14:paraId="5C3876E8" w14:textId="77777777">
      <w:pPr>
        <w:spacing w:after="0" w:line="240" w:lineRule="auto"/>
        <w:ind w:firstLine="720"/>
        <w:rPr>
          <w:rFonts w:ascii="Times New Roman" w:hAnsi="Times New Roman" w:cs="Times New Roman"/>
        </w:rPr>
      </w:pPr>
    </w:p>
    <w:p w:rsidR="0085632E" w:rsidP="002F3C90" w14:paraId="4212DD63" w14:textId="60968C33">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setting up the project</w:t>
      </w:r>
      <w:r w:rsidR="00291EA2">
        <w:rPr>
          <w:rFonts w:ascii="Times New Roman" w:hAnsi="Times New Roman" w:cs="Times New Roman"/>
        </w:rPr>
        <w:t>,</w:t>
      </w:r>
    </w:p>
    <w:p w:rsidR="001915C9" w:rsidP="002F3C90" w14:paraId="004F5345" w14:textId="77777777">
      <w:pPr>
        <w:pStyle w:val="ListParagraph"/>
        <w:spacing w:after="0" w:line="240" w:lineRule="auto"/>
        <w:ind w:left="1440"/>
        <w:rPr>
          <w:rFonts w:ascii="Times New Roman" w:hAnsi="Times New Roman" w:cs="Times New Roman"/>
        </w:rPr>
      </w:pPr>
    </w:p>
    <w:p w:rsidR="001915C9" w:rsidP="002F3C90" w14:paraId="251CFA82" w14:textId="1A7E0816">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collect</w:t>
      </w:r>
      <w:r w:rsidR="00C34B2D">
        <w:rPr>
          <w:rFonts w:ascii="Times New Roman" w:hAnsi="Times New Roman" w:cs="Times New Roman"/>
        </w:rPr>
        <w:t>ing</w:t>
      </w:r>
      <w:r>
        <w:rPr>
          <w:rFonts w:ascii="Times New Roman" w:hAnsi="Times New Roman" w:cs="Times New Roman"/>
        </w:rPr>
        <w:t xml:space="preserve"> application</w:t>
      </w:r>
      <w:r w:rsidR="006F327B">
        <w:rPr>
          <w:rFonts w:ascii="Times New Roman" w:hAnsi="Times New Roman" w:cs="Times New Roman"/>
        </w:rPr>
        <w:t>-</w:t>
      </w:r>
      <w:r>
        <w:rPr>
          <w:rFonts w:ascii="Times New Roman" w:hAnsi="Times New Roman" w:cs="Times New Roman"/>
        </w:rPr>
        <w:t>specific information</w:t>
      </w:r>
      <w:r w:rsidR="00291EA2">
        <w:rPr>
          <w:rFonts w:ascii="Times New Roman" w:hAnsi="Times New Roman" w:cs="Times New Roman"/>
        </w:rPr>
        <w:t>,</w:t>
      </w:r>
    </w:p>
    <w:p w:rsidR="001915C9" w:rsidRPr="00977F87" w:rsidP="002F3C90" w14:paraId="1E2AEB24" w14:textId="77777777">
      <w:pPr>
        <w:spacing w:after="0" w:line="240" w:lineRule="auto"/>
        <w:rPr>
          <w:rFonts w:ascii="Times New Roman" w:hAnsi="Times New Roman" w:cs="Times New Roman"/>
        </w:rPr>
      </w:pPr>
    </w:p>
    <w:p w:rsidR="0085632E" w:rsidP="002F3C90" w14:paraId="28AEF30E" w14:textId="5EF2982B">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select</w:t>
      </w:r>
      <w:r w:rsidR="00C34B2D">
        <w:rPr>
          <w:rFonts w:ascii="Times New Roman" w:hAnsi="Times New Roman" w:cs="Times New Roman"/>
        </w:rPr>
        <w:t>ing</w:t>
      </w:r>
      <w:r>
        <w:rPr>
          <w:rFonts w:ascii="Times New Roman" w:hAnsi="Times New Roman" w:cs="Times New Roman"/>
        </w:rPr>
        <w:t xml:space="preserve"> analysis methods</w:t>
      </w:r>
      <w:r w:rsidR="00291EA2">
        <w:rPr>
          <w:rFonts w:ascii="Times New Roman" w:hAnsi="Times New Roman" w:cs="Times New Roman"/>
        </w:rPr>
        <w:t>,</w:t>
      </w:r>
    </w:p>
    <w:p w:rsidR="001915C9" w:rsidRPr="00977F87" w:rsidP="002F3C90" w14:paraId="42A6DEDB" w14:textId="77777777">
      <w:pPr>
        <w:spacing w:after="0" w:line="240" w:lineRule="auto"/>
        <w:rPr>
          <w:rFonts w:ascii="Times New Roman" w:hAnsi="Times New Roman" w:cs="Times New Roman"/>
        </w:rPr>
      </w:pPr>
    </w:p>
    <w:p w:rsidR="0085632E" w:rsidP="002F3C90" w14:paraId="3DC76208" w14:textId="46493446">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perform</w:t>
      </w:r>
      <w:r w:rsidR="00C34B2D">
        <w:rPr>
          <w:rFonts w:ascii="Times New Roman" w:hAnsi="Times New Roman" w:cs="Times New Roman"/>
        </w:rPr>
        <w:t>ing</w:t>
      </w:r>
      <w:r>
        <w:rPr>
          <w:rFonts w:ascii="Times New Roman" w:hAnsi="Times New Roman" w:cs="Times New Roman"/>
        </w:rPr>
        <w:t xml:space="preserve"> </w:t>
      </w:r>
      <w:r w:rsidR="00983CE8">
        <w:rPr>
          <w:rFonts w:ascii="Times New Roman" w:hAnsi="Times New Roman" w:cs="Times New Roman"/>
        </w:rPr>
        <w:t>initiating event analysi</w:t>
      </w:r>
      <w:r w:rsidR="00CD4B8C">
        <w:rPr>
          <w:rFonts w:ascii="Times New Roman" w:hAnsi="Times New Roman" w:cs="Times New Roman"/>
        </w:rPr>
        <w:t>s</w:t>
      </w:r>
      <w:r w:rsidR="00291EA2">
        <w:rPr>
          <w:rFonts w:ascii="Times New Roman" w:hAnsi="Times New Roman" w:cs="Times New Roman"/>
        </w:rPr>
        <w:t>,</w:t>
      </w:r>
    </w:p>
    <w:p w:rsidR="001915C9" w:rsidRPr="00977F87" w:rsidP="002F3C90" w14:paraId="6528DF39" w14:textId="77777777">
      <w:pPr>
        <w:spacing w:after="0" w:line="240" w:lineRule="auto"/>
        <w:rPr>
          <w:rFonts w:ascii="Times New Roman" w:hAnsi="Times New Roman" w:cs="Times New Roman"/>
        </w:rPr>
      </w:pPr>
    </w:p>
    <w:p w:rsidR="0085632E" w:rsidP="002F3C90" w14:paraId="3564C735" w14:textId="576CCD27">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conduct</w:t>
      </w:r>
      <w:r w:rsidR="00C34B2D">
        <w:rPr>
          <w:rFonts w:ascii="Times New Roman" w:hAnsi="Times New Roman" w:cs="Times New Roman"/>
        </w:rPr>
        <w:t>ing</w:t>
      </w:r>
      <w:r>
        <w:rPr>
          <w:rFonts w:ascii="Times New Roman" w:hAnsi="Times New Roman" w:cs="Times New Roman"/>
        </w:rPr>
        <w:t xml:space="preserve"> </w:t>
      </w:r>
      <w:r w:rsidR="00983CE8">
        <w:rPr>
          <w:rFonts w:ascii="Times New Roman" w:hAnsi="Times New Roman" w:cs="Times New Roman"/>
        </w:rPr>
        <w:t xml:space="preserve">event </w:t>
      </w:r>
      <w:r>
        <w:rPr>
          <w:rFonts w:ascii="Times New Roman" w:hAnsi="Times New Roman" w:cs="Times New Roman"/>
        </w:rPr>
        <w:t>sequence</w:t>
      </w:r>
      <w:r w:rsidR="00983CE8">
        <w:rPr>
          <w:rFonts w:ascii="Times New Roman" w:hAnsi="Times New Roman" w:cs="Times New Roman"/>
        </w:rPr>
        <w:t xml:space="preserve"> analysis</w:t>
      </w:r>
      <w:r w:rsidR="00291EA2">
        <w:rPr>
          <w:rFonts w:ascii="Times New Roman" w:hAnsi="Times New Roman" w:cs="Times New Roman"/>
        </w:rPr>
        <w:t>, and</w:t>
      </w:r>
    </w:p>
    <w:p w:rsidR="001915C9" w:rsidRPr="00977F87" w:rsidP="002F3C90" w14:paraId="6CE7DC5C" w14:textId="77777777">
      <w:pPr>
        <w:spacing w:after="0" w:line="240" w:lineRule="auto"/>
        <w:rPr>
          <w:rFonts w:ascii="Times New Roman" w:hAnsi="Times New Roman" w:cs="Times New Roman"/>
        </w:rPr>
      </w:pPr>
    </w:p>
    <w:p w:rsidR="0085632E" w:rsidP="002F3C90" w14:paraId="6ACAF1AB" w14:textId="3E23C8DE">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select</w:t>
      </w:r>
      <w:r w:rsidR="00C34B2D">
        <w:rPr>
          <w:rFonts w:ascii="Times New Roman" w:hAnsi="Times New Roman" w:cs="Times New Roman"/>
        </w:rPr>
        <w:t>ing</w:t>
      </w:r>
      <w:r>
        <w:rPr>
          <w:rFonts w:ascii="Times New Roman" w:hAnsi="Times New Roman" w:cs="Times New Roman"/>
        </w:rPr>
        <w:t xml:space="preserve"> licensing events</w:t>
      </w:r>
      <w:r w:rsidR="00291EA2">
        <w:rPr>
          <w:rFonts w:ascii="Times New Roman" w:hAnsi="Times New Roman" w:cs="Times New Roman"/>
        </w:rPr>
        <w:t>.</w:t>
      </w:r>
    </w:p>
    <w:p w:rsidR="0085632E" w:rsidP="002F3C90" w14:paraId="0AE79C12" w14:textId="77777777">
      <w:pPr>
        <w:spacing w:after="0" w:line="240" w:lineRule="auto"/>
        <w:ind w:firstLine="720"/>
        <w:rPr>
          <w:rFonts w:ascii="Times New Roman" w:hAnsi="Times New Roman" w:cs="Times New Roman"/>
        </w:rPr>
      </w:pPr>
    </w:p>
    <w:p w:rsidR="00465018" w:rsidRPr="0004538D" w:rsidP="002F3C90" w14:paraId="76DA4806" w14:textId="1F430C88">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The </w:t>
      </w:r>
      <w:r w:rsidRPr="0004538D" w:rsidR="006A46F0">
        <w:rPr>
          <w:rFonts w:ascii="Times New Roman" w:hAnsi="Times New Roman" w:cs="Times New Roman"/>
        </w:rPr>
        <w:t xml:space="preserve">guidance in the </w:t>
      </w:r>
      <w:r w:rsidRPr="0004538D" w:rsidR="001B1691">
        <w:rPr>
          <w:rFonts w:ascii="Times New Roman" w:hAnsi="Times New Roman" w:cs="Times New Roman"/>
        </w:rPr>
        <w:t>following sections</w:t>
      </w:r>
      <w:r w:rsidRPr="0004538D" w:rsidR="000B7E7E">
        <w:rPr>
          <w:rFonts w:ascii="Times New Roman" w:hAnsi="Times New Roman" w:cs="Times New Roman"/>
        </w:rPr>
        <w:t xml:space="preserve"> provide</w:t>
      </w:r>
      <w:r w:rsidR="009718DD">
        <w:rPr>
          <w:rFonts w:ascii="Times New Roman" w:hAnsi="Times New Roman" w:cs="Times New Roman"/>
        </w:rPr>
        <w:t>s</w:t>
      </w:r>
      <w:r w:rsidRPr="0004538D" w:rsidR="000B7E7E">
        <w:rPr>
          <w:rFonts w:ascii="Times New Roman" w:hAnsi="Times New Roman" w:cs="Times New Roman"/>
        </w:rPr>
        <w:t xml:space="preserve"> additional detail</w:t>
      </w:r>
      <w:r w:rsidRPr="0004538D" w:rsidR="00C925F0">
        <w:rPr>
          <w:rFonts w:ascii="Times New Roman" w:hAnsi="Times New Roman" w:cs="Times New Roman"/>
        </w:rPr>
        <w:t>s</w:t>
      </w:r>
      <w:r w:rsidRPr="0004538D" w:rsidR="000B7E7E">
        <w:rPr>
          <w:rFonts w:ascii="Times New Roman" w:hAnsi="Times New Roman" w:cs="Times New Roman"/>
        </w:rPr>
        <w:t xml:space="preserve"> on each of these </w:t>
      </w:r>
      <w:r w:rsidRPr="0004538D" w:rsidR="000B7E7E">
        <w:rPr>
          <w:rFonts w:ascii="Times New Roman" w:hAnsi="Times New Roman" w:cs="Times New Roman"/>
        </w:rPr>
        <w:t>substeps</w:t>
      </w:r>
      <w:r w:rsidRPr="0004538D" w:rsidR="001B1691">
        <w:rPr>
          <w:rFonts w:ascii="Times New Roman" w:hAnsi="Times New Roman" w:cs="Times New Roman"/>
        </w:rPr>
        <w:t>.</w:t>
      </w:r>
      <w:r w:rsidRPr="0004538D" w:rsidR="00AA7711">
        <w:rPr>
          <w:rFonts w:ascii="Times New Roman" w:hAnsi="Times New Roman" w:cs="Times New Roman"/>
        </w:rPr>
        <w:t xml:space="preserve"> </w:t>
      </w:r>
      <w:r w:rsidR="00D01E0D">
        <w:rPr>
          <w:rFonts w:ascii="Times New Roman" w:hAnsi="Times New Roman" w:cs="Times New Roman"/>
        </w:rPr>
        <w:t>S</w:t>
      </w:r>
      <w:r w:rsidRPr="00DE3CB8" w:rsidR="00C925F0">
        <w:rPr>
          <w:rFonts w:ascii="Times New Roman" w:hAnsi="Times New Roman" w:cs="Times New Roman"/>
        </w:rPr>
        <w:t>ub</w:t>
      </w:r>
      <w:r w:rsidRPr="00DE3CB8" w:rsidR="00F43A71">
        <w:rPr>
          <w:rFonts w:ascii="Times New Roman" w:hAnsi="Times New Roman" w:cs="Times New Roman"/>
        </w:rPr>
        <w:t>steps</w:t>
      </w:r>
      <w:r w:rsidRPr="00DE3CB8" w:rsidR="00F43A71">
        <w:rPr>
          <w:rFonts w:ascii="Times New Roman" w:hAnsi="Times New Roman" w:cs="Times New Roman"/>
        </w:rPr>
        <w:t xml:space="preserve"> </w:t>
      </w:r>
      <w:r w:rsidR="00D01E0D">
        <w:rPr>
          <w:rFonts w:ascii="Times New Roman" w:hAnsi="Times New Roman" w:cs="Times New Roman"/>
        </w:rPr>
        <w:t>a-e</w:t>
      </w:r>
      <w:r w:rsidRPr="00DE3CB8" w:rsidR="00F43A71">
        <w:rPr>
          <w:rFonts w:ascii="Times New Roman" w:hAnsi="Times New Roman" w:cs="Times New Roman"/>
        </w:rPr>
        <w:t xml:space="preserve"> apply to </w:t>
      </w:r>
      <w:r w:rsidRPr="00DE3CB8" w:rsidR="00EC645D">
        <w:rPr>
          <w:rFonts w:ascii="Times New Roman" w:hAnsi="Times New Roman" w:cs="Times New Roman"/>
        </w:rPr>
        <w:t>all licensing framework</w:t>
      </w:r>
      <w:r w:rsidRPr="00DE3CB8">
        <w:rPr>
          <w:rFonts w:ascii="Times New Roman" w:hAnsi="Times New Roman" w:cs="Times New Roman"/>
        </w:rPr>
        <w:t>s</w:t>
      </w:r>
      <w:r w:rsidRPr="00DE3CB8" w:rsidR="00EC645D">
        <w:rPr>
          <w:rFonts w:ascii="Times New Roman" w:hAnsi="Times New Roman" w:cs="Times New Roman"/>
        </w:rPr>
        <w:t xml:space="preserve">. </w:t>
      </w:r>
      <w:r w:rsidRPr="00DE3CB8" w:rsidR="00A07910">
        <w:rPr>
          <w:rFonts w:ascii="Times New Roman" w:hAnsi="Times New Roman" w:cs="Times New Roman"/>
        </w:rPr>
        <w:t>Non-LWR d</w:t>
      </w:r>
      <w:r w:rsidRPr="00DE3CB8">
        <w:rPr>
          <w:rFonts w:ascii="Times New Roman" w:hAnsi="Times New Roman" w:cs="Times New Roman"/>
        </w:rPr>
        <w:t xml:space="preserve">esigners and applicants </w:t>
      </w:r>
      <w:r w:rsidR="00E450F4">
        <w:rPr>
          <w:rFonts w:ascii="Times New Roman" w:hAnsi="Times New Roman" w:cs="Times New Roman"/>
        </w:rPr>
        <w:t>that</w:t>
      </w:r>
      <w:r w:rsidRPr="00DE3CB8">
        <w:rPr>
          <w:rFonts w:ascii="Times New Roman" w:hAnsi="Times New Roman" w:cs="Times New Roman"/>
        </w:rPr>
        <w:t xml:space="preserve"> voluntarily </w:t>
      </w:r>
      <w:r w:rsidRPr="00797996">
        <w:rPr>
          <w:rFonts w:ascii="Times New Roman" w:hAnsi="Times New Roman" w:cs="Times New Roman"/>
        </w:rPr>
        <w:t xml:space="preserve">seek </w:t>
      </w:r>
      <w:r w:rsidRPr="00797996" w:rsidR="00CF32D2">
        <w:rPr>
          <w:rFonts w:ascii="Times New Roman" w:hAnsi="Times New Roman" w:cs="Times New Roman"/>
        </w:rPr>
        <w:t xml:space="preserve">implementation of </w:t>
      </w:r>
      <w:r w:rsidR="00183FB6">
        <w:rPr>
          <w:rFonts w:ascii="Times New Roman" w:hAnsi="Times New Roman" w:cs="Times New Roman"/>
        </w:rPr>
        <w:t xml:space="preserve">the </w:t>
      </w:r>
      <w:r w:rsidRPr="00797996" w:rsidR="00CF32D2">
        <w:rPr>
          <w:rFonts w:ascii="Times New Roman" w:hAnsi="Times New Roman" w:cs="Times New Roman"/>
        </w:rPr>
        <w:t>LMP</w:t>
      </w:r>
      <w:r w:rsidRPr="00797996">
        <w:rPr>
          <w:rFonts w:ascii="Times New Roman" w:hAnsi="Times New Roman" w:cs="Times New Roman"/>
        </w:rPr>
        <w:t xml:space="preserve"> </w:t>
      </w:r>
      <w:r w:rsidRPr="00797996" w:rsidR="00DE3CB8">
        <w:rPr>
          <w:rFonts w:ascii="Times New Roman" w:hAnsi="Times New Roman" w:cs="Times New Roman"/>
        </w:rPr>
        <w:t>under 10</w:t>
      </w:r>
      <w:r w:rsidR="009718DD">
        <w:rPr>
          <w:rFonts w:ascii="Times New Roman" w:hAnsi="Times New Roman" w:cs="Times New Roman"/>
        </w:rPr>
        <w:t> </w:t>
      </w:r>
      <w:r w:rsidRPr="00797996" w:rsidR="00DE3CB8">
        <w:rPr>
          <w:rFonts w:ascii="Times New Roman" w:hAnsi="Times New Roman" w:cs="Times New Roman"/>
        </w:rPr>
        <w:t>CFR</w:t>
      </w:r>
      <w:r w:rsidR="009718DD">
        <w:rPr>
          <w:rFonts w:ascii="Times New Roman" w:hAnsi="Times New Roman" w:cs="Times New Roman"/>
        </w:rPr>
        <w:t> </w:t>
      </w:r>
      <w:r w:rsidRPr="00797996" w:rsidR="00DE3CB8">
        <w:rPr>
          <w:rFonts w:ascii="Times New Roman" w:hAnsi="Times New Roman" w:cs="Times New Roman"/>
        </w:rPr>
        <w:t>Part</w:t>
      </w:r>
      <w:r w:rsidR="009718DD">
        <w:rPr>
          <w:rFonts w:ascii="Times New Roman" w:hAnsi="Times New Roman" w:cs="Times New Roman"/>
        </w:rPr>
        <w:t> </w:t>
      </w:r>
      <w:r w:rsidRPr="00797996" w:rsidR="00DE3CB8">
        <w:rPr>
          <w:rFonts w:ascii="Times New Roman" w:hAnsi="Times New Roman" w:cs="Times New Roman"/>
        </w:rPr>
        <w:t xml:space="preserve">50 or </w:t>
      </w:r>
      <w:r w:rsidR="009718DD">
        <w:rPr>
          <w:rFonts w:ascii="Times New Roman" w:hAnsi="Times New Roman" w:cs="Times New Roman"/>
        </w:rPr>
        <w:t>10 CFR Part </w:t>
      </w:r>
      <w:r w:rsidRPr="00797996" w:rsidR="00DE3CB8">
        <w:rPr>
          <w:rFonts w:ascii="Times New Roman" w:hAnsi="Times New Roman" w:cs="Times New Roman"/>
        </w:rPr>
        <w:t xml:space="preserve">52 </w:t>
      </w:r>
      <w:r w:rsidRPr="00797996">
        <w:rPr>
          <w:rFonts w:ascii="Times New Roman" w:hAnsi="Times New Roman" w:cs="Times New Roman"/>
        </w:rPr>
        <w:t>should</w:t>
      </w:r>
      <w:r w:rsidRPr="00DE3CB8">
        <w:rPr>
          <w:rFonts w:ascii="Times New Roman" w:hAnsi="Times New Roman" w:cs="Times New Roman"/>
        </w:rPr>
        <w:t xml:space="preserve"> use the guidance in RG</w:t>
      </w:r>
      <w:r w:rsidR="009718DD">
        <w:rPr>
          <w:rFonts w:ascii="Times New Roman" w:hAnsi="Times New Roman" w:cs="Times New Roman"/>
        </w:rPr>
        <w:t> </w:t>
      </w:r>
      <w:r w:rsidRPr="00DE3CB8">
        <w:rPr>
          <w:rFonts w:ascii="Times New Roman" w:hAnsi="Times New Roman" w:cs="Times New Roman"/>
        </w:rPr>
        <w:t>1.233</w:t>
      </w:r>
      <w:r w:rsidRPr="00DE3CB8" w:rsidR="003713F3">
        <w:rPr>
          <w:rFonts w:ascii="Times New Roman" w:hAnsi="Times New Roman" w:cs="Times New Roman"/>
        </w:rPr>
        <w:t xml:space="preserve"> </w:t>
      </w:r>
      <w:r w:rsidR="009718DD">
        <w:rPr>
          <w:rFonts w:ascii="Times New Roman" w:hAnsi="Times New Roman" w:cs="Times New Roman"/>
        </w:rPr>
        <w:t>to identify</w:t>
      </w:r>
      <w:r w:rsidRPr="00DE3CB8">
        <w:rPr>
          <w:rFonts w:ascii="Times New Roman" w:hAnsi="Times New Roman" w:cs="Times New Roman"/>
        </w:rPr>
        <w:t xml:space="preserve"> licensing events</w:t>
      </w:r>
      <w:r w:rsidR="004C7577">
        <w:rPr>
          <w:rFonts w:ascii="Times New Roman" w:hAnsi="Times New Roman" w:cs="Times New Roman"/>
        </w:rPr>
        <w:t xml:space="preserve"> (</w:t>
      </w:r>
      <w:r w:rsidR="004C7577">
        <w:rPr>
          <w:rFonts w:ascii="Times New Roman" w:hAnsi="Times New Roman" w:cs="Times New Roman"/>
        </w:rPr>
        <w:t>substep</w:t>
      </w:r>
      <w:r w:rsidR="004C7577">
        <w:rPr>
          <w:rFonts w:ascii="Times New Roman" w:hAnsi="Times New Roman" w:cs="Times New Roman"/>
        </w:rPr>
        <w:t xml:space="preserve"> f)</w:t>
      </w:r>
      <w:r w:rsidRPr="00DE3CB8">
        <w:rPr>
          <w:rFonts w:ascii="Times New Roman" w:hAnsi="Times New Roman" w:cs="Times New Roman"/>
        </w:rPr>
        <w:t xml:space="preserve">. </w:t>
      </w:r>
    </w:p>
    <w:p w:rsidR="00480EFD" w:rsidP="002F3C90" w14:paraId="4B96338C" w14:textId="0AFEF6C1">
      <w:pPr>
        <w:spacing w:after="0" w:line="240" w:lineRule="auto"/>
        <w:ind w:left="720" w:hanging="720"/>
        <w:rPr>
          <w:rFonts w:ascii="Times New Roman" w:hAnsi="Times New Roman" w:cs="Times New Roman"/>
        </w:rPr>
      </w:pPr>
    </w:p>
    <w:p w:rsidR="00B15AF8" w:rsidRPr="00E33740" w:rsidP="002F3C90" w14:paraId="2413FDE1" w14:textId="25F49C23">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The process </w:t>
      </w:r>
      <w:r w:rsidRPr="0004538D" w:rsidR="00B37146">
        <w:rPr>
          <w:rFonts w:ascii="Times New Roman" w:hAnsi="Times New Roman" w:cs="Times New Roman"/>
        </w:rPr>
        <w:t xml:space="preserve">described in </w:t>
      </w:r>
      <w:r w:rsidRPr="0004538D" w:rsidR="00831004">
        <w:rPr>
          <w:rFonts w:ascii="Times New Roman" w:hAnsi="Times New Roman" w:cs="Times New Roman"/>
        </w:rPr>
        <w:t>Figure</w:t>
      </w:r>
      <w:r w:rsidR="009718DD">
        <w:rPr>
          <w:rFonts w:ascii="Times New Roman" w:hAnsi="Times New Roman" w:cs="Times New Roman"/>
        </w:rPr>
        <w:t> </w:t>
      </w:r>
      <w:r w:rsidRPr="0004538D" w:rsidR="00831004">
        <w:rPr>
          <w:rFonts w:ascii="Times New Roman" w:hAnsi="Times New Roman" w:cs="Times New Roman"/>
        </w:rPr>
        <w:t>1 is</w:t>
      </w:r>
      <w:r w:rsidRPr="0004538D" w:rsidR="009B3FF7">
        <w:rPr>
          <w:rFonts w:ascii="Times New Roman" w:hAnsi="Times New Roman" w:cs="Times New Roman"/>
        </w:rPr>
        <w:t xml:space="preserve"> </w:t>
      </w:r>
      <w:r w:rsidRPr="0004538D" w:rsidR="00151E2F">
        <w:rPr>
          <w:rFonts w:ascii="Times New Roman" w:hAnsi="Times New Roman" w:cs="Times New Roman"/>
        </w:rPr>
        <w:t>expected to be performed in an iterative fashion</w:t>
      </w:r>
      <w:r w:rsidRPr="0004538D" w:rsidR="00C01495">
        <w:rPr>
          <w:rFonts w:ascii="Times New Roman" w:hAnsi="Times New Roman" w:cs="Times New Roman"/>
        </w:rPr>
        <w:t>.</w:t>
      </w:r>
      <w:r w:rsidRPr="0004538D" w:rsidR="00831004">
        <w:rPr>
          <w:rFonts w:ascii="Times New Roman" w:hAnsi="Times New Roman" w:cs="Times New Roman"/>
        </w:rPr>
        <w:t xml:space="preserve"> </w:t>
      </w:r>
      <w:r w:rsidRPr="0004538D">
        <w:rPr>
          <w:rFonts w:ascii="Times New Roman" w:hAnsi="Times New Roman" w:cs="Times New Roman"/>
        </w:rPr>
        <w:t xml:space="preserve">The design process and </w:t>
      </w:r>
      <w:r w:rsidRPr="0004538D" w:rsidR="00C51E04">
        <w:rPr>
          <w:rFonts w:ascii="Times New Roman" w:hAnsi="Times New Roman" w:cs="Times New Roman"/>
        </w:rPr>
        <w:t xml:space="preserve">the </w:t>
      </w:r>
      <w:r w:rsidRPr="0004538D">
        <w:rPr>
          <w:rFonts w:ascii="Times New Roman" w:hAnsi="Times New Roman" w:cs="Times New Roman"/>
        </w:rPr>
        <w:t>development of licensing</w:t>
      </w:r>
      <w:r w:rsidRPr="0004538D" w:rsidR="00381204">
        <w:rPr>
          <w:rFonts w:ascii="Times New Roman" w:hAnsi="Times New Roman" w:cs="Times New Roman"/>
        </w:rPr>
        <w:t xml:space="preserve"> </w:t>
      </w:r>
      <w:r w:rsidRPr="0004538D">
        <w:rPr>
          <w:rFonts w:ascii="Times New Roman" w:hAnsi="Times New Roman" w:cs="Times New Roman"/>
        </w:rPr>
        <w:t xml:space="preserve">basis information is iterative, involving assessments and decisions on system design, operating parameters, and programmatic controls to ensure that a reactor </w:t>
      </w:r>
      <w:r w:rsidRPr="0004538D" w:rsidR="008E029B">
        <w:rPr>
          <w:rFonts w:ascii="Times New Roman" w:hAnsi="Times New Roman" w:cs="Times New Roman"/>
        </w:rPr>
        <w:t xml:space="preserve">design </w:t>
      </w:r>
      <w:r w:rsidRPr="0004538D">
        <w:rPr>
          <w:rFonts w:ascii="Times New Roman" w:hAnsi="Times New Roman" w:cs="Times New Roman"/>
        </w:rPr>
        <w:t xml:space="preserve">can be deployed without posing undue risk to public health and safety. </w:t>
      </w:r>
      <w:r w:rsidRPr="0004538D" w:rsidR="00C72016">
        <w:rPr>
          <w:rFonts w:ascii="Times New Roman" w:hAnsi="Times New Roman" w:cs="Times New Roman"/>
        </w:rPr>
        <w:t>The identification of initiating events and event sequences can be performed</w:t>
      </w:r>
      <w:r w:rsidRPr="0004538D" w:rsidR="00836C50">
        <w:rPr>
          <w:rFonts w:ascii="Times New Roman" w:hAnsi="Times New Roman" w:cs="Times New Roman"/>
        </w:rPr>
        <w:t xml:space="preserve"> </w:t>
      </w:r>
      <w:r w:rsidRPr="0004538D" w:rsidR="00C72016">
        <w:rPr>
          <w:rFonts w:ascii="Times New Roman" w:hAnsi="Times New Roman" w:cs="Times New Roman"/>
        </w:rPr>
        <w:t>a</w:t>
      </w:r>
      <w:r w:rsidRPr="0004538D" w:rsidR="00072711">
        <w:rPr>
          <w:rFonts w:ascii="Times New Roman" w:hAnsi="Times New Roman" w:cs="Times New Roman"/>
        </w:rPr>
        <w:t>s the design evolves through the conceptual phases.</w:t>
      </w:r>
      <w:r w:rsidRPr="0004538D" w:rsidR="001D330C">
        <w:rPr>
          <w:rFonts w:ascii="Times New Roman" w:hAnsi="Times New Roman" w:cs="Times New Roman"/>
        </w:rPr>
        <w:t xml:space="preserve"> </w:t>
      </w:r>
      <w:r w:rsidRPr="0004538D" w:rsidR="006D7204">
        <w:rPr>
          <w:rFonts w:ascii="Times New Roman" w:hAnsi="Times New Roman" w:cs="Times New Roman"/>
        </w:rPr>
        <w:t>As</w:t>
      </w:r>
      <w:r w:rsidRPr="0004538D" w:rsidR="00836C50">
        <w:rPr>
          <w:rFonts w:ascii="Times New Roman" w:hAnsi="Times New Roman" w:cs="Times New Roman"/>
        </w:rPr>
        <w:t xml:space="preserve"> the design matures, the licensee or applicant </w:t>
      </w:r>
      <w:r w:rsidR="0037612B">
        <w:rPr>
          <w:rFonts w:ascii="Times New Roman" w:hAnsi="Times New Roman" w:cs="Times New Roman"/>
        </w:rPr>
        <w:t>should</w:t>
      </w:r>
      <w:r w:rsidRPr="0004538D" w:rsidR="002550F5">
        <w:rPr>
          <w:rFonts w:ascii="Times New Roman" w:hAnsi="Times New Roman" w:cs="Times New Roman"/>
        </w:rPr>
        <w:t xml:space="preserve"> consider the licensing framework </w:t>
      </w:r>
      <w:r w:rsidRPr="0004538D" w:rsidR="00D82E79">
        <w:rPr>
          <w:rFonts w:ascii="Times New Roman" w:hAnsi="Times New Roman" w:cs="Times New Roman"/>
        </w:rPr>
        <w:t xml:space="preserve">it is planning </w:t>
      </w:r>
      <w:r w:rsidRPr="0004538D" w:rsidR="00892C3C">
        <w:rPr>
          <w:rFonts w:ascii="Times New Roman" w:hAnsi="Times New Roman" w:cs="Times New Roman"/>
        </w:rPr>
        <w:t>to use</w:t>
      </w:r>
      <w:r w:rsidRPr="0004538D" w:rsidR="00D82E79">
        <w:rPr>
          <w:rFonts w:ascii="Times New Roman" w:hAnsi="Times New Roman" w:cs="Times New Roman"/>
        </w:rPr>
        <w:t xml:space="preserve"> for regulatory </w:t>
      </w:r>
      <w:r w:rsidRPr="0004538D" w:rsidR="000F537A">
        <w:rPr>
          <w:rFonts w:ascii="Times New Roman" w:hAnsi="Times New Roman" w:cs="Times New Roman"/>
        </w:rPr>
        <w:t>review</w:t>
      </w:r>
      <w:r w:rsidRPr="0004538D" w:rsidR="00892C3C">
        <w:rPr>
          <w:rFonts w:ascii="Times New Roman" w:hAnsi="Times New Roman" w:cs="Times New Roman"/>
        </w:rPr>
        <w:t xml:space="preserve"> and </w:t>
      </w:r>
      <w:r w:rsidRPr="0004538D" w:rsidR="00276226">
        <w:rPr>
          <w:rFonts w:ascii="Times New Roman" w:hAnsi="Times New Roman" w:cs="Times New Roman"/>
        </w:rPr>
        <w:t>approval</w:t>
      </w:r>
      <w:r w:rsidRPr="0004538D" w:rsidR="00D05C4D">
        <w:rPr>
          <w:rFonts w:ascii="Times New Roman" w:hAnsi="Times New Roman" w:cs="Times New Roman"/>
        </w:rPr>
        <w:t>,</w:t>
      </w:r>
      <w:r w:rsidRPr="0004538D" w:rsidR="00276226">
        <w:rPr>
          <w:rFonts w:ascii="Times New Roman" w:hAnsi="Times New Roman" w:cs="Times New Roman"/>
        </w:rPr>
        <w:t xml:space="preserve"> as this</w:t>
      </w:r>
      <w:r w:rsidRPr="0004538D" w:rsidR="00CD6280">
        <w:rPr>
          <w:rFonts w:ascii="Times New Roman" w:hAnsi="Times New Roman" w:cs="Times New Roman"/>
        </w:rPr>
        <w:t xml:space="preserve"> decision</w:t>
      </w:r>
      <w:r w:rsidRPr="0004538D" w:rsidR="00276226">
        <w:rPr>
          <w:rFonts w:ascii="Times New Roman" w:hAnsi="Times New Roman" w:cs="Times New Roman"/>
        </w:rPr>
        <w:t xml:space="preserve"> </w:t>
      </w:r>
      <w:r w:rsidRPr="0004538D" w:rsidR="00B1474D">
        <w:rPr>
          <w:rFonts w:ascii="Times New Roman" w:hAnsi="Times New Roman" w:cs="Times New Roman"/>
        </w:rPr>
        <w:t>influences the technology</w:t>
      </w:r>
      <w:r w:rsidR="009718DD">
        <w:rPr>
          <w:rFonts w:ascii="Times New Roman" w:hAnsi="Times New Roman" w:cs="Times New Roman"/>
        </w:rPr>
        <w:noBreakHyphen/>
      </w:r>
      <w:r w:rsidRPr="0004538D" w:rsidR="00B1474D">
        <w:rPr>
          <w:rFonts w:ascii="Times New Roman" w:hAnsi="Times New Roman" w:cs="Times New Roman"/>
        </w:rPr>
        <w:t>inclusive process for identifying licensing events</w:t>
      </w:r>
      <w:r w:rsidRPr="00E33740" w:rsidR="00B1474D">
        <w:rPr>
          <w:rFonts w:ascii="Times New Roman" w:hAnsi="Times New Roman" w:cs="Times New Roman"/>
        </w:rPr>
        <w:t xml:space="preserve">. Specifically, the licensing framework determines the appropriate licensing event categories, whether </w:t>
      </w:r>
      <w:r w:rsidR="00E80458">
        <w:rPr>
          <w:rFonts w:ascii="Times New Roman" w:hAnsi="Times New Roman" w:cs="Times New Roman"/>
        </w:rPr>
        <w:t>development of</w:t>
      </w:r>
      <w:r w:rsidRPr="00E33740" w:rsidR="00B1474D">
        <w:rPr>
          <w:rFonts w:ascii="Times New Roman" w:hAnsi="Times New Roman" w:cs="Times New Roman"/>
        </w:rPr>
        <w:t xml:space="preserve"> a </w:t>
      </w:r>
      <w:r w:rsidR="007300DF">
        <w:rPr>
          <w:rFonts w:ascii="Times New Roman" w:hAnsi="Times New Roman" w:cs="Times New Roman"/>
        </w:rPr>
        <w:t>risk assessment (e.g.,</w:t>
      </w:r>
      <w:r w:rsidR="0050743A">
        <w:rPr>
          <w:rFonts w:ascii="Times New Roman" w:hAnsi="Times New Roman" w:cs="Times New Roman"/>
        </w:rPr>
        <w:t xml:space="preserve"> </w:t>
      </w:r>
      <w:r w:rsidR="002C7161">
        <w:rPr>
          <w:rFonts w:ascii="Times New Roman" w:hAnsi="Times New Roman" w:cs="Times New Roman"/>
        </w:rPr>
        <w:t xml:space="preserve">a </w:t>
      </w:r>
      <w:r w:rsidRPr="00E33740" w:rsidR="00B1474D">
        <w:rPr>
          <w:rFonts w:ascii="Times New Roman" w:hAnsi="Times New Roman" w:cs="Times New Roman"/>
        </w:rPr>
        <w:t>PRA</w:t>
      </w:r>
      <w:r w:rsidR="0050743A">
        <w:rPr>
          <w:rFonts w:ascii="Times New Roman" w:hAnsi="Times New Roman" w:cs="Times New Roman"/>
        </w:rPr>
        <w:t>, other systemati</w:t>
      </w:r>
      <w:r w:rsidR="002B0661">
        <w:rPr>
          <w:rFonts w:ascii="Times New Roman" w:hAnsi="Times New Roman" w:cs="Times New Roman"/>
        </w:rPr>
        <w:t>c</w:t>
      </w:r>
      <w:r w:rsidR="0050743A">
        <w:rPr>
          <w:rFonts w:ascii="Times New Roman" w:hAnsi="Times New Roman" w:cs="Times New Roman"/>
        </w:rPr>
        <w:t xml:space="preserve"> risk evaluation</w:t>
      </w:r>
      <w:r w:rsidR="00B2507B">
        <w:rPr>
          <w:rFonts w:ascii="Times New Roman" w:hAnsi="Times New Roman" w:cs="Times New Roman"/>
        </w:rPr>
        <w:t>s</w:t>
      </w:r>
      <w:r w:rsidR="0050743A">
        <w:rPr>
          <w:rFonts w:ascii="Times New Roman" w:hAnsi="Times New Roman" w:cs="Times New Roman"/>
        </w:rPr>
        <w:t>, or a combination thereof)</w:t>
      </w:r>
      <w:r w:rsidRPr="00E33740" w:rsidR="00B1474D">
        <w:rPr>
          <w:rFonts w:ascii="Times New Roman" w:hAnsi="Times New Roman" w:cs="Times New Roman"/>
        </w:rPr>
        <w:t xml:space="preserve"> will be </w:t>
      </w:r>
      <w:r w:rsidR="00E80458">
        <w:rPr>
          <w:rFonts w:ascii="Times New Roman" w:hAnsi="Times New Roman" w:cs="Times New Roman"/>
        </w:rPr>
        <w:t>r</w:t>
      </w:r>
      <w:r w:rsidRPr="00E33740" w:rsidR="00B1474D">
        <w:rPr>
          <w:rFonts w:ascii="Times New Roman" w:hAnsi="Times New Roman" w:cs="Times New Roman"/>
        </w:rPr>
        <w:t>e</w:t>
      </w:r>
      <w:r w:rsidR="00E80458">
        <w:rPr>
          <w:rFonts w:ascii="Times New Roman" w:hAnsi="Times New Roman" w:cs="Times New Roman"/>
        </w:rPr>
        <w:t>quir</w:t>
      </w:r>
      <w:r w:rsidRPr="00E33740" w:rsidR="00B1474D">
        <w:rPr>
          <w:rFonts w:ascii="Times New Roman" w:hAnsi="Times New Roman" w:cs="Times New Roman"/>
        </w:rPr>
        <w:t xml:space="preserve">ed, and how </w:t>
      </w:r>
      <w:r w:rsidR="00972E0B">
        <w:rPr>
          <w:rFonts w:ascii="Times New Roman" w:hAnsi="Times New Roman" w:cs="Times New Roman"/>
        </w:rPr>
        <w:t xml:space="preserve">the </w:t>
      </w:r>
      <w:r w:rsidRPr="00E33740" w:rsidR="00B1474D">
        <w:rPr>
          <w:rFonts w:ascii="Times New Roman" w:hAnsi="Times New Roman" w:cs="Times New Roman"/>
        </w:rPr>
        <w:t xml:space="preserve">risk insights from the </w:t>
      </w:r>
      <w:r w:rsidR="00931100">
        <w:rPr>
          <w:rFonts w:ascii="Times New Roman" w:hAnsi="Times New Roman" w:cs="Times New Roman"/>
        </w:rPr>
        <w:t>risk assessment</w:t>
      </w:r>
      <w:r w:rsidRPr="00E33740" w:rsidR="00931100">
        <w:rPr>
          <w:rFonts w:ascii="Times New Roman" w:hAnsi="Times New Roman" w:cs="Times New Roman"/>
        </w:rPr>
        <w:t xml:space="preserve"> </w:t>
      </w:r>
      <w:r w:rsidRPr="00E33740" w:rsidR="00B1474D">
        <w:rPr>
          <w:rFonts w:ascii="Times New Roman" w:hAnsi="Times New Roman" w:cs="Times New Roman"/>
        </w:rPr>
        <w:t xml:space="preserve">will be used. </w:t>
      </w:r>
      <w:r w:rsidRPr="00E33740" w:rsidR="00F14BE5">
        <w:rPr>
          <w:rFonts w:ascii="Times New Roman" w:hAnsi="Times New Roman" w:cs="Times New Roman"/>
        </w:rPr>
        <w:t xml:space="preserve">The choice of </w:t>
      </w:r>
      <w:r w:rsidRPr="00E33740" w:rsidR="00F14BE5">
        <w:rPr>
          <w:rFonts w:ascii="Times New Roman" w:hAnsi="Times New Roman" w:cs="Times New Roman"/>
        </w:rPr>
        <w:t>licensing framework is a complex decision made by applicants</w:t>
      </w:r>
      <w:r w:rsidR="00422D68">
        <w:rPr>
          <w:rFonts w:ascii="Times New Roman" w:hAnsi="Times New Roman" w:cs="Times New Roman"/>
        </w:rPr>
        <w:t>.</w:t>
      </w:r>
      <w:r w:rsidRPr="00E33740" w:rsidR="00F14BE5">
        <w:rPr>
          <w:rFonts w:ascii="Times New Roman" w:hAnsi="Times New Roman" w:cs="Times New Roman"/>
        </w:rPr>
        <w:t xml:space="preserve"> </w:t>
      </w:r>
      <w:r w:rsidR="00422D68">
        <w:rPr>
          <w:rFonts w:ascii="Times New Roman" w:hAnsi="Times New Roman" w:cs="Times New Roman"/>
        </w:rPr>
        <w:t>A</w:t>
      </w:r>
      <w:r w:rsidRPr="00E33740" w:rsidR="00F14BE5">
        <w:rPr>
          <w:rFonts w:ascii="Times New Roman" w:hAnsi="Times New Roman" w:cs="Times New Roman"/>
        </w:rPr>
        <w:t xml:space="preserve">ccordingly, this </w:t>
      </w:r>
      <w:r w:rsidRPr="00E33740" w:rsidR="00F84FC8">
        <w:rPr>
          <w:rFonts w:ascii="Times New Roman" w:hAnsi="Times New Roman" w:cs="Times New Roman"/>
        </w:rPr>
        <w:t>RG</w:t>
      </w:r>
      <w:r w:rsidRPr="00E33740" w:rsidR="00F14BE5">
        <w:rPr>
          <w:rFonts w:ascii="Times New Roman" w:hAnsi="Times New Roman" w:cs="Times New Roman"/>
        </w:rPr>
        <w:t xml:space="preserve"> does not provide any associated guidance.  </w:t>
      </w:r>
    </w:p>
    <w:p w:rsidR="00B15AF8" w:rsidP="002F3C90" w14:paraId="2DFF5843" w14:textId="77777777">
      <w:pPr>
        <w:spacing w:after="0" w:line="240" w:lineRule="auto"/>
        <w:rPr>
          <w:rFonts w:ascii="Times New Roman" w:hAnsi="Times New Roman" w:cs="Times New Roman"/>
        </w:rPr>
      </w:pPr>
    </w:p>
    <w:p w:rsidR="005B66E5" w:rsidP="00984EEB" w14:paraId="40A6812C" w14:textId="77777777">
      <w:pPr>
        <w:autoSpaceDE w:val="0"/>
        <w:autoSpaceDN w:val="0"/>
        <w:adjustRightInd w:val="0"/>
        <w:spacing w:after="0" w:line="240" w:lineRule="auto"/>
        <w:rPr>
          <w:rFonts w:ascii="Times New Roman" w:hAnsi="Times New Roman" w:cs="Times New Roman"/>
          <w:b/>
          <w:bCs/>
        </w:rPr>
      </w:pPr>
    </w:p>
    <w:p w:rsidR="00687CDA" w:rsidRPr="00714CAC" w:rsidP="002F3C90" w14:paraId="5EE495FF" w14:textId="0E177349">
      <w:pPr>
        <w:spacing w:line="240" w:lineRule="auto"/>
        <w:rPr>
          <w:rFonts w:ascii="Times New Roman" w:hAnsi="Times New Roman" w:cs="Times New Roman"/>
          <w:b/>
          <w:bCs/>
        </w:rPr>
      </w:pPr>
      <w:r>
        <w:rPr>
          <w:rFonts w:ascii="Times New Roman" w:hAnsi="Times New Roman" w:cs="Times New Roman"/>
          <w:b/>
          <w:bCs/>
          <w:noProof/>
        </w:rPr>
        <w:drawing>
          <wp:inline distT="0" distB="0" distL="0" distR="0">
            <wp:extent cx="5836443" cy="7781925"/>
            <wp:effectExtent l="0" t="0" r="0" b="0"/>
            <wp:docPr id="134372635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26354" name="Picture 2" descr="Diagram&#10;&#10;AI-generated content may be incorrect."/>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845271" cy="7793696"/>
                    </a:xfrm>
                    <a:prstGeom prst="rect">
                      <a:avLst/>
                    </a:prstGeom>
                  </pic:spPr>
                </pic:pic>
              </a:graphicData>
            </a:graphic>
          </wp:inline>
        </w:drawing>
      </w:r>
    </w:p>
    <w:p w:rsidR="005334A3" w:rsidRPr="007C79DA" w:rsidP="002F3C90" w14:paraId="78336F8F" w14:textId="43B7AFD2">
      <w:pPr>
        <w:keepNext/>
        <w:keepLines/>
        <w:spacing w:after="0" w:line="240" w:lineRule="auto"/>
        <w:jc w:val="center"/>
        <w:rPr>
          <w:rFonts w:ascii="Times New Roman" w:hAnsi="Times New Roman"/>
          <w:b/>
        </w:rPr>
      </w:pPr>
    </w:p>
    <w:p w:rsidR="00D9188C" w:rsidRPr="002C5098" w:rsidP="002F3C90" w14:paraId="411900C8" w14:textId="73C52D6E">
      <w:pPr>
        <w:spacing w:after="0" w:line="240" w:lineRule="auto"/>
        <w:jc w:val="center"/>
        <w:rPr>
          <w:rFonts w:ascii="Times New Roman" w:hAnsi="Times New Roman"/>
        </w:rPr>
      </w:pPr>
      <w:r w:rsidRPr="009C0F72">
        <w:rPr>
          <w:rFonts w:ascii="Times New Roman" w:hAnsi="Times New Roman" w:cs="Times New Roman"/>
          <w:b/>
          <w:bCs/>
        </w:rPr>
        <w:t xml:space="preserve">Figure </w:t>
      </w:r>
      <w:r w:rsidRPr="009C0F72">
        <w:rPr>
          <w:rFonts w:ascii="Times New Roman" w:hAnsi="Times New Roman" w:cs="Times New Roman"/>
          <w:b/>
          <w:bCs/>
        </w:rPr>
        <w:t>1</w:t>
      </w:r>
      <w:r>
        <w:rPr>
          <w:rFonts w:ascii="Times New Roman" w:hAnsi="Times New Roman" w:cs="Times New Roman"/>
          <w:b/>
          <w:bCs/>
        </w:rPr>
        <w:t xml:space="preserve"> </w:t>
      </w:r>
      <w:r w:rsidRPr="009C0F72">
        <w:rPr>
          <w:rFonts w:ascii="Times New Roman" w:hAnsi="Times New Roman" w:cs="Times New Roman"/>
          <w:b/>
          <w:bCs/>
        </w:rPr>
        <w:t xml:space="preserve"> Technology</w:t>
      </w:r>
      <w:r w:rsidRPr="009C0F72">
        <w:rPr>
          <w:rFonts w:ascii="Times New Roman" w:hAnsi="Times New Roman" w:cs="Times New Roman"/>
          <w:b/>
          <w:bCs/>
        </w:rPr>
        <w:t>-</w:t>
      </w:r>
      <w:r>
        <w:rPr>
          <w:rFonts w:ascii="Times New Roman" w:hAnsi="Times New Roman" w:cs="Times New Roman"/>
          <w:b/>
          <w:bCs/>
        </w:rPr>
        <w:t>i</w:t>
      </w:r>
      <w:r w:rsidRPr="009C0F72">
        <w:rPr>
          <w:rFonts w:ascii="Times New Roman" w:hAnsi="Times New Roman" w:cs="Times New Roman"/>
          <w:b/>
          <w:bCs/>
        </w:rPr>
        <w:t xml:space="preserve">nclusive </w:t>
      </w:r>
      <w:r>
        <w:rPr>
          <w:rFonts w:ascii="Times New Roman" w:hAnsi="Times New Roman" w:cs="Times New Roman"/>
          <w:b/>
          <w:bCs/>
        </w:rPr>
        <w:t>i</w:t>
      </w:r>
      <w:r w:rsidRPr="009C0F72">
        <w:rPr>
          <w:rFonts w:ascii="Times New Roman" w:hAnsi="Times New Roman" w:cs="Times New Roman"/>
          <w:b/>
          <w:bCs/>
        </w:rPr>
        <w:t xml:space="preserve">dentification of </w:t>
      </w:r>
      <w:r>
        <w:rPr>
          <w:rFonts w:ascii="Times New Roman" w:hAnsi="Times New Roman" w:cs="Times New Roman"/>
          <w:b/>
          <w:bCs/>
        </w:rPr>
        <w:t>l</w:t>
      </w:r>
      <w:r w:rsidRPr="009C0F72">
        <w:rPr>
          <w:rFonts w:ascii="Times New Roman" w:hAnsi="Times New Roman" w:cs="Times New Roman"/>
          <w:b/>
          <w:bCs/>
        </w:rPr>
        <w:t xml:space="preserve">icensing </w:t>
      </w:r>
      <w:r>
        <w:rPr>
          <w:rFonts w:ascii="Times New Roman" w:hAnsi="Times New Roman" w:cs="Times New Roman"/>
          <w:b/>
          <w:bCs/>
        </w:rPr>
        <w:t>e</w:t>
      </w:r>
      <w:r w:rsidRPr="009C0F72">
        <w:rPr>
          <w:rFonts w:ascii="Times New Roman" w:hAnsi="Times New Roman" w:cs="Times New Roman"/>
          <w:b/>
          <w:bCs/>
        </w:rPr>
        <w:t>vents (</w:t>
      </w:r>
      <w:r>
        <w:rPr>
          <w:rFonts w:ascii="Times New Roman" w:hAnsi="Times New Roman" w:cs="Times New Roman"/>
          <w:b/>
          <w:bCs/>
        </w:rPr>
        <w:t>s</w:t>
      </w:r>
      <w:r w:rsidRPr="009C0F72">
        <w:rPr>
          <w:rFonts w:ascii="Times New Roman" w:hAnsi="Times New Roman" w:cs="Times New Roman"/>
          <w:b/>
          <w:bCs/>
        </w:rPr>
        <w:t>heet 1 of 3</w:t>
      </w:r>
      <w:r>
        <w:rPr>
          <w:rFonts w:ascii="Times New Roman" w:hAnsi="Times New Roman" w:cs="Times New Roman"/>
          <w:b/>
          <w:bCs/>
        </w:rPr>
        <w:t>)</w:t>
      </w:r>
    </w:p>
    <w:p w:rsidR="005334A3" w:rsidP="002F3C90" w14:paraId="25B721A6" w14:textId="4082995E">
      <w:pPr>
        <w:spacing w:after="0" w:line="240" w:lineRule="auto"/>
        <w:rPr>
          <w:rFonts w:ascii="Times New Roman" w:hAnsi="Times New Roman" w:cs="Times New Roman"/>
          <w:b/>
          <w:bCs/>
        </w:rPr>
      </w:pPr>
      <w:r>
        <w:rPr>
          <w:rFonts w:ascii="Times New Roman" w:hAnsi="Times New Roman" w:cs="Times New Roman"/>
          <w:b/>
          <w:bCs/>
          <w:noProof/>
        </w:rPr>
        <w:drawing>
          <wp:inline distT="0" distB="0" distL="0" distR="0">
            <wp:extent cx="5943600" cy="7924800"/>
            <wp:effectExtent l="0" t="0" r="0" b="0"/>
            <wp:docPr id="1802219678" name="Picture 3"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19678" name="Picture 3" descr="Diagram, schematic&#10;&#10;AI-generated content may be incorrect."/>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5334A3" w:rsidP="002F3C90" w14:paraId="6BA38B23" w14:textId="65966A9E">
      <w:pPr>
        <w:spacing w:after="0" w:line="240" w:lineRule="auto"/>
        <w:jc w:val="center"/>
        <w:rPr>
          <w:rFonts w:ascii="Times New Roman" w:hAnsi="Times New Roman" w:cs="Times New Roman"/>
          <w:b/>
          <w:bCs/>
        </w:rPr>
      </w:pPr>
      <w:r w:rsidRPr="00687CDA">
        <w:rPr>
          <w:rFonts w:ascii="Times New Roman" w:hAnsi="Times New Roman" w:cs="Times New Roman"/>
          <w:b/>
          <w:bCs/>
        </w:rPr>
        <w:t xml:space="preserve">Figure </w:t>
      </w:r>
      <w:r w:rsidRPr="00687CDA">
        <w:rPr>
          <w:rFonts w:ascii="Times New Roman" w:hAnsi="Times New Roman" w:cs="Times New Roman"/>
          <w:b/>
          <w:bCs/>
        </w:rPr>
        <w:t>1</w:t>
      </w:r>
      <w:r>
        <w:rPr>
          <w:rFonts w:ascii="Times New Roman" w:hAnsi="Times New Roman" w:cs="Times New Roman"/>
          <w:b/>
          <w:bCs/>
        </w:rPr>
        <w:t xml:space="preserve">  </w:t>
      </w:r>
      <w:r w:rsidRPr="00687CDA">
        <w:rPr>
          <w:rFonts w:ascii="Times New Roman" w:hAnsi="Times New Roman" w:cs="Times New Roman"/>
          <w:b/>
          <w:bCs/>
        </w:rPr>
        <w:t>Technology</w:t>
      </w:r>
      <w:r w:rsidRPr="00687CDA">
        <w:rPr>
          <w:rFonts w:ascii="Times New Roman" w:hAnsi="Times New Roman" w:cs="Times New Roman"/>
          <w:b/>
          <w:bCs/>
        </w:rPr>
        <w:t>-</w:t>
      </w:r>
      <w:r>
        <w:rPr>
          <w:rFonts w:ascii="Times New Roman" w:hAnsi="Times New Roman" w:cs="Times New Roman"/>
          <w:b/>
          <w:bCs/>
        </w:rPr>
        <w:t>i</w:t>
      </w:r>
      <w:r w:rsidRPr="00687CDA">
        <w:rPr>
          <w:rFonts w:ascii="Times New Roman" w:hAnsi="Times New Roman" w:cs="Times New Roman"/>
          <w:b/>
          <w:bCs/>
        </w:rPr>
        <w:t xml:space="preserve">nclusive </w:t>
      </w:r>
      <w:r>
        <w:rPr>
          <w:rFonts w:ascii="Times New Roman" w:hAnsi="Times New Roman" w:cs="Times New Roman"/>
          <w:b/>
          <w:bCs/>
        </w:rPr>
        <w:t>i</w:t>
      </w:r>
      <w:r w:rsidRPr="00687CDA">
        <w:rPr>
          <w:rFonts w:ascii="Times New Roman" w:hAnsi="Times New Roman" w:cs="Times New Roman"/>
          <w:b/>
          <w:bCs/>
        </w:rPr>
        <w:t xml:space="preserve">dentification of </w:t>
      </w:r>
      <w:r>
        <w:rPr>
          <w:rFonts w:ascii="Times New Roman" w:hAnsi="Times New Roman" w:cs="Times New Roman"/>
          <w:b/>
          <w:bCs/>
        </w:rPr>
        <w:t>l</w:t>
      </w:r>
      <w:r w:rsidRPr="00687CDA">
        <w:rPr>
          <w:rFonts w:ascii="Times New Roman" w:hAnsi="Times New Roman" w:cs="Times New Roman"/>
          <w:b/>
          <w:bCs/>
        </w:rPr>
        <w:t xml:space="preserve">icensing </w:t>
      </w:r>
      <w:r>
        <w:rPr>
          <w:rFonts w:ascii="Times New Roman" w:hAnsi="Times New Roman" w:cs="Times New Roman"/>
          <w:b/>
          <w:bCs/>
        </w:rPr>
        <w:t>e</w:t>
      </w:r>
      <w:r w:rsidRPr="00687CDA">
        <w:rPr>
          <w:rFonts w:ascii="Times New Roman" w:hAnsi="Times New Roman" w:cs="Times New Roman"/>
          <w:b/>
          <w:bCs/>
        </w:rPr>
        <w:t>vents (</w:t>
      </w:r>
      <w:r>
        <w:rPr>
          <w:rFonts w:ascii="Times New Roman" w:hAnsi="Times New Roman" w:cs="Times New Roman"/>
          <w:b/>
          <w:bCs/>
        </w:rPr>
        <w:t>s</w:t>
      </w:r>
      <w:r w:rsidRPr="00687CDA">
        <w:rPr>
          <w:rFonts w:ascii="Times New Roman" w:hAnsi="Times New Roman" w:cs="Times New Roman"/>
          <w:b/>
          <w:bCs/>
        </w:rPr>
        <w:t>heet 2 of 3</w:t>
      </w:r>
      <w:r>
        <w:rPr>
          <w:rFonts w:ascii="Times New Roman" w:hAnsi="Times New Roman" w:cs="Times New Roman"/>
          <w:b/>
          <w:bCs/>
        </w:rPr>
        <w:t>)</w:t>
      </w:r>
    </w:p>
    <w:p w:rsidR="005334A3" w:rsidP="002F3C90" w14:paraId="3CB02639" w14:textId="386184EB">
      <w:pPr>
        <w:spacing w:after="0"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extent cx="5943600" cy="7924800"/>
            <wp:effectExtent l="0" t="0" r="0" b="0"/>
            <wp:docPr id="178240175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01758" name="Picture 4" descr="Diagram&#10;&#10;AI-generated content may be incorrec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952B54" w:rsidP="002F3C90" w14:paraId="5D95ADF7" w14:textId="6C6AC037">
      <w:pPr>
        <w:spacing w:after="0" w:line="240" w:lineRule="auto"/>
        <w:jc w:val="center"/>
        <w:rPr>
          <w:rFonts w:ascii="Times New Roman" w:hAnsi="Times New Roman" w:cs="Times New Roman"/>
          <w:b/>
          <w:bCs/>
        </w:rPr>
      </w:pPr>
      <w:r w:rsidRPr="00687CDA">
        <w:rPr>
          <w:rFonts w:ascii="Times New Roman" w:hAnsi="Times New Roman" w:cs="Times New Roman"/>
          <w:b/>
          <w:bCs/>
        </w:rPr>
        <w:t xml:space="preserve">Figure </w:t>
      </w:r>
      <w:r w:rsidRPr="00687CDA">
        <w:rPr>
          <w:rFonts w:ascii="Times New Roman" w:hAnsi="Times New Roman" w:cs="Times New Roman"/>
          <w:b/>
          <w:bCs/>
        </w:rPr>
        <w:t>1</w:t>
      </w:r>
      <w:r>
        <w:rPr>
          <w:rFonts w:ascii="Times New Roman" w:hAnsi="Times New Roman" w:cs="Times New Roman"/>
          <w:b/>
          <w:bCs/>
        </w:rPr>
        <w:t xml:space="preserve"> </w:t>
      </w:r>
      <w:r w:rsidRPr="00687CDA">
        <w:rPr>
          <w:rFonts w:ascii="Times New Roman" w:hAnsi="Times New Roman" w:cs="Times New Roman"/>
          <w:b/>
          <w:bCs/>
        </w:rPr>
        <w:t xml:space="preserve"> Technology</w:t>
      </w:r>
      <w:r w:rsidRPr="00687CDA">
        <w:rPr>
          <w:rFonts w:ascii="Times New Roman" w:hAnsi="Times New Roman" w:cs="Times New Roman"/>
          <w:b/>
          <w:bCs/>
        </w:rPr>
        <w:t>-</w:t>
      </w:r>
      <w:r>
        <w:rPr>
          <w:rFonts w:ascii="Times New Roman" w:hAnsi="Times New Roman" w:cs="Times New Roman"/>
          <w:b/>
          <w:bCs/>
        </w:rPr>
        <w:t>i</w:t>
      </w:r>
      <w:r w:rsidRPr="00687CDA">
        <w:rPr>
          <w:rFonts w:ascii="Times New Roman" w:hAnsi="Times New Roman" w:cs="Times New Roman"/>
          <w:b/>
          <w:bCs/>
        </w:rPr>
        <w:t xml:space="preserve">nclusive </w:t>
      </w:r>
      <w:r>
        <w:rPr>
          <w:rFonts w:ascii="Times New Roman" w:hAnsi="Times New Roman" w:cs="Times New Roman"/>
          <w:b/>
          <w:bCs/>
        </w:rPr>
        <w:t>i</w:t>
      </w:r>
      <w:r w:rsidRPr="00687CDA">
        <w:rPr>
          <w:rFonts w:ascii="Times New Roman" w:hAnsi="Times New Roman" w:cs="Times New Roman"/>
          <w:b/>
          <w:bCs/>
        </w:rPr>
        <w:t xml:space="preserve">dentification of </w:t>
      </w:r>
      <w:r>
        <w:rPr>
          <w:rFonts w:ascii="Times New Roman" w:hAnsi="Times New Roman" w:cs="Times New Roman"/>
          <w:b/>
          <w:bCs/>
        </w:rPr>
        <w:t>l</w:t>
      </w:r>
      <w:r w:rsidRPr="00687CDA">
        <w:rPr>
          <w:rFonts w:ascii="Times New Roman" w:hAnsi="Times New Roman" w:cs="Times New Roman"/>
          <w:b/>
          <w:bCs/>
        </w:rPr>
        <w:t xml:space="preserve">icensing </w:t>
      </w:r>
      <w:r>
        <w:rPr>
          <w:rFonts w:ascii="Times New Roman" w:hAnsi="Times New Roman" w:cs="Times New Roman"/>
          <w:b/>
          <w:bCs/>
        </w:rPr>
        <w:t>e</w:t>
      </w:r>
      <w:r w:rsidRPr="00687CDA">
        <w:rPr>
          <w:rFonts w:ascii="Times New Roman" w:hAnsi="Times New Roman" w:cs="Times New Roman"/>
          <w:b/>
          <w:bCs/>
        </w:rPr>
        <w:t>vents (</w:t>
      </w:r>
      <w:r>
        <w:rPr>
          <w:rFonts w:ascii="Times New Roman" w:hAnsi="Times New Roman" w:cs="Times New Roman"/>
          <w:b/>
          <w:bCs/>
        </w:rPr>
        <w:t>s</w:t>
      </w:r>
      <w:r w:rsidRPr="00687CDA">
        <w:rPr>
          <w:rFonts w:ascii="Times New Roman" w:hAnsi="Times New Roman" w:cs="Times New Roman"/>
          <w:b/>
          <w:bCs/>
        </w:rPr>
        <w:t>heet 3 of 3)</w:t>
      </w:r>
    </w:p>
    <w:p w:rsidR="005C651E" w:rsidRPr="00C204FC" w:rsidP="002F3C90" w14:paraId="4F5B928A" w14:textId="3B473DA7">
      <w:pPr>
        <w:pStyle w:val="Heading2"/>
        <w:spacing w:line="240" w:lineRule="auto"/>
        <w:ind w:left="0" w:firstLine="0"/>
      </w:pPr>
      <w:r w:rsidRPr="00C204FC">
        <w:t xml:space="preserve">Setting </w:t>
      </w:r>
      <w:r w:rsidRPr="00C204FC">
        <w:t>U</w:t>
      </w:r>
      <w:r w:rsidRPr="00C204FC">
        <w:t>p</w:t>
      </w:r>
      <w:r w:rsidRPr="00C204FC">
        <w:t xml:space="preserve"> the Project</w:t>
      </w:r>
      <w:r w:rsidRPr="00C204FC">
        <w:t xml:space="preserve"> </w:t>
      </w:r>
    </w:p>
    <w:p w:rsidR="000E5972" w:rsidP="002F3C90" w14:paraId="60708F8B" w14:textId="77777777">
      <w:pPr>
        <w:spacing w:after="0" w:line="240" w:lineRule="auto"/>
        <w:rPr>
          <w:rFonts w:ascii="Times New Roman" w:hAnsi="Times New Roman" w:cs="Times New Roman"/>
        </w:rPr>
      </w:pPr>
    </w:p>
    <w:p w:rsidR="00B01F7C" w:rsidRPr="001448EC" w:rsidP="002F3C90" w14:paraId="28C984EA" w14:textId="02D30FB7">
      <w:pPr>
        <w:pStyle w:val="Heading3"/>
        <w:spacing w:line="240" w:lineRule="auto"/>
      </w:pPr>
      <w:r w:rsidRPr="00C204FC">
        <w:rPr>
          <w:i/>
          <w:iCs/>
        </w:rPr>
        <w:t xml:space="preserve">Assemble </w:t>
      </w:r>
      <w:r w:rsidRPr="00C204FC" w:rsidR="00660C80">
        <w:rPr>
          <w:i/>
          <w:iCs/>
        </w:rPr>
        <w:t>a</w:t>
      </w:r>
      <w:r w:rsidRPr="00C204FC" w:rsidR="001A2CF4">
        <w:rPr>
          <w:i/>
          <w:iCs/>
        </w:rPr>
        <w:t xml:space="preserve"> Multi</w:t>
      </w:r>
      <w:r w:rsidR="00952B54">
        <w:rPr>
          <w:i/>
          <w:iCs/>
        </w:rPr>
        <w:t>d</w:t>
      </w:r>
      <w:r w:rsidRPr="00C204FC" w:rsidR="001A2CF4">
        <w:rPr>
          <w:i/>
          <w:iCs/>
        </w:rPr>
        <w:t xml:space="preserve">isciplinary Team </w:t>
      </w:r>
      <w:r w:rsidRPr="00C204FC" w:rsidR="00F85810">
        <w:rPr>
          <w:i/>
          <w:iCs/>
        </w:rPr>
        <w:t xml:space="preserve">(Box </w:t>
      </w:r>
      <w:r w:rsidRPr="00C204FC" w:rsidR="00660C80">
        <w:rPr>
          <w:i/>
          <w:iCs/>
        </w:rPr>
        <w:t>1</w:t>
      </w:r>
      <w:r w:rsidRPr="00C204FC" w:rsidR="00F85810">
        <w:rPr>
          <w:i/>
          <w:iCs/>
        </w:rPr>
        <w:t>, Principle #5)</w:t>
      </w:r>
    </w:p>
    <w:p w:rsidR="00B04804" w:rsidP="002F3C90" w14:paraId="5B3A5A00" w14:textId="593FA621">
      <w:pPr>
        <w:spacing w:after="0" w:line="240" w:lineRule="auto"/>
        <w:rPr>
          <w:rFonts w:ascii="Times New Roman" w:hAnsi="Times New Roman" w:cs="Times New Roman"/>
        </w:rPr>
      </w:pPr>
    </w:p>
    <w:p w:rsidR="000E5972" w:rsidRPr="00C204FC" w:rsidP="002F3C90" w14:paraId="79D529A2" w14:textId="4C882CCB">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T</w:t>
      </w:r>
      <w:r w:rsidRPr="00C204FC">
        <w:rPr>
          <w:rFonts w:ascii="Times New Roman" w:hAnsi="Times New Roman" w:cs="Times New Roman"/>
        </w:rPr>
        <w:t>o help ensure that (1)</w:t>
      </w:r>
      <w:r w:rsidR="00952B54">
        <w:rPr>
          <w:rFonts w:ascii="Times New Roman" w:hAnsi="Times New Roman" w:cs="Times New Roman"/>
        </w:rPr>
        <w:t> </w:t>
      </w:r>
      <w:r w:rsidRPr="00C204FC">
        <w:rPr>
          <w:rFonts w:ascii="Times New Roman" w:hAnsi="Times New Roman" w:cs="Times New Roman"/>
        </w:rPr>
        <w:t>the identification of licensing events is conducted objectively and without preconceptions or reliance on predefined lists and (2)</w:t>
      </w:r>
      <w:r w:rsidR="00952B54">
        <w:rPr>
          <w:rFonts w:ascii="Times New Roman" w:hAnsi="Times New Roman" w:cs="Times New Roman"/>
        </w:rPr>
        <w:t> </w:t>
      </w:r>
      <w:r w:rsidRPr="00C204FC">
        <w:rPr>
          <w:rFonts w:ascii="Times New Roman" w:hAnsi="Times New Roman" w:cs="Times New Roman"/>
        </w:rPr>
        <w:t xml:space="preserve">the final list of licensing events </w:t>
      </w:r>
      <w:r w:rsidRPr="00C204FC" w:rsidR="00580974">
        <w:rPr>
          <w:rFonts w:ascii="Times New Roman" w:hAnsi="Times New Roman" w:cs="Times New Roman"/>
        </w:rPr>
        <w:t xml:space="preserve">is </w:t>
      </w:r>
      <w:r w:rsidRPr="00C204FC">
        <w:rPr>
          <w:rFonts w:ascii="Times New Roman" w:hAnsi="Times New Roman" w:cs="Times New Roman"/>
        </w:rPr>
        <w:t>comprehensive, a</w:t>
      </w:r>
      <w:r w:rsidRPr="00C204FC" w:rsidR="000A1CC4">
        <w:rPr>
          <w:rFonts w:ascii="Times New Roman" w:hAnsi="Times New Roman" w:cs="Times New Roman"/>
        </w:rPr>
        <w:t xml:space="preserve"> </w:t>
      </w:r>
      <w:r w:rsidRPr="00C204FC">
        <w:rPr>
          <w:rFonts w:ascii="Times New Roman" w:hAnsi="Times New Roman" w:cs="Times New Roman"/>
        </w:rPr>
        <w:t xml:space="preserve">team should be assembled that provides </w:t>
      </w:r>
      <w:r w:rsidRPr="00C204FC" w:rsidR="000A1CC4">
        <w:rPr>
          <w:rFonts w:ascii="Times New Roman" w:hAnsi="Times New Roman" w:cs="Times New Roman"/>
        </w:rPr>
        <w:t>familiarity with</w:t>
      </w:r>
      <w:r w:rsidRPr="00C204FC">
        <w:rPr>
          <w:rFonts w:ascii="Times New Roman" w:hAnsi="Times New Roman" w:cs="Times New Roman"/>
        </w:rPr>
        <w:t xml:space="preserve"> the following </w:t>
      </w:r>
      <w:r w:rsidRPr="00C204FC" w:rsidR="000A1CC4">
        <w:rPr>
          <w:rFonts w:ascii="Times New Roman" w:hAnsi="Times New Roman" w:cs="Times New Roman"/>
        </w:rPr>
        <w:t>disciplines:</w:t>
      </w:r>
    </w:p>
    <w:p w:rsidR="000A1CC4" w:rsidP="002F3C90" w14:paraId="07523D9B" w14:textId="79120AB8">
      <w:pPr>
        <w:spacing w:after="0" w:line="240" w:lineRule="auto"/>
        <w:rPr>
          <w:rFonts w:ascii="Times New Roman" w:hAnsi="Times New Roman" w:cs="Times New Roman"/>
        </w:rPr>
      </w:pPr>
    </w:p>
    <w:p w:rsidR="000A1CC4" w:rsidP="002F3C90" w14:paraId="44322383" w14:textId="5502463D">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l</w:t>
      </w:r>
      <w:r w:rsidRPr="00D444D6">
        <w:rPr>
          <w:rFonts w:ascii="Times New Roman" w:hAnsi="Times New Roman" w:cs="Times New Roman"/>
        </w:rPr>
        <w:t>icensing</w:t>
      </w:r>
      <w:r w:rsidR="008B6BD7">
        <w:rPr>
          <w:rFonts w:ascii="Times New Roman" w:hAnsi="Times New Roman" w:cs="Times New Roman"/>
        </w:rPr>
        <w:t>,</w:t>
      </w:r>
    </w:p>
    <w:p w:rsidR="004B22D9" w:rsidRPr="00D444D6" w:rsidP="002F3C90" w14:paraId="4871FA04" w14:textId="77777777">
      <w:pPr>
        <w:pStyle w:val="ListParagraph"/>
        <w:spacing w:after="0" w:line="240" w:lineRule="auto"/>
        <w:ind w:left="1440"/>
        <w:contextualSpacing w:val="0"/>
        <w:rPr>
          <w:rFonts w:ascii="Times New Roman" w:hAnsi="Times New Roman" w:cs="Times New Roman"/>
        </w:rPr>
      </w:pPr>
    </w:p>
    <w:p w:rsidR="000A1CC4" w:rsidRPr="00D444D6" w:rsidP="002F3C90" w14:paraId="092E14C5" w14:textId="37FF0100">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p</w:t>
      </w:r>
      <w:r w:rsidRPr="00D444D6">
        <w:rPr>
          <w:rFonts w:ascii="Times New Roman" w:hAnsi="Times New Roman" w:cs="Times New Roman"/>
        </w:rPr>
        <w:t>lant design details</w:t>
      </w:r>
      <w:r w:rsidR="008B6BD7">
        <w:rPr>
          <w:rFonts w:ascii="Times New Roman" w:hAnsi="Times New Roman" w:cs="Times New Roman"/>
        </w:rPr>
        <w:t>:</w:t>
      </w:r>
    </w:p>
    <w:p w:rsidR="001448EC" w:rsidRPr="00D444D6" w:rsidP="002F3C90" w14:paraId="57BA78D7" w14:textId="28C2B786">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eactor</w:t>
      </w:r>
      <w:r w:rsidR="008B6BD7">
        <w:rPr>
          <w:rFonts w:ascii="Times New Roman" w:hAnsi="Times New Roman" w:cs="Times New Roman"/>
        </w:rPr>
        <w:t>,</w:t>
      </w:r>
    </w:p>
    <w:p w:rsidR="001448EC" w:rsidRPr="00D444D6" w:rsidP="002F3C90" w14:paraId="75521E8A" w14:textId="60F3274F">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pent fuel</w:t>
      </w:r>
      <w:r w:rsidR="008B6BD7">
        <w:rPr>
          <w:rFonts w:ascii="Times New Roman" w:hAnsi="Times New Roman" w:cs="Times New Roman"/>
        </w:rPr>
        <w:t>,</w:t>
      </w:r>
    </w:p>
    <w:p w:rsidR="001448EC" w:rsidRPr="00D444D6" w:rsidP="002F3C90" w14:paraId="64643E66" w14:textId="27A62820">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tructures</w:t>
      </w:r>
      <w:r w:rsidR="008B6BD7">
        <w:rPr>
          <w:rFonts w:ascii="Times New Roman" w:hAnsi="Times New Roman" w:cs="Times New Roman"/>
        </w:rPr>
        <w:t>,</w:t>
      </w:r>
    </w:p>
    <w:p w:rsidR="001448EC" w:rsidRPr="00D444D6" w:rsidP="002F3C90" w14:paraId="0438EEBA" w14:textId="0CC69D8B">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m</w:t>
      </w:r>
      <w:r w:rsidRPr="00D444D6">
        <w:rPr>
          <w:rFonts w:ascii="Times New Roman" w:hAnsi="Times New Roman" w:cs="Times New Roman"/>
        </w:rPr>
        <w:t>echanical systems</w:t>
      </w:r>
      <w:r w:rsidR="008B6BD7">
        <w:rPr>
          <w:rFonts w:ascii="Times New Roman" w:hAnsi="Times New Roman" w:cs="Times New Roman"/>
        </w:rPr>
        <w:t>,</w:t>
      </w:r>
    </w:p>
    <w:p w:rsidR="001448EC" w:rsidRPr="00D444D6" w:rsidP="002F3C90" w14:paraId="1C86D153" w14:textId="0D5E45AE">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lectrical systems</w:t>
      </w:r>
      <w:r w:rsidR="008B6BD7">
        <w:rPr>
          <w:rFonts w:ascii="Times New Roman" w:hAnsi="Times New Roman" w:cs="Times New Roman"/>
        </w:rPr>
        <w:t>,</w:t>
      </w:r>
    </w:p>
    <w:p w:rsidR="001448EC" w:rsidRPr="00D444D6" w:rsidP="002F3C90" w14:paraId="43E13C8F" w14:textId="55D2DC3D">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i</w:t>
      </w:r>
      <w:r w:rsidRPr="00D444D6">
        <w:rPr>
          <w:rFonts w:ascii="Times New Roman" w:hAnsi="Times New Roman" w:cs="Times New Roman"/>
        </w:rPr>
        <w:t>nstrumentation and control systems</w:t>
      </w:r>
      <w:r w:rsidR="008B6BD7">
        <w:rPr>
          <w:rFonts w:ascii="Times New Roman" w:hAnsi="Times New Roman" w:cs="Times New Roman"/>
        </w:rPr>
        <w:t>, and</w:t>
      </w:r>
    </w:p>
    <w:p w:rsidR="001448EC" w:rsidP="002F3C90" w14:paraId="5FEC79FB" w14:textId="00ABDB1E">
      <w:pPr>
        <w:pStyle w:val="ListParagraph"/>
        <w:numPr>
          <w:ilvl w:val="1"/>
          <w:numId w:val="58"/>
        </w:numPr>
        <w:spacing w:after="0" w:line="240" w:lineRule="auto"/>
        <w:ind w:left="1440" w:hanging="18"/>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iting</w:t>
      </w:r>
      <w:r w:rsidR="008B6BD7">
        <w:rPr>
          <w:rFonts w:ascii="Times New Roman" w:hAnsi="Times New Roman" w:cs="Times New Roman"/>
        </w:rPr>
        <w:t>,</w:t>
      </w:r>
    </w:p>
    <w:p w:rsidR="004B22D9" w:rsidRPr="00D444D6" w:rsidP="002F3C90" w14:paraId="4594913A" w14:textId="77777777">
      <w:pPr>
        <w:pStyle w:val="ListParagraph"/>
        <w:spacing w:after="0" w:line="240" w:lineRule="auto"/>
        <w:ind w:left="1440"/>
        <w:contextualSpacing w:val="0"/>
        <w:rPr>
          <w:rFonts w:ascii="Times New Roman" w:hAnsi="Times New Roman" w:cs="Times New Roman"/>
        </w:rPr>
      </w:pPr>
    </w:p>
    <w:p w:rsidR="000676E6" w:rsidP="002F3C90" w14:paraId="713CA0D7" w14:textId="146A52E3">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c</w:t>
      </w:r>
      <w:r w:rsidRPr="00D444D6">
        <w:rPr>
          <w:rFonts w:ascii="Times New Roman" w:hAnsi="Times New Roman" w:cs="Times New Roman"/>
        </w:rPr>
        <w:t>onstruction</w:t>
      </w:r>
      <w:r w:rsidR="008B6BD7">
        <w:rPr>
          <w:rFonts w:ascii="Times New Roman" w:hAnsi="Times New Roman" w:cs="Times New Roman"/>
        </w:rPr>
        <w:t>,</w:t>
      </w:r>
    </w:p>
    <w:p w:rsidR="004B22D9" w:rsidRPr="00D444D6" w:rsidP="002F3C90" w14:paraId="08F2A444" w14:textId="77777777">
      <w:pPr>
        <w:pStyle w:val="ListParagraph"/>
        <w:spacing w:after="0" w:line="240" w:lineRule="auto"/>
        <w:ind w:left="1440"/>
        <w:contextualSpacing w:val="0"/>
        <w:rPr>
          <w:rFonts w:ascii="Times New Roman" w:hAnsi="Times New Roman" w:cs="Times New Roman"/>
        </w:rPr>
      </w:pPr>
    </w:p>
    <w:p w:rsidR="001448EC" w:rsidRPr="00D444D6" w:rsidP="002F3C90" w14:paraId="3ED44B49" w14:textId="287907F4">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p</w:t>
      </w:r>
      <w:r w:rsidRPr="00D444D6" w:rsidR="000A1CC4">
        <w:rPr>
          <w:rFonts w:ascii="Times New Roman" w:hAnsi="Times New Roman" w:cs="Times New Roman"/>
        </w:rPr>
        <w:t>lant operations</w:t>
      </w:r>
      <w:r w:rsidR="008B6BD7">
        <w:rPr>
          <w:rFonts w:ascii="Times New Roman" w:hAnsi="Times New Roman" w:cs="Times New Roman"/>
        </w:rPr>
        <w:t>:</w:t>
      </w:r>
    </w:p>
    <w:p w:rsidR="001448EC" w:rsidRPr="00D444D6" w:rsidP="002F3C90" w14:paraId="60528165" w14:textId="7D72CB79">
      <w:pPr>
        <w:pStyle w:val="ListParagraph"/>
        <w:numPr>
          <w:ilvl w:val="1"/>
          <w:numId w:val="58"/>
        </w:numPr>
        <w:spacing w:after="0" w:line="240" w:lineRule="auto"/>
        <w:ind w:left="1440" w:firstLine="0"/>
        <w:contextualSpacing w:val="0"/>
        <w:rPr>
          <w:rFonts w:ascii="Times New Roman" w:hAnsi="Times New Roman" w:cs="Times New Roman"/>
        </w:rPr>
      </w:pPr>
      <w:r>
        <w:rPr>
          <w:rFonts w:ascii="Times New Roman" w:hAnsi="Times New Roman" w:cs="Times New Roman"/>
        </w:rPr>
        <w:t>c</w:t>
      </w:r>
      <w:r w:rsidRPr="00D444D6">
        <w:rPr>
          <w:rFonts w:ascii="Times New Roman" w:hAnsi="Times New Roman" w:cs="Times New Roman"/>
        </w:rPr>
        <w:t>oncept of operations</w:t>
      </w:r>
      <w:r w:rsidR="008B6BD7">
        <w:rPr>
          <w:rFonts w:ascii="Times New Roman" w:hAnsi="Times New Roman" w:cs="Times New Roman"/>
        </w:rPr>
        <w:t>, and</w:t>
      </w:r>
    </w:p>
    <w:p w:rsidR="000A1CC4" w:rsidP="002F3C90" w14:paraId="4D1FB758" w14:textId="0AEDD14C">
      <w:pPr>
        <w:pStyle w:val="ListParagraph"/>
        <w:numPr>
          <w:ilvl w:val="1"/>
          <w:numId w:val="58"/>
        </w:numPr>
        <w:spacing w:after="0" w:line="240" w:lineRule="auto"/>
        <w:ind w:left="1440" w:firstLine="0"/>
        <w:contextualSpacing w:val="0"/>
        <w:rPr>
          <w:rFonts w:ascii="Times New Roman" w:hAnsi="Times New Roman" w:cs="Times New Roman"/>
        </w:rPr>
      </w:pPr>
      <w:r>
        <w:rPr>
          <w:rFonts w:ascii="Times New Roman" w:hAnsi="Times New Roman" w:cs="Times New Roman"/>
        </w:rPr>
        <w:t>p</w:t>
      </w:r>
      <w:r w:rsidRPr="00D444D6">
        <w:rPr>
          <w:rFonts w:ascii="Times New Roman" w:hAnsi="Times New Roman" w:cs="Times New Roman"/>
        </w:rPr>
        <w:t>lant operating states</w:t>
      </w:r>
      <w:r w:rsidR="008B6BD7">
        <w:rPr>
          <w:rFonts w:ascii="Times New Roman" w:hAnsi="Times New Roman" w:cs="Times New Roman"/>
        </w:rPr>
        <w:t>,</w:t>
      </w:r>
    </w:p>
    <w:p w:rsidR="004B22D9" w:rsidRPr="00D444D6" w:rsidP="002F3C90" w14:paraId="605E5E57" w14:textId="77777777">
      <w:pPr>
        <w:pStyle w:val="ListParagraph"/>
        <w:spacing w:after="0" w:line="240" w:lineRule="auto"/>
        <w:ind w:left="1440"/>
        <w:contextualSpacing w:val="0"/>
        <w:rPr>
          <w:rFonts w:ascii="Times New Roman" w:hAnsi="Times New Roman" w:cs="Times New Roman"/>
        </w:rPr>
      </w:pPr>
    </w:p>
    <w:p w:rsidR="000A1CC4" w:rsidP="002F3C90" w14:paraId="5632DF14" w14:textId="6EE3973A">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eactor physics</w:t>
      </w:r>
      <w:r w:rsidR="008B6BD7">
        <w:rPr>
          <w:rFonts w:ascii="Times New Roman" w:hAnsi="Times New Roman" w:cs="Times New Roman"/>
        </w:rPr>
        <w:t>,</w:t>
      </w:r>
    </w:p>
    <w:p w:rsidR="004B22D9" w:rsidRPr="00D444D6" w:rsidP="002F3C90" w14:paraId="2BDCA8A1" w14:textId="77777777">
      <w:pPr>
        <w:pStyle w:val="ListParagraph"/>
        <w:spacing w:after="0" w:line="240" w:lineRule="auto"/>
        <w:ind w:left="1440"/>
        <w:contextualSpacing w:val="0"/>
        <w:rPr>
          <w:rFonts w:ascii="Times New Roman" w:hAnsi="Times New Roman" w:cs="Times New Roman"/>
        </w:rPr>
      </w:pPr>
    </w:p>
    <w:p w:rsidR="000A1CC4" w:rsidP="002F3C90" w14:paraId="0B8632B3" w14:textId="6242A95E">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t</w:t>
      </w:r>
      <w:r w:rsidRPr="00D444D6">
        <w:rPr>
          <w:rFonts w:ascii="Times New Roman" w:hAnsi="Times New Roman" w:cs="Times New Roman"/>
        </w:rPr>
        <w:t>hermal-hydraulic analysis</w:t>
      </w:r>
      <w:r w:rsidR="008B6BD7">
        <w:rPr>
          <w:rFonts w:ascii="Times New Roman" w:hAnsi="Times New Roman" w:cs="Times New Roman"/>
        </w:rPr>
        <w:t>,</w:t>
      </w:r>
    </w:p>
    <w:p w:rsidR="004B22D9" w:rsidRPr="00977F87" w:rsidP="002F3C90" w14:paraId="3FA4CB3E" w14:textId="77777777">
      <w:pPr>
        <w:spacing w:after="0" w:line="240" w:lineRule="auto"/>
        <w:rPr>
          <w:rFonts w:ascii="Times New Roman" w:hAnsi="Times New Roman" w:cs="Times New Roman"/>
        </w:rPr>
      </w:pPr>
    </w:p>
    <w:p w:rsidR="000A1CC4" w:rsidP="002F3C90" w14:paraId="4966B996" w14:textId="3452FDC3">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 xml:space="preserve">eliability engineering </w:t>
      </w:r>
      <w:r w:rsidRPr="00D444D6" w:rsidR="001448EC">
        <w:rPr>
          <w:rFonts w:ascii="Times New Roman" w:hAnsi="Times New Roman" w:cs="Times New Roman"/>
        </w:rPr>
        <w:t xml:space="preserve">or PRA </w:t>
      </w:r>
      <w:r w:rsidRPr="00D444D6">
        <w:rPr>
          <w:rFonts w:ascii="Times New Roman" w:hAnsi="Times New Roman" w:cs="Times New Roman"/>
        </w:rPr>
        <w:t>methods</w:t>
      </w:r>
      <w:r w:rsidR="00952B54">
        <w:rPr>
          <w:rFonts w:ascii="Times New Roman" w:hAnsi="Times New Roman" w:cs="Times New Roman"/>
        </w:rPr>
        <w:t xml:space="preserve"> or both</w:t>
      </w:r>
      <w:r w:rsidR="008B6BD7">
        <w:rPr>
          <w:rFonts w:ascii="Times New Roman" w:hAnsi="Times New Roman" w:cs="Times New Roman"/>
        </w:rPr>
        <w:t>,</w:t>
      </w:r>
    </w:p>
    <w:p w:rsidR="004B22D9" w:rsidRPr="00977F87" w:rsidP="002F3C90" w14:paraId="5017C56F" w14:textId="77777777">
      <w:pPr>
        <w:spacing w:after="0" w:line="240" w:lineRule="auto"/>
        <w:rPr>
          <w:rFonts w:ascii="Times New Roman" w:hAnsi="Times New Roman" w:cs="Times New Roman"/>
        </w:rPr>
      </w:pPr>
    </w:p>
    <w:p w:rsidR="006970E8" w:rsidP="002F3C90" w14:paraId="02D66B1C" w14:textId="322D881B">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xpertise in the selected methods of analysis</w:t>
      </w:r>
      <w:r w:rsidRPr="00D444D6" w:rsidR="00EA2192">
        <w:rPr>
          <w:rFonts w:ascii="Times New Roman" w:hAnsi="Times New Roman" w:cs="Times New Roman"/>
        </w:rPr>
        <w:t xml:space="preserve"> (including hazard identification and assessment)</w:t>
      </w:r>
      <w:r w:rsidR="008B6BD7">
        <w:rPr>
          <w:rFonts w:ascii="Times New Roman" w:hAnsi="Times New Roman" w:cs="Times New Roman"/>
        </w:rPr>
        <w:t>, and</w:t>
      </w:r>
    </w:p>
    <w:p w:rsidR="004B22D9" w:rsidRPr="00977F87" w:rsidP="002F3C90" w14:paraId="00023B46" w14:textId="77777777">
      <w:pPr>
        <w:spacing w:after="0" w:line="240" w:lineRule="auto"/>
        <w:rPr>
          <w:rFonts w:ascii="Times New Roman" w:hAnsi="Times New Roman" w:cs="Times New Roman"/>
        </w:rPr>
      </w:pPr>
    </w:p>
    <w:p w:rsidR="00F5551E" w:rsidRPr="00D444D6" w:rsidP="002F3C90" w14:paraId="04109E74" w14:textId="66021ECE">
      <w:pPr>
        <w:pStyle w:val="ListParagraph"/>
        <w:numPr>
          <w:ilvl w:val="0"/>
          <w:numId w:val="58"/>
        </w:numPr>
        <w:spacing w:after="0" w:line="240" w:lineRule="auto"/>
        <w:ind w:left="1440" w:hanging="720"/>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xpertise in disciplines unique to the chosen technology</w:t>
      </w:r>
      <w:r w:rsidR="008B6BD7">
        <w:rPr>
          <w:rFonts w:ascii="Times New Roman" w:hAnsi="Times New Roman" w:cs="Times New Roman"/>
        </w:rPr>
        <w:t>.</w:t>
      </w:r>
    </w:p>
    <w:p w:rsidR="000A1CC4" w:rsidP="002F3C90" w14:paraId="16103166" w14:textId="6E7866F8">
      <w:pPr>
        <w:spacing w:after="0" w:line="240" w:lineRule="auto"/>
        <w:rPr>
          <w:rFonts w:ascii="Times New Roman" w:hAnsi="Times New Roman" w:cs="Times New Roman"/>
        </w:rPr>
      </w:pPr>
    </w:p>
    <w:p w:rsidR="000A1CC4" w:rsidRPr="00C204FC" w:rsidP="002F3C90" w14:paraId="1C133899" w14:textId="7099D4B6">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A single individual may provide expertise in more than one discipline; however, the team should </w:t>
      </w:r>
      <w:r w:rsidR="00EC0ADB">
        <w:rPr>
          <w:rFonts w:ascii="Times New Roman" w:hAnsi="Times New Roman" w:cs="Times New Roman"/>
        </w:rPr>
        <w:t>include</w:t>
      </w:r>
      <w:r w:rsidRPr="00C204FC">
        <w:rPr>
          <w:rFonts w:ascii="Times New Roman" w:hAnsi="Times New Roman" w:cs="Times New Roman"/>
        </w:rPr>
        <w:t xml:space="preserve"> at least three people</w:t>
      </w:r>
      <w:r w:rsidRPr="00C204FC" w:rsidR="001448EC">
        <w:rPr>
          <w:rFonts w:ascii="Times New Roman" w:hAnsi="Times New Roman" w:cs="Times New Roman"/>
        </w:rPr>
        <w:t xml:space="preserve"> </w:t>
      </w:r>
      <w:r w:rsidR="00952B54">
        <w:rPr>
          <w:rFonts w:ascii="Times New Roman" w:hAnsi="Times New Roman" w:cs="Times New Roman"/>
        </w:rPr>
        <w:t>t</w:t>
      </w:r>
      <w:r w:rsidRPr="00C204FC" w:rsidR="001448EC">
        <w:rPr>
          <w:rFonts w:ascii="Times New Roman" w:hAnsi="Times New Roman" w:cs="Times New Roman"/>
        </w:rPr>
        <w:t xml:space="preserve">o provide a suitably broad and unbiased perspective. </w:t>
      </w:r>
    </w:p>
    <w:p w:rsidR="000722BE" w:rsidP="002F3C90" w14:paraId="1E4AF435" w14:textId="77777777">
      <w:pPr>
        <w:spacing w:after="0" w:line="240" w:lineRule="auto"/>
        <w:rPr>
          <w:rFonts w:ascii="Times New Roman" w:hAnsi="Times New Roman" w:cs="Times New Roman"/>
        </w:rPr>
      </w:pPr>
    </w:p>
    <w:p w:rsidR="00C82900" w:rsidP="002F3C90" w14:paraId="7FE828DC" w14:textId="561EA57B">
      <w:pPr>
        <w:pStyle w:val="Heading3"/>
        <w:spacing w:line="240" w:lineRule="auto"/>
      </w:pPr>
      <w:r w:rsidRPr="00C204FC">
        <w:rPr>
          <w:i/>
          <w:iCs/>
        </w:rPr>
        <w:t>Establish</w:t>
      </w:r>
      <w:r w:rsidRPr="00C204FC" w:rsidR="00CA5F95">
        <w:rPr>
          <w:i/>
          <w:iCs/>
        </w:rPr>
        <w:t xml:space="preserve"> </w:t>
      </w:r>
      <w:r w:rsidRPr="00C204FC">
        <w:rPr>
          <w:i/>
          <w:iCs/>
        </w:rPr>
        <w:t>P</w:t>
      </w:r>
      <w:r w:rsidRPr="00C204FC" w:rsidR="004500F5">
        <w:rPr>
          <w:i/>
          <w:iCs/>
        </w:rPr>
        <w:t>roce</w:t>
      </w:r>
      <w:r w:rsidRPr="00C204FC" w:rsidR="0092023A">
        <w:rPr>
          <w:i/>
          <w:iCs/>
        </w:rPr>
        <w:t>s</w:t>
      </w:r>
      <w:r w:rsidRPr="00C204FC" w:rsidR="004500F5">
        <w:rPr>
          <w:i/>
          <w:iCs/>
        </w:rPr>
        <w:t xml:space="preserve">s for </w:t>
      </w:r>
      <w:r w:rsidRPr="00C204FC" w:rsidR="002E07B0">
        <w:rPr>
          <w:i/>
          <w:iCs/>
        </w:rPr>
        <w:t xml:space="preserve">Quality </w:t>
      </w:r>
      <w:r w:rsidR="00D468DF">
        <w:rPr>
          <w:i/>
          <w:iCs/>
        </w:rPr>
        <w:t>Control</w:t>
      </w:r>
      <w:r w:rsidRPr="00C204FC" w:rsidR="00C738A9">
        <w:rPr>
          <w:i/>
          <w:iCs/>
        </w:rPr>
        <w:t xml:space="preserve"> </w:t>
      </w:r>
      <w:r w:rsidRPr="00C204FC" w:rsidR="007D63EC">
        <w:rPr>
          <w:i/>
          <w:iCs/>
        </w:rPr>
        <w:t>(</w:t>
      </w:r>
      <w:r w:rsidRPr="00C204FC" w:rsidR="009A2B8E">
        <w:rPr>
          <w:i/>
          <w:iCs/>
        </w:rPr>
        <w:t>Box 2, Principle #5</w:t>
      </w:r>
      <w:r w:rsidRPr="00C204FC" w:rsidR="005014AB">
        <w:rPr>
          <w:i/>
          <w:iCs/>
        </w:rPr>
        <w:t>)</w:t>
      </w:r>
    </w:p>
    <w:p w:rsidR="00C82900" w:rsidP="002F3C90" w14:paraId="1E01DB8F" w14:textId="77777777">
      <w:pPr>
        <w:spacing w:after="0" w:line="240" w:lineRule="auto"/>
        <w:ind w:firstLine="720"/>
        <w:rPr>
          <w:rFonts w:ascii="Times New Roman" w:hAnsi="Times New Roman" w:cs="Times New Roman"/>
        </w:rPr>
      </w:pPr>
    </w:p>
    <w:p w:rsidR="00F5626B" w:rsidRPr="00F5626B" w:rsidP="002F3C90" w14:paraId="295F65D0" w14:textId="77777777">
      <w:pPr>
        <w:pStyle w:val="ListParagraph"/>
        <w:numPr>
          <w:ilvl w:val="0"/>
          <w:numId w:val="56"/>
        </w:numPr>
        <w:spacing w:line="240" w:lineRule="auto"/>
        <w:ind w:left="720" w:hanging="720"/>
        <w:rPr>
          <w:rFonts w:ascii="Times New Roman" w:hAnsi="Times New Roman" w:cs="Times New Roman"/>
        </w:rPr>
      </w:pPr>
      <w:r w:rsidRPr="00F5626B">
        <w:rPr>
          <w:rFonts w:ascii="Times New Roman" w:hAnsi="Times New Roman" w:cs="Times New Roman"/>
        </w:rPr>
        <w:t>Before engaging in the work, a program for quality control should be established that includes, as a minimum, the following elements:</w:t>
      </w:r>
    </w:p>
    <w:p w:rsidR="00F5626B" w:rsidRPr="00F5626B" w:rsidP="002F3C90" w14:paraId="4BD1B221" w14:textId="77777777">
      <w:pPr>
        <w:pStyle w:val="ListParagraph"/>
        <w:spacing w:line="240" w:lineRule="auto"/>
        <w:ind w:left="360"/>
        <w:rPr>
          <w:rFonts w:ascii="Times New Roman" w:hAnsi="Times New Roman" w:cs="Times New Roman"/>
        </w:rPr>
      </w:pPr>
    </w:p>
    <w:p w:rsidR="00F5626B" w:rsidP="002F3C90" w14:paraId="46AB8676" w14:textId="2E9BE73F">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 xml:space="preserve">se of personnel qualified for the </w:t>
      </w:r>
      <w:r w:rsidRPr="00F5626B">
        <w:rPr>
          <w:rFonts w:ascii="Times New Roman" w:hAnsi="Times New Roman" w:cs="Times New Roman"/>
        </w:rPr>
        <w:t>analysis</w:t>
      </w:r>
      <w:r w:rsidR="008B6BD7">
        <w:rPr>
          <w:rFonts w:ascii="Times New Roman" w:hAnsi="Times New Roman" w:cs="Times New Roman"/>
        </w:rPr>
        <w:t>;</w:t>
      </w:r>
    </w:p>
    <w:p w:rsidR="00952B54" w:rsidRPr="00F5626B" w:rsidP="002F3C90" w14:paraId="47138E1A" w14:textId="2F7ECE46">
      <w:pPr>
        <w:pStyle w:val="ListParagraph"/>
        <w:spacing w:line="240" w:lineRule="auto"/>
        <w:ind w:left="1440" w:hanging="720"/>
        <w:rPr>
          <w:rFonts w:ascii="Times New Roman" w:hAnsi="Times New Roman" w:cs="Times New Roman"/>
        </w:rPr>
      </w:pPr>
    </w:p>
    <w:p w:rsidR="00F5626B" w:rsidP="002F3C90" w14:paraId="3D523AFA" w14:textId="1982D165">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 xml:space="preserve">se of procedures that ensure control of documentation, including revisions, and provide for independent review, verification, or checking of calculations and information used in the </w:t>
      </w:r>
      <w:r w:rsidRPr="00F5626B">
        <w:rPr>
          <w:rFonts w:ascii="Times New Roman" w:hAnsi="Times New Roman" w:cs="Times New Roman"/>
        </w:rPr>
        <w:t>analyses</w:t>
      </w:r>
      <w:r w:rsidR="008B6BD7">
        <w:rPr>
          <w:rFonts w:ascii="Times New Roman" w:hAnsi="Times New Roman" w:cs="Times New Roman"/>
        </w:rPr>
        <w:t>;</w:t>
      </w:r>
    </w:p>
    <w:p w:rsidR="00952B54" w:rsidRPr="00F5626B" w:rsidP="002F3C90" w14:paraId="5E2182C0" w14:textId="2EEF10CB">
      <w:pPr>
        <w:pStyle w:val="ListParagraph"/>
        <w:spacing w:line="240" w:lineRule="auto"/>
        <w:ind w:left="1440" w:hanging="720"/>
        <w:rPr>
          <w:rFonts w:ascii="Times New Roman" w:hAnsi="Times New Roman" w:cs="Times New Roman"/>
        </w:rPr>
      </w:pPr>
    </w:p>
    <w:p w:rsidR="00F5626B" w:rsidP="002F3C90" w14:paraId="16AD680F" w14:textId="3D0BE05F">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d</w:t>
      </w:r>
      <w:r w:rsidRPr="00F5626B">
        <w:rPr>
          <w:rFonts w:ascii="Times New Roman" w:hAnsi="Times New Roman" w:cs="Times New Roman"/>
        </w:rPr>
        <w:t>ocumentation and maintenance of records, including archival as well as submittal documentation</w:t>
      </w:r>
      <w:r w:rsidR="008B6BD7">
        <w:rPr>
          <w:rFonts w:ascii="Times New Roman" w:hAnsi="Times New Roman" w:cs="Times New Roman"/>
        </w:rPr>
        <w:t>; and</w:t>
      </w:r>
    </w:p>
    <w:p w:rsidR="00952B54" w:rsidRPr="00F5626B" w:rsidP="002F3C90" w14:paraId="3C5DF207" w14:textId="663A846E">
      <w:pPr>
        <w:pStyle w:val="ListParagraph"/>
        <w:spacing w:line="240" w:lineRule="auto"/>
        <w:ind w:left="1440" w:hanging="720"/>
        <w:rPr>
          <w:rFonts w:ascii="Times New Roman" w:hAnsi="Times New Roman" w:cs="Times New Roman"/>
        </w:rPr>
      </w:pPr>
    </w:p>
    <w:p w:rsidR="00F5626B" w:rsidRPr="00F5626B" w:rsidP="002F3C90" w14:paraId="157DB5C2" w14:textId="0B69AA71">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se of procedures that ensure that appropriate attention and corrective actions are taken if assumptions, analyses, or information used previously are changed or determined to be in erro</w:t>
      </w:r>
      <w:r w:rsidR="00BE0C6C">
        <w:rPr>
          <w:rFonts w:ascii="Times New Roman" w:hAnsi="Times New Roman" w:cs="Times New Roman"/>
        </w:rPr>
        <w:t>r</w:t>
      </w:r>
      <w:r w:rsidR="008B6BD7">
        <w:rPr>
          <w:rFonts w:ascii="Times New Roman" w:hAnsi="Times New Roman" w:cs="Times New Roman"/>
        </w:rPr>
        <w:t>.</w:t>
      </w:r>
    </w:p>
    <w:p w:rsidR="00F5626B" w:rsidRPr="00F5626B" w:rsidP="002F3C90" w14:paraId="12B290B2" w14:textId="77777777">
      <w:pPr>
        <w:pStyle w:val="ListParagraph"/>
        <w:spacing w:line="240" w:lineRule="auto"/>
        <w:ind w:left="360"/>
        <w:rPr>
          <w:rFonts w:ascii="Times New Roman" w:hAnsi="Times New Roman" w:cs="Times New Roman"/>
        </w:rPr>
      </w:pPr>
    </w:p>
    <w:p w:rsidR="00F5626B" w:rsidRPr="00F5626B" w:rsidP="002F3C90" w14:paraId="6765BF7F" w14:textId="11564AFE">
      <w:pPr>
        <w:pStyle w:val="ListParagraph"/>
        <w:numPr>
          <w:ilvl w:val="0"/>
          <w:numId w:val="56"/>
        </w:numPr>
        <w:spacing w:after="0" w:line="240" w:lineRule="auto"/>
        <w:ind w:left="720" w:hanging="720"/>
        <w:rPr>
          <w:rFonts w:ascii="Times New Roman" w:hAnsi="Times New Roman" w:cs="Times New Roman"/>
        </w:rPr>
      </w:pPr>
      <w:r w:rsidRPr="00F5626B">
        <w:rPr>
          <w:rFonts w:ascii="Times New Roman" w:hAnsi="Times New Roman" w:cs="Times New Roman"/>
        </w:rPr>
        <w:t xml:space="preserve">When developing the quality control program, </w:t>
      </w:r>
      <w:r w:rsidR="0059675B">
        <w:rPr>
          <w:rFonts w:ascii="Times New Roman" w:hAnsi="Times New Roman" w:cs="Times New Roman"/>
        </w:rPr>
        <w:t xml:space="preserve">designers or </w:t>
      </w:r>
      <w:r w:rsidRPr="00F5626B">
        <w:rPr>
          <w:rFonts w:ascii="Times New Roman" w:hAnsi="Times New Roman" w:cs="Times New Roman"/>
        </w:rPr>
        <w:t>applicants should consider the following items:</w:t>
      </w:r>
    </w:p>
    <w:p w:rsidR="00F5626B" w:rsidRPr="00F5626B" w:rsidP="002F3C90" w14:paraId="45706C3D" w14:textId="77777777">
      <w:pPr>
        <w:pStyle w:val="ListParagraph"/>
        <w:spacing w:line="240" w:lineRule="auto"/>
        <w:ind w:left="360"/>
        <w:rPr>
          <w:rFonts w:ascii="Times New Roman" w:hAnsi="Times New Roman" w:cs="Times New Roman"/>
        </w:rPr>
      </w:pPr>
    </w:p>
    <w:p w:rsidR="00F5626B" w:rsidRPr="00F5626B" w:rsidP="0021002A" w14:paraId="04F538BB" w14:textId="2BD25DCB">
      <w:pPr>
        <w:pStyle w:val="ListParagraph"/>
        <w:numPr>
          <w:ilvl w:val="0"/>
          <w:numId w:val="65"/>
        </w:numPr>
        <w:spacing w:line="240" w:lineRule="auto"/>
        <w:ind w:left="1440" w:hanging="720"/>
        <w:rPr>
          <w:rFonts w:ascii="Times New Roman" w:hAnsi="Times New Roman" w:cs="Times New Roman"/>
        </w:rPr>
      </w:pPr>
      <w:r w:rsidRPr="00F5626B">
        <w:rPr>
          <w:rFonts w:ascii="Times New Roman" w:hAnsi="Times New Roman" w:cs="Times New Roman"/>
        </w:rPr>
        <w:t xml:space="preserve">In accordance with the preamble for the 2007 </w:t>
      </w:r>
      <w:r w:rsidR="00952B54">
        <w:rPr>
          <w:rFonts w:ascii="Times New Roman" w:hAnsi="Times New Roman" w:cs="Times New Roman"/>
        </w:rPr>
        <w:t>10 CFR </w:t>
      </w:r>
      <w:r w:rsidRPr="00F5626B">
        <w:rPr>
          <w:rFonts w:ascii="Times New Roman" w:hAnsi="Times New Roman" w:cs="Times New Roman"/>
        </w:rPr>
        <w:t>Part</w:t>
      </w:r>
      <w:r w:rsidR="00952B54">
        <w:rPr>
          <w:rFonts w:ascii="Times New Roman" w:hAnsi="Times New Roman" w:cs="Times New Roman"/>
        </w:rPr>
        <w:t> </w:t>
      </w:r>
      <w:r w:rsidRPr="00F5626B">
        <w:rPr>
          <w:rFonts w:ascii="Times New Roman" w:hAnsi="Times New Roman" w:cs="Times New Roman"/>
        </w:rPr>
        <w:t>52 rulemaking (72</w:t>
      </w:r>
      <w:r w:rsidR="00952B54">
        <w:rPr>
          <w:rFonts w:ascii="Times New Roman" w:hAnsi="Times New Roman" w:cs="Times New Roman"/>
        </w:rPr>
        <w:t> </w:t>
      </w:r>
      <w:r w:rsidRPr="00F5626B">
        <w:rPr>
          <w:rFonts w:ascii="Times New Roman" w:hAnsi="Times New Roman" w:cs="Times New Roman"/>
        </w:rPr>
        <w:t>FR</w:t>
      </w:r>
      <w:r w:rsidR="00952B54">
        <w:rPr>
          <w:rFonts w:ascii="Times New Roman" w:hAnsi="Times New Roman" w:cs="Times New Roman"/>
        </w:rPr>
        <w:t> </w:t>
      </w:r>
      <w:r w:rsidRPr="00F5626B">
        <w:rPr>
          <w:rFonts w:ascii="Times New Roman" w:hAnsi="Times New Roman" w:cs="Times New Roman"/>
        </w:rPr>
        <w:t>49365; August</w:t>
      </w:r>
      <w:r w:rsidR="00952B54">
        <w:rPr>
          <w:rFonts w:ascii="Times New Roman" w:hAnsi="Times New Roman" w:cs="Times New Roman"/>
        </w:rPr>
        <w:t> </w:t>
      </w:r>
      <w:r w:rsidRPr="00F5626B">
        <w:rPr>
          <w:rFonts w:ascii="Times New Roman" w:hAnsi="Times New Roman" w:cs="Times New Roman"/>
        </w:rPr>
        <w:t>28,</w:t>
      </w:r>
      <w:r w:rsidR="00952B54">
        <w:rPr>
          <w:rFonts w:ascii="Times New Roman" w:hAnsi="Times New Roman" w:cs="Times New Roman"/>
        </w:rPr>
        <w:t> </w:t>
      </w:r>
      <w:r w:rsidRPr="00F5626B">
        <w:rPr>
          <w:rFonts w:ascii="Times New Roman" w:hAnsi="Times New Roman" w:cs="Times New Roman"/>
        </w:rPr>
        <w:t xml:space="preserve">2007), a PRA is not part of the design-basis information. Therefore, the initiating event and event sequence analyses are not subject to the quality assurance </w:t>
      </w:r>
      <w:r w:rsidR="00BD6FE0">
        <w:rPr>
          <w:rFonts w:ascii="Times New Roman" w:hAnsi="Times New Roman" w:cs="Times New Roman"/>
        </w:rPr>
        <w:t>(QA)</w:t>
      </w:r>
      <w:r w:rsidRPr="00F5626B">
        <w:rPr>
          <w:rFonts w:ascii="Times New Roman" w:hAnsi="Times New Roman" w:cs="Times New Roman"/>
        </w:rPr>
        <w:t xml:space="preserve"> requirements of 10</w:t>
      </w:r>
      <w:r w:rsidR="00952B54">
        <w:rPr>
          <w:rFonts w:ascii="Times New Roman" w:hAnsi="Times New Roman" w:cs="Times New Roman"/>
        </w:rPr>
        <w:t> </w:t>
      </w:r>
      <w:r w:rsidRPr="00F5626B">
        <w:rPr>
          <w:rFonts w:ascii="Times New Roman" w:hAnsi="Times New Roman" w:cs="Times New Roman"/>
        </w:rPr>
        <w:t>CFR</w:t>
      </w:r>
      <w:r w:rsidR="00952B54">
        <w:rPr>
          <w:rFonts w:ascii="Times New Roman" w:hAnsi="Times New Roman" w:cs="Times New Roman"/>
        </w:rPr>
        <w:t> </w:t>
      </w:r>
      <w:r w:rsidRPr="00F5626B">
        <w:rPr>
          <w:rFonts w:ascii="Times New Roman" w:hAnsi="Times New Roman" w:cs="Times New Roman"/>
        </w:rPr>
        <w:t>Part</w:t>
      </w:r>
      <w:r w:rsidR="00952B54">
        <w:rPr>
          <w:rFonts w:ascii="Times New Roman" w:hAnsi="Times New Roman" w:cs="Times New Roman"/>
        </w:rPr>
        <w:t> </w:t>
      </w:r>
      <w:r w:rsidRPr="00F5626B">
        <w:rPr>
          <w:rFonts w:ascii="Times New Roman" w:hAnsi="Times New Roman" w:cs="Times New Roman"/>
        </w:rPr>
        <w:t>50, Appendix</w:t>
      </w:r>
      <w:r w:rsidR="00952B54">
        <w:rPr>
          <w:rFonts w:ascii="Times New Roman" w:hAnsi="Times New Roman" w:cs="Times New Roman"/>
        </w:rPr>
        <w:t> </w:t>
      </w:r>
      <w:r w:rsidRPr="00F5626B">
        <w:rPr>
          <w:rFonts w:ascii="Times New Roman" w:hAnsi="Times New Roman" w:cs="Times New Roman"/>
        </w:rPr>
        <w:t>B</w:t>
      </w:r>
      <w:r w:rsidR="002B44D9">
        <w:rPr>
          <w:rFonts w:ascii="Times New Roman" w:hAnsi="Times New Roman" w:cs="Times New Roman"/>
        </w:rPr>
        <w:t>, “Quality Assurance Criteria for Nuclear Power Plants and Fuel Reprocessing Plants</w:t>
      </w:r>
      <w:r w:rsidR="00CF7D07">
        <w:rPr>
          <w:rFonts w:ascii="Times New Roman" w:hAnsi="Times New Roman" w:cs="Times New Roman"/>
        </w:rPr>
        <w:t>.</w:t>
      </w:r>
      <w:r w:rsidR="002B44D9">
        <w:rPr>
          <w:rFonts w:ascii="Times New Roman" w:hAnsi="Times New Roman" w:cs="Times New Roman"/>
        </w:rPr>
        <w:t>”</w:t>
      </w:r>
      <w:r w:rsidRPr="00F5626B">
        <w:rPr>
          <w:rFonts w:ascii="Times New Roman" w:hAnsi="Times New Roman" w:cs="Times New Roman"/>
        </w:rPr>
        <w:t xml:space="preserve"> However, the licensing event selection analysis, which uses the results of the initiating event and event sequences analyses, is subject to the previously cited </w:t>
      </w:r>
      <w:r w:rsidR="00650B3B">
        <w:rPr>
          <w:rFonts w:ascii="Times New Roman" w:hAnsi="Times New Roman" w:cs="Times New Roman"/>
        </w:rPr>
        <w:t>QA</w:t>
      </w:r>
      <w:r w:rsidRPr="00F5626B">
        <w:rPr>
          <w:rFonts w:ascii="Times New Roman" w:hAnsi="Times New Roman" w:cs="Times New Roman"/>
        </w:rPr>
        <w:t xml:space="preserve"> requirements because the identification of a comprehensive set of licensing events is foundational to establishing the design basis and the licensing basis of the commercial nuclear plant.</w:t>
      </w:r>
    </w:p>
    <w:p w:rsidR="00F5626B" w:rsidRPr="00F5626B" w:rsidP="002F3C90" w14:paraId="4E8E05DF" w14:textId="77777777">
      <w:pPr>
        <w:pStyle w:val="ListParagraph"/>
        <w:spacing w:line="240" w:lineRule="auto"/>
        <w:ind w:left="1440" w:hanging="720"/>
        <w:rPr>
          <w:rFonts w:ascii="Times New Roman" w:hAnsi="Times New Roman" w:cs="Times New Roman"/>
        </w:rPr>
      </w:pPr>
    </w:p>
    <w:p w:rsidR="00F5626B" w:rsidRPr="00F5626B" w:rsidP="0021002A" w14:paraId="39840EBC" w14:textId="48D29A84">
      <w:pPr>
        <w:pStyle w:val="ListParagraph"/>
        <w:numPr>
          <w:ilvl w:val="0"/>
          <w:numId w:val="65"/>
        </w:numPr>
        <w:spacing w:line="240" w:lineRule="auto"/>
        <w:ind w:left="1440" w:hanging="720"/>
        <w:rPr>
          <w:rFonts w:ascii="Times New Roman" w:hAnsi="Times New Roman" w:cs="Times New Roman"/>
        </w:rPr>
      </w:pPr>
      <w:r w:rsidRPr="00F5626B">
        <w:rPr>
          <w:rFonts w:ascii="Times New Roman" w:hAnsi="Times New Roman" w:cs="Times New Roman"/>
        </w:rPr>
        <w:t>Applicants may leverage existing programs and processes when addressing this guidance. For example, if a PRA is developed in accordance with RG</w:t>
      </w:r>
      <w:r w:rsidR="00650B3B">
        <w:rPr>
          <w:rFonts w:ascii="Times New Roman" w:hAnsi="Times New Roman" w:cs="Times New Roman"/>
        </w:rPr>
        <w:t> </w:t>
      </w:r>
      <w:r w:rsidRPr="00F5626B">
        <w:rPr>
          <w:rFonts w:ascii="Times New Roman" w:hAnsi="Times New Roman" w:cs="Times New Roman"/>
        </w:rPr>
        <w:t>1.200 and DC/COL</w:t>
      </w:r>
      <w:r w:rsidR="00650B3B">
        <w:rPr>
          <w:rFonts w:ascii="Times New Roman" w:hAnsi="Times New Roman" w:cs="Times New Roman"/>
        </w:rPr>
        <w:noBreakHyphen/>
      </w:r>
      <w:r w:rsidRPr="00F5626B">
        <w:rPr>
          <w:rFonts w:ascii="Times New Roman" w:hAnsi="Times New Roman" w:cs="Times New Roman"/>
        </w:rPr>
        <w:t>ISG</w:t>
      </w:r>
      <w:r w:rsidR="00650B3B">
        <w:rPr>
          <w:rFonts w:ascii="Times New Roman" w:hAnsi="Times New Roman" w:cs="Times New Roman"/>
        </w:rPr>
        <w:noBreakHyphen/>
      </w:r>
      <w:r w:rsidRPr="00F5626B">
        <w:rPr>
          <w:rFonts w:ascii="Times New Roman" w:hAnsi="Times New Roman" w:cs="Times New Roman"/>
        </w:rPr>
        <w:t>028 (for LWRs) or in accordance with RG</w:t>
      </w:r>
      <w:r w:rsidR="00650B3B">
        <w:rPr>
          <w:rFonts w:ascii="Times New Roman" w:hAnsi="Times New Roman" w:cs="Times New Roman"/>
        </w:rPr>
        <w:t> </w:t>
      </w:r>
      <w:r w:rsidRPr="00F5626B">
        <w:rPr>
          <w:rFonts w:ascii="Times New Roman" w:hAnsi="Times New Roman" w:cs="Times New Roman"/>
        </w:rPr>
        <w:t>1.247 (for non</w:t>
      </w:r>
      <w:r w:rsidR="002B44D9">
        <w:rPr>
          <w:rFonts w:ascii="Times New Roman" w:hAnsi="Times New Roman" w:cs="Times New Roman"/>
        </w:rPr>
        <w:noBreakHyphen/>
      </w:r>
      <w:r w:rsidRPr="00F5626B">
        <w:rPr>
          <w:rFonts w:ascii="Times New Roman" w:hAnsi="Times New Roman" w:cs="Times New Roman"/>
        </w:rPr>
        <w:t xml:space="preserve">LWRs), then the PRA Configuration Control Program may be used </w:t>
      </w:r>
      <w:r w:rsidR="00EE2674">
        <w:rPr>
          <w:rFonts w:ascii="Times New Roman" w:hAnsi="Times New Roman" w:cs="Times New Roman"/>
        </w:rPr>
        <w:t>to</w:t>
      </w:r>
      <w:r w:rsidRPr="00F5626B">
        <w:rPr>
          <w:rFonts w:ascii="Times New Roman" w:hAnsi="Times New Roman" w:cs="Times New Roman"/>
        </w:rPr>
        <w:t xml:space="preserve"> control the initiating event and event sequence analysis documentation.</w:t>
      </w:r>
    </w:p>
    <w:p w:rsidR="00F5626B" w:rsidRPr="00F5626B" w:rsidP="002F3C90" w14:paraId="1A360A28" w14:textId="77777777">
      <w:pPr>
        <w:pStyle w:val="ListParagraph"/>
        <w:spacing w:line="240" w:lineRule="auto"/>
        <w:ind w:left="1440" w:hanging="720"/>
        <w:rPr>
          <w:rFonts w:ascii="Times New Roman" w:hAnsi="Times New Roman" w:cs="Times New Roman"/>
        </w:rPr>
      </w:pPr>
    </w:p>
    <w:p w:rsidR="00F5626B" w:rsidRPr="00F5626B" w:rsidP="0021002A" w14:paraId="26305B6D" w14:textId="1907105B">
      <w:pPr>
        <w:pStyle w:val="ListParagraph"/>
        <w:numPr>
          <w:ilvl w:val="0"/>
          <w:numId w:val="65"/>
        </w:numPr>
        <w:spacing w:line="240" w:lineRule="auto"/>
        <w:ind w:left="1440" w:hanging="720"/>
        <w:rPr>
          <w:rFonts w:ascii="Times New Roman" w:hAnsi="Times New Roman" w:cs="Times New Roman"/>
        </w:rPr>
      </w:pPr>
      <w:r w:rsidRPr="00F5626B">
        <w:rPr>
          <w:rFonts w:ascii="Times New Roman" w:hAnsi="Times New Roman" w:cs="Times New Roman"/>
        </w:rPr>
        <w:t>If a PRA is planned to be developed and peer reviewed in accordance with RG</w:t>
      </w:r>
      <w:r w:rsidR="00650B3B">
        <w:rPr>
          <w:rFonts w:ascii="Times New Roman" w:hAnsi="Times New Roman" w:cs="Times New Roman"/>
        </w:rPr>
        <w:t> </w:t>
      </w:r>
      <w:r w:rsidRPr="00F5626B">
        <w:rPr>
          <w:rFonts w:ascii="Times New Roman" w:hAnsi="Times New Roman" w:cs="Times New Roman"/>
        </w:rPr>
        <w:t>1.200 and DC/COL</w:t>
      </w:r>
      <w:r w:rsidR="00650B3B">
        <w:rPr>
          <w:rFonts w:ascii="Times New Roman" w:hAnsi="Times New Roman" w:cs="Times New Roman"/>
        </w:rPr>
        <w:noBreakHyphen/>
      </w:r>
      <w:r w:rsidRPr="00F5626B">
        <w:rPr>
          <w:rFonts w:ascii="Times New Roman" w:hAnsi="Times New Roman" w:cs="Times New Roman"/>
        </w:rPr>
        <w:t>ISG</w:t>
      </w:r>
      <w:r w:rsidR="00650B3B">
        <w:rPr>
          <w:rFonts w:ascii="Times New Roman" w:hAnsi="Times New Roman" w:cs="Times New Roman"/>
        </w:rPr>
        <w:noBreakHyphen/>
      </w:r>
      <w:r w:rsidRPr="00F5626B">
        <w:rPr>
          <w:rFonts w:ascii="Times New Roman" w:hAnsi="Times New Roman" w:cs="Times New Roman"/>
        </w:rPr>
        <w:t>028 (for LWRs) or RG</w:t>
      </w:r>
      <w:r w:rsidR="00650B3B">
        <w:rPr>
          <w:rFonts w:ascii="Times New Roman" w:hAnsi="Times New Roman" w:cs="Times New Roman"/>
        </w:rPr>
        <w:t> </w:t>
      </w:r>
      <w:r w:rsidRPr="00F5626B">
        <w:rPr>
          <w:rFonts w:ascii="Times New Roman" w:hAnsi="Times New Roman" w:cs="Times New Roman"/>
        </w:rPr>
        <w:t>1.247 (for non-LWRs), then completion of a peer review and disposition of its facts and observations (F&amp;Os) will satisfy the staff’s expectations concerning the independent review. Consistent with DC/COL</w:t>
      </w:r>
      <w:r w:rsidR="00650B3B">
        <w:rPr>
          <w:rFonts w:ascii="Times New Roman" w:hAnsi="Times New Roman" w:cs="Times New Roman"/>
        </w:rPr>
        <w:noBreakHyphen/>
      </w:r>
      <w:r w:rsidRPr="00F5626B">
        <w:rPr>
          <w:rFonts w:ascii="Times New Roman" w:hAnsi="Times New Roman" w:cs="Times New Roman"/>
        </w:rPr>
        <w:t xml:space="preserve">ISG-028, peer review of the PRA (including the initiating event and event sequence analyses) is not needed </w:t>
      </w:r>
      <w:r w:rsidR="00650B3B">
        <w:rPr>
          <w:rFonts w:ascii="Times New Roman" w:hAnsi="Times New Roman" w:cs="Times New Roman"/>
        </w:rPr>
        <w:t>before</w:t>
      </w:r>
      <w:r w:rsidRPr="00F5626B">
        <w:rPr>
          <w:rFonts w:ascii="Times New Roman" w:hAnsi="Times New Roman" w:cs="Times New Roman"/>
        </w:rPr>
        <w:t xml:space="preserve"> </w:t>
      </w:r>
      <w:r w:rsidR="00722621">
        <w:rPr>
          <w:rFonts w:ascii="Times New Roman" w:hAnsi="Times New Roman" w:cs="Times New Roman"/>
        </w:rPr>
        <w:t xml:space="preserve">the </w:t>
      </w:r>
      <w:r w:rsidRPr="00F5626B">
        <w:rPr>
          <w:rFonts w:ascii="Times New Roman" w:hAnsi="Times New Roman" w:cs="Times New Roman"/>
        </w:rPr>
        <w:t>application. However, a PRA peer review will help reduce the need for an in-depth review of the PRA by the NRC staff, thus allowing the staff to focus on key assumptions and areas identified as being of concern and relevant to the application. If a peer review has not been performed, the applicants</w:t>
      </w:r>
      <w:r w:rsidR="00650B3B">
        <w:rPr>
          <w:rFonts w:ascii="Times New Roman" w:hAnsi="Times New Roman" w:cs="Times New Roman"/>
        </w:rPr>
        <w:t xml:space="preserve"> or </w:t>
      </w:r>
      <w:r w:rsidRPr="00F5626B">
        <w:rPr>
          <w:rFonts w:ascii="Times New Roman" w:hAnsi="Times New Roman" w:cs="Times New Roman"/>
        </w:rPr>
        <w:t>holders should justify why their PRAs are adequate in terms of scope, level of detail, and technical acceptability. PRA self</w:t>
      </w:r>
      <w:r w:rsidR="00722621">
        <w:rPr>
          <w:rFonts w:ascii="Times New Roman" w:hAnsi="Times New Roman" w:cs="Times New Roman"/>
        </w:rPr>
        <w:noBreakHyphen/>
      </w:r>
      <w:r w:rsidRPr="00F5626B">
        <w:rPr>
          <w:rFonts w:ascii="Times New Roman" w:hAnsi="Times New Roman" w:cs="Times New Roman"/>
        </w:rPr>
        <w:t>assessment is an acceptable tool for assessing the technical adequacy of a PRA performed in support of an application.</w:t>
      </w:r>
    </w:p>
    <w:p w:rsidR="00992561" w:rsidP="002F3C90" w14:paraId="401F2DF8" w14:textId="77777777">
      <w:pPr>
        <w:pStyle w:val="ListParagraph"/>
        <w:spacing w:after="0" w:line="240" w:lineRule="auto"/>
        <w:ind w:left="360"/>
      </w:pPr>
    </w:p>
    <w:p w:rsidR="00F77067" w:rsidP="0021002A" w14:paraId="39357F0A" w14:textId="77777777">
      <w:pPr>
        <w:spacing w:line="240" w:lineRule="auto"/>
        <w:rPr>
          <w:rFonts w:ascii="Times New Roman" w:hAnsi="Times New Roman" w:eastAsiaTheme="majorEastAsia" w:cs="Times New Roman"/>
          <w:b/>
          <w:bCs/>
        </w:rPr>
      </w:pPr>
      <w:r>
        <w:br w:type="page"/>
      </w:r>
    </w:p>
    <w:p w:rsidR="000F7875" w:rsidRPr="00C204FC" w:rsidP="002F3C90" w14:paraId="7320E670" w14:textId="5B5A7B35">
      <w:pPr>
        <w:pStyle w:val="Heading2"/>
        <w:spacing w:line="240" w:lineRule="auto"/>
        <w:ind w:left="0" w:firstLine="0"/>
      </w:pPr>
      <w:r w:rsidRPr="00C204FC">
        <w:t>Collect</w:t>
      </w:r>
      <w:r w:rsidRPr="00C204FC" w:rsidR="000352A1">
        <w:t>ing</w:t>
      </w:r>
      <w:r w:rsidRPr="00C204FC">
        <w:t xml:space="preserve"> Application</w:t>
      </w:r>
      <w:r w:rsidRPr="00C204FC" w:rsidR="006F327B">
        <w:t>-</w:t>
      </w:r>
      <w:r w:rsidRPr="00C204FC">
        <w:t>Specific Information</w:t>
      </w:r>
    </w:p>
    <w:p w:rsidR="000F7875" w:rsidP="002F3C90" w14:paraId="7DC469EF" w14:textId="77777777">
      <w:pPr>
        <w:spacing w:after="0" w:line="240" w:lineRule="auto"/>
        <w:rPr>
          <w:rFonts w:ascii="Times New Roman" w:hAnsi="Times New Roman" w:cs="Times New Roman"/>
        </w:rPr>
      </w:pPr>
    </w:p>
    <w:p w:rsidR="00B04804" w:rsidRPr="0077176F" w:rsidP="002F3C90" w14:paraId="0CDAEC11" w14:textId="249B96F9">
      <w:pPr>
        <w:pStyle w:val="Heading3"/>
        <w:spacing w:line="240" w:lineRule="auto"/>
        <w:ind w:left="0" w:firstLine="0"/>
      </w:pPr>
      <w:r w:rsidRPr="00C204FC">
        <w:rPr>
          <w:i/>
          <w:iCs/>
        </w:rPr>
        <w:t xml:space="preserve">Collect </w:t>
      </w:r>
      <w:r w:rsidRPr="00C204FC" w:rsidR="001F428F">
        <w:rPr>
          <w:i/>
          <w:iCs/>
        </w:rPr>
        <w:t>Information on Plant Design, Plant Operating States, and Site Characteristics (</w:t>
      </w:r>
      <w:r w:rsidRPr="00C204FC" w:rsidR="00F85810">
        <w:rPr>
          <w:i/>
          <w:iCs/>
        </w:rPr>
        <w:t xml:space="preserve">Box </w:t>
      </w:r>
      <w:r w:rsidRPr="00C204FC" w:rsidR="001F428F">
        <w:rPr>
          <w:i/>
          <w:iCs/>
        </w:rPr>
        <w:t xml:space="preserve">3, </w:t>
      </w:r>
      <w:r w:rsidRPr="00C204FC" w:rsidR="00F85810">
        <w:rPr>
          <w:i/>
          <w:iCs/>
        </w:rPr>
        <w:t xml:space="preserve">Principle </w:t>
      </w:r>
      <w:r w:rsidRPr="00C204FC" w:rsidR="001F428F">
        <w:rPr>
          <w:i/>
          <w:iCs/>
        </w:rPr>
        <w:t>#1)</w:t>
      </w:r>
    </w:p>
    <w:p w:rsidR="00C27601" w:rsidP="002F3C90" w14:paraId="12B5AC3F" w14:textId="5E9DB9D6">
      <w:pPr>
        <w:spacing w:after="0" w:line="240" w:lineRule="auto"/>
        <w:rPr>
          <w:rFonts w:ascii="Times New Roman" w:hAnsi="Times New Roman" w:cs="Times New Roman"/>
        </w:rPr>
      </w:pPr>
    </w:p>
    <w:p w:rsidR="00F865CB" w:rsidRPr="00C204FC" w:rsidP="002F3C90" w14:paraId="719C7CEA" w14:textId="1A511A3C">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To support the analysis </w:t>
      </w:r>
      <w:r w:rsidRPr="00C204FC" w:rsidR="7BEDE8EE">
        <w:rPr>
          <w:rFonts w:ascii="Times New Roman" w:hAnsi="Times New Roman" w:cs="Times New Roman"/>
        </w:rPr>
        <w:t>for</w:t>
      </w:r>
      <w:r w:rsidRPr="00C204FC">
        <w:rPr>
          <w:rFonts w:ascii="Times New Roman" w:hAnsi="Times New Roman" w:cs="Times New Roman"/>
        </w:rPr>
        <w:t xml:space="preserve"> initiating events, event sequences</w:t>
      </w:r>
      <w:r w:rsidR="00650B3B">
        <w:rPr>
          <w:rFonts w:ascii="Times New Roman" w:hAnsi="Times New Roman" w:cs="Times New Roman"/>
        </w:rPr>
        <w:t>,</w:t>
      </w:r>
      <w:r w:rsidRPr="00C204FC">
        <w:rPr>
          <w:rFonts w:ascii="Times New Roman" w:hAnsi="Times New Roman" w:cs="Times New Roman"/>
        </w:rPr>
        <w:t xml:space="preserve"> and licensing event</w:t>
      </w:r>
      <w:r w:rsidRPr="00C204FC" w:rsidR="6249FA6A">
        <w:rPr>
          <w:rFonts w:ascii="Times New Roman" w:hAnsi="Times New Roman" w:cs="Times New Roman"/>
        </w:rPr>
        <w:t>s</w:t>
      </w:r>
      <w:r w:rsidRPr="00C204FC">
        <w:rPr>
          <w:rFonts w:ascii="Times New Roman" w:hAnsi="Times New Roman" w:cs="Times New Roman"/>
        </w:rPr>
        <w:t xml:space="preserve">, the relevant information </w:t>
      </w:r>
      <w:r w:rsidRPr="00C204FC" w:rsidR="7EDF3D80">
        <w:rPr>
          <w:rFonts w:ascii="Times New Roman" w:hAnsi="Times New Roman" w:cs="Times New Roman"/>
        </w:rPr>
        <w:t xml:space="preserve">regarding plant </w:t>
      </w:r>
      <w:r w:rsidRPr="00C204FC" w:rsidR="0A552EFA">
        <w:rPr>
          <w:rFonts w:ascii="Times New Roman" w:hAnsi="Times New Roman" w:cs="Times New Roman"/>
        </w:rPr>
        <w:t xml:space="preserve">design, </w:t>
      </w:r>
      <w:r w:rsidRPr="00C204FC" w:rsidR="517D991A">
        <w:rPr>
          <w:rFonts w:ascii="Times New Roman" w:hAnsi="Times New Roman" w:cs="Times New Roman"/>
        </w:rPr>
        <w:t>operating states</w:t>
      </w:r>
      <w:r w:rsidR="00EC699C">
        <w:rPr>
          <w:rFonts w:ascii="Times New Roman" w:hAnsi="Times New Roman" w:cs="Times New Roman"/>
        </w:rPr>
        <w:t>,</w:t>
      </w:r>
      <w:r w:rsidRPr="00C204FC" w:rsidR="517D991A">
        <w:rPr>
          <w:rFonts w:ascii="Times New Roman" w:hAnsi="Times New Roman" w:cs="Times New Roman"/>
        </w:rPr>
        <w:t xml:space="preserve"> and</w:t>
      </w:r>
      <w:r w:rsidRPr="00C204FC" w:rsidR="00EA7E91">
        <w:rPr>
          <w:rFonts w:ascii="Times New Roman" w:hAnsi="Times New Roman" w:cs="Times New Roman"/>
        </w:rPr>
        <w:t>, if the site is selected,</w:t>
      </w:r>
      <w:r w:rsidRPr="00C204FC" w:rsidR="517D991A">
        <w:rPr>
          <w:rFonts w:ascii="Times New Roman" w:hAnsi="Times New Roman" w:cs="Times New Roman"/>
        </w:rPr>
        <w:t xml:space="preserve"> site characteristics should be </w:t>
      </w:r>
      <w:r w:rsidRPr="00C204FC" w:rsidR="41DAACBE">
        <w:rPr>
          <w:rFonts w:ascii="Times New Roman" w:hAnsi="Times New Roman" w:cs="Times New Roman"/>
        </w:rPr>
        <w:t>collected</w:t>
      </w:r>
      <w:r w:rsidRPr="00C204FC" w:rsidR="57A00C56">
        <w:rPr>
          <w:rFonts w:ascii="Times New Roman" w:hAnsi="Times New Roman" w:cs="Times New Roman"/>
        </w:rPr>
        <w:t xml:space="preserve">, </w:t>
      </w:r>
      <w:r w:rsidRPr="00C204FC" w:rsidR="1C737F7E">
        <w:rPr>
          <w:rFonts w:ascii="Times New Roman" w:hAnsi="Times New Roman" w:cs="Times New Roman"/>
        </w:rPr>
        <w:t>a</w:t>
      </w:r>
      <w:r w:rsidRPr="00C204FC" w:rsidR="41DAACBE">
        <w:rPr>
          <w:rFonts w:ascii="Times New Roman" w:hAnsi="Times New Roman" w:cs="Times New Roman"/>
        </w:rPr>
        <w:t>nd</w:t>
      </w:r>
      <w:r w:rsidRPr="00C204FC" w:rsidR="41DAACBE">
        <w:rPr>
          <w:rFonts w:ascii="Times New Roman" w:hAnsi="Times New Roman" w:cs="Times New Roman"/>
        </w:rPr>
        <w:t xml:space="preserve"> made available to the analysis team</w:t>
      </w:r>
      <w:r w:rsidRPr="00C204FC" w:rsidR="008751C0">
        <w:rPr>
          <w:rFonts w:ascii="Times New Roman" w:hAnsi="Times New Roman" w:cs="Times New Roman"/>
        </w:rPr>
        <w:t xml:space="preserve">. </w:t>
      </w:r>
      <w:r w:rsidRPr="00C204FC" w:rsidR="003156A3">
        <w:rPr>
          <w:rFonts w:ascii="Times New Roman" w:hAnsi="Times New Roman" w:cs="Times New Roman"/>
        </w:rPr>
        <w:t>For a DC, SDA, or ML</w:t>
      </w:r>
      <w:r w:rsidR="00884ACC">
        <w:rPr>
          <w:rFonts w:ascii="Times New Roman" w:hAnsi="Times New Roman" w:cs="Times New Roman"/>
        </w:rPr>
        <w:t xml:space="preserve"> (when</w:t>
      </w:r>
      <w:r w:rsidRPr="00C204FC" w:rsidR="006F15EC">
        <w:rPr>
          <w:rFonts w:ascii="Times New Roman" w:hAnsi="Times New Roman" w:cs="Times New Roman"/>
        </w:rPr>
        <w:t xml:space="preserve"> the applicant </w:t>
      </w:r>
      <w:r w:rsidR="00AF1F5D">
        <w:rPr>
          <w:rFonts w:ascii="Times New Roman" w:hAnsi="Times New Roman" w:cs="Times New Roman"/>
        </w:rPr>
        <w:t xml:space="preserve">is </w:t>
      </w:r>
      <w:r w:rsidR="0087193F">
        <w:rPr>
          <w:rFonts w:ascii="Times New Roman" w:hAnsi="Times New Roman" w:cs="Times New Roman"/>
        </w:rPr>
        <w:t>proposing</w:t>
      </w:r>
      <w:r w:rsidR="00AF1F5D">
        <w:rPr>
          <w:rFonts w:ascii="Times New Roman" w:hAnsi="Times New Roman" w:cs="Times New Roman"/>
        </w:rPr>
        <w:t xml:space="preserve"> a generic design</w:t>
      </w:r>
      <w:r w:rsidR="00652057">
        <w:rPr>
          <w:rFonts w:ascii="Times New Roman" w:hAnsi="Times New Roman" w:cs="Times New Roman"/>
        </w:rPr>
        <w:t xml:space="preserve"> and not a specific</w:t>
      </w:r>
      <w:r w:rsidRPr="00C204FC" w:rsidR="006F15EC">
        <w:rPr>
          <w:rFonts w:ascii="Times New Roman" w:hAnsi="Times New Roman" w:cs="Times New Roman"/>
        </w:rPr>
        <w:t xml:space="preserve"> site</w:t>
      </w:r>
      <w:r w:rsidR="00884ACC">
        <w:rPr>
          <w:rFonts w:ascii="Times New Roman" w:hAnsi="Times New Roman" w:cs="Times New Roman"/>
        </w:rPr>
        <w:t>)</w:t>
      </w:r>
      <w:r w:rsidRPr="00C204FC" w:rsidR="006F15EC">
        <w:rPr>
          <w:rFonts w:ascii="Times New Roman" w:hAnsi="Times New Roman" w:cs="Times New Roman"/>
        </w:rPr>
        <w:t xml:space="preserve">, </w:t>
      </w:r>
      <w:r w:rsidRPr="00C204FC" w:rsidR="003156A3">
        <w:rPr>
          <w:rFonts w:ascii="Times New Roman" w:hAnsi="Times New Roman" w:cs="Times New Roman"/>
        </w:rPr>
        <w:t>postulated site parameters</w:t>
      </w:r>
      <w:r w:rsidRPr="00C204FC" w:rsidR="003E0B43">
        <w:rPr>
          <w:rFonts w:ascii="Times New Roman" w:hAnsi="Times New Roman" w:cs="Times New Roman"/>
        </w:rPr>
        <w:t xml:space="preserve"> take the place of site characteristics</w:t>
      </w:r>
      <w:r w:rsidRPr="00C204FC" w:rsidR="003156A3">
        <w:rPr>
          <w:rFonts w:ascii="Times New Roman" w:hAnsi="Times New Roman" w:cs="Times New Roman"/>
        </w:rPr>
        <w:t xml:space="preserve">. </w:t>
      </w:r>
      <w:r w:rsidRPr="00C204FC" w:rsidR="1C737F7E">
        <w:rPr>
          <w:rFonts w:ascii="Times New Roman" w:hAnsi="Times New Roman" w:cs="Times New Roman"/>
        </w:rPr>
        <w:t xml:space="preserve">The level of information should </w:t>
      </w:r>
      <w:r w:rsidRPr="00C204FC" w:rsidR="0B47733E">
        <w:rPr>
          <w:rFonts w:ascii="Times New Roman" w:hAnsi="Times New Roman" w:cs="Times New Roman"/>
        </w:rPr>
        <w:t xml:space="preserve">be </w:t>
      </w:r>
      <w:r w:rsidRPr="00C204FC" w:rsidR="1C737F7E">
        <w:rPr>
          <w:rFonts w:ascii="Times New Roman" w:hAnsi="Times New Roman" w:cs="Times New Roman"/>
        </w:rPr>
        <w:t xml:space="preserve">consistent with the level of detail of the design information available </w:t>
      </w:r>
      <w:r w:rsidRPr="00C204FC" w:rsidR="5F923648">
        <w:rPr>
          <w:rFonts w:ascii="Times New Roman" w:hAnsi="Times New Roman" w:cs="Times New Roman"/>
        </w:rPr>
        <w:t>a</w:t>
      </w:r>
      <w:r w:rsidRPr="00C204FC" w:rsidR="655952D8">
        <w:rPr>
          <w:rFonts w:ascii="Times New Roman" w:hAnsi="Times New Roman" w:cs="Times New Roman"/>
        </w:rPr>
        <w:t xml:space="preserve">nd </w:t>
      </w:r>
      <w:r w:rsidRPr="00C204FC" w:rsidR="61E9E526">
        <w:rPr>
          <w:rFonts w:ascii="Times New Roman" w:hAnsi="Times New Roman" w:cs="Times New Roman"/>
        </w:rPr>
        <w:t xml:space="preserve">be sufficient to facilitate </w:t>
      </w:r>
      <w:r w:rsidRPr="00C204FC" w:rsidR="4FDF12B4">
        <w:rPr>
          <w:rFonts w:ascii="Times New Roman" w:hAnsi="Times New Roman" w:cs="Times New Roman"/>
        </w:rPr>
        <w:t>the search for initiating events and</w:t>
      </w:r>
      <w:r w:rsidRPr="00C204FC" w:rsidR="2144ADA7">
        <w:rPr>
          <w:rFonts w:ascii="Times New Roman" w:hAnsi="Times New Roman" w:cs="Times New Roman"/>
        </w:rPr>
        <w:t xml:space="preserve"> </w:t>
      </w:r>
      <w:r w:rsidRPr="00C204FC" w:rsidR="00A44DCE">
        <w:rPr>
          <w:rFonts w:ascii="Times New Roman" w:hAnsi="Times New Roman" w:cs="Times New Roman"/>
        </w:rPr>
        <w:t xml:space="preserve">the </w:t>
      </w:r>
      <w:r w:rsidRPr="00C204FC" w:rsidR="2144ADA7">
        <w:rPr>
          <w:rFonts w:ascii="Times New Roman" w:hAnsi="Times New Roman" w:cs="Times New Roman"/>
        </w:rPr>
        <w:t xml:space="preserve">analysis of plant response </w:t>
      </w:r>
      <w:r w:rsidRPr="00C204FC" w:rsidR="00465DD7">
        <w:rPr>
          <w:rFonts w:ascii="Times New Roman" w:hAnsi="Times New Roman" w:cs="Times New Roman"/>
        </w:rPr>
        <w:t xml:space="preserve">to support </w:t>
      </w:r>
      <w:r w:rsidRPr="00C204FC" w:rsidR="4FDF12B4">
        <w:rPr>
          <w:rFonts w:ascii="Times New Roman" w:hAnsi="Times New Roman" w:cs="Times New Roman"/>
        </w:rPr>
        <w:t>event sequence</w:t>
      </w:r>
      <w:r w:rsidRPr="00C204FC" w:rsidR="00A44DCE">
        <w:rPr>
          <w:rFonts w:ascii="Times New Roman" w:hAnsi="Times New Roman" w:cs="Times New Roman"/>
        </w:rPr>
        <w:t xml:space="preserve"> de</w:t>
      </w:r>
      <w:r w:rsidRPr="00C204FC" w:rsidR="00465DD7">
        <w:rPr>
          <w:rFonts w:ascii="Times New Roman" w:hAnsi="Times New Roman" w:cs="Times New Roman"/>
        </w:rPr>
        <w:t>lineation</w:t>
      </w:r>
      <w:r w:rsidRPr="00C204FC" w:rsidR="4FDF12B4">
        <w:rPr>
          <w:rFonts w:ascii="Times New Roman" w:hAnsi="Times New Roman" w:cs="Times New Roman"/>
        </w:rPr>
        <w:t>.</w:t>
      </w:r>
    </w:p>
    <w:p w:rsidR="000C1E5D" w:rsidP="002F3C90" w14:paraId="4B9258A4" w14:textId="77777777">
      <w:pPr>
        <w:spacing w:after="0" w:line="240" w:lineRule="auto"/>
        <w:rPr>
          <w:rFonts w:ascii="Times New Roman" w:hAnsi="Times New Roman" w:cs="Times New Roman"/>
        </w:rPr>
      </w:pPr>
    </w:p>
    <w:p w:rsidR="00C27601" w:rsidRPr="00BE6908" w:rsidP="002F3C90" w14:paraId="63EF357C" w14:textId="58FF6FCF">
      <w:pPr>
        <w:pStyle w:val="Heading3"/>
        <w:spacing w:line="240" w:lineRule="auto"/>
        <w:ind w:left="0" w:firstLine="0"/>
      </w:pPr>
      <w:r w:rsidRPr="00C204FC">
        <w:rPr>
          <w:i/>
          <w:iCs/>
        </w:rPr>
        <w:t xml:space="preserve">Identify </w:t>
      </w:r>
      <w:r w:rsidRPr="00C204FC" w:rsidR="001F428F">
        <w:rPr>
          <w:i/>
          <w:iCs/>
        </w:rPr>
        <w:t xml:space="preserve">Radiological Sources and Transport Barriers </w:t>
      </w:r>
      <w:r w:rsidRPr="00C204FC" w:rsidR="002310E7">
        <w:rPr>
          <w:i/>
          <w:iCs/>
        </w:rPr>
        <w:t>from</w:t>
      </w:r>
      <w:r w:rsidRPr="00C204FC" w:rsidR="001F428F">
        <w:rPr>
          <w:i/>
          <w:iCs/>
        </w:rPr>
        <w:t xml:space="preserve"> the Source to the Environment (</w:t>
      </w:r>
      <w:r w:rsidRPr="00C204FC" w:rsidR="00F85810">
        <w:rPr>
          <w:i/>
          <w:iCs/>
        </w:rPr>
        <w:t>Box</w:t>
      </w:r>
      <w:r w:rsidR="008141A6">
        <w:rPr>
          <w:i/>
          <w:iCs/>
        </w:rPr>
        <w:t> </w:t>
      </w:r>
      <w:r w:rsidRPr="00C204FC" w:rsidR="001F428F">
        <w:rPr>
          <w:i/>
          <w:iCs/>
        </w:rPr>
        <w:t xml:space="preserve">4, </w:t>
      </w:r>
      <w:r w:rsidRPr="00C204FC" w:rsidR="00F85810">
        <w:rPr>
          <w:i/>
          <w:iCs/>
        </w:rPr>
        <w:t xml:space="preserve">Principle </w:t>
      </w:r>
      <w:r w:rsidRPr="00C204FC" w:rsidR="001F428F">
        <w:rPr>
          <w:i/>
          <w:iCs/>
        </w:rPr>
        <w:t>#1)</w:t>
      </w:r>
    </w:p>
    <w:p w:rsidR="00BE6908" w:rsidP="002F3C90" w14:paraId="18FB35D5" w14:textId="77777777">
      <w:pPr>
        <w:spacing w:after="0" w:line="240" w:lineRule="auto"/>
        <w:ind w:firstLine="720"/>
        <w:rPr>
          <w:rFonts w:ascii="Times New Roman" w:hAnsi="Times New Roman" w:cs="Times New Roman"/>
        </w:rPr>
      </w:pPr>
    </w:p>
    <w:p w:rsidR="00072257" w:rsidRPr="00C204FC" w:rsidP="002F3C90" w14:paraId="1B1A3D4B" w14:textId="63A72BFF">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The identification of </w:t>
      </w:r>
      <w:r w:rsidRPr="00C204FC" w:rsidR="00970D5E">
        <w:rPr>
          <w:rFonts w:ascii="Times New Roman" w:hAnsi="Times New Roman" w:cs="Times New Roman"/>
        </w:rPr>
        <w:t>significant</w:t>
      </w:r>
      <w:r w:rsidRPr="00C204FC" w:rsidR="008A4D6C">
        <w:rPr>
          <w:rFonts w:ascii="Times New Roman" w:hAnsi="Times New Roman" w:cs="Times New Roman"/>
        </w:rPr>
        <w:t xml:space="preserve"> </w:t>
      </w:r>
      <w:r w:rsidRPr="00C204FC">
        <w:rPr>
          <w:rFonts w:ascii="Times New Roman" w:hAnsi="Times New Roman" w:cs="Times New Roman"/>
        </w:rPr>
        <w:t xml:space="preserve">radiological sources </w:t>
      </w:r>
      <w:r w:rsidRPr="00C204FC" w:rsidR="001B307A">
        <w:rPr>
          <w:rFonts w:ascii="Times New Roman" w:hAnsi="Times New Roman" w:cs="Times New Roman"/>
        </w:rPr>
        <w:t>should</w:t>
      </w:r>
      <w:r w:rsidRPr="00C204FC" w:rsidR="0039125D">
        <w:rPr>
          <w:rFonts w:ascii="Times New Roman" w:hAnsi="Times New Roman" w:cs="Times New Roman"/>
        </w:rPr>
        <w:t xml:space="preserve"> involve</w:t>
      </w:r>
      <w:r w:rsidR="00EC699C">
        <w:rPr>
          <w:rFonts w:ascii="Times New Roman" w:hAnsi="Times New Roman" w:cs="Times New Roman"/>
        </w:rPr>
        <w:t>,</w:t>
      </w:r>
      <w:r w:rsidRPr="00C204FC" w:rsidR="00F15423">
        <w:rPr>
          <w:rFonts w:ascii="Times New Roman" w:hAnsi="Times New Roman" w:cs="Times New Roman"/>
        </w:rPr>
        <w:t xml:space="preserve"> first</w:t>
      </w:r>
      <w:r w:rsidR="00EC699C">
        <w:rPr>
          <w:rFonts w:ascii="Times New Roman" w:hAnsi="Times New Roman" w:cs="Times New Roman"/>
        </w:rPr>
        <w:t>,</w:t>
      </w:r>
      <w:r w:rsidRPr="00C204FC">
        <w:rPr>
          <w:rFonts w:ascii="Times New Roman" w:hAnsi="Times New Roman" w:cs="Times New Roman"/>
        </w:rPr>
        <w:t xml:space="preserve"> a search</w:t>
      </w:r>
      <w:r w:rsidRPr="00C204FC" w:rsidR="00F15423">
        <w:rPr>
          <w:rFonts w:ascii="Times New Roman" w:hAnsi="Times New Roman" w:cs="Times New Roman"/>
        </w:rPr>
        <w:t xml:space="preserve"> for</w:t>
      </w:r>
      <w:r w:rsidRPr="00C204FC">
        <w:rPr>
          <w:rFonts w:ascii="Times New Roman" w:hAnsi="Times New Roman" w:cs="Times New Roman"/>
        </w:rPr>
        <w:t xml:space="preserve"> and review of plant operating states, including </w:t>
      </w:r>
      <w:r w:rsidRPr="00C204FC" w:rsidR="006D0308">
        <w:rPr>
          <w:rFonts w:ascii="Times New Roman" w:hAnsi="Times New Roman" w:cs="Times New Roman"/>
        </w:rPr>
        <w:t>refueling outages</w:t>
      </w:r>
      <w:r w:rsidR="008141A6">
        <w:rPr>
          <w:rFonts w:ascii="Times New Roman" w:hAnsi="Times New Roman" w:cs="Times New Roman"/>
        </w:rPr>
        <w:t>;</w:t>
      </w:r>
      <w:r w:rsidRPr="00C204FC" w:rsidR="006D0308">
        <w:rPr>
          <w:rFonts w:ascii="Times New Roman" w:hAnsi="Times New Roman" w:cs="Times New Roman"/>
        </w:rPr>
        <w:t xml:space="preserve"> other controlled shutdowns</w:t>
      </w:r>
      <w:r w:rsidR="008141A6">
        <w:rPr>
          <w:rFonts w:ascii="Times New Roman" w:hAnsi="Times New Roman" w:cs="Times New Roman"/>
        </w:rPr>
        <w:t>;</w:t>
      </w:r>
      <w:r w:rsidRPr="00C204FC" w:rsidR="006D0308">
        <w:rPr>
          <w:rFonts w:ascii="Times New Roman" w:hAnsi="Times New Roman" w:cs="Times New Roman"/>
        </w:rPr>
        <w:t xml:space="preserve"> and forced outages</w:t>
      </w:r>
      <w:r w:rsidRPr="00C204FC" w:rsidR="008751C0">
        <w:rPr>
          <w:rFonts w:ascii="Times New Roman" w:hAnsi="Times New Roman" w:cs="Times New Roman"/>
        </w:rPr>
        <w:t xml:space="preserve">. </w:t>
      </w:r>
      <w:r w:rsidRPr="00C204FC">
        <w:rPr>
          <w:rFonts w:ascii="Times New Roman" w:hAnsi="Times New Roman" w:cs="Times New Roman"/>
        </w:rPr>
        <w:t xml:space="preserve">Depending on the design, significant inventories of radioactive material may be </w:t>
      </w:r>
      <w:r w:rsidRPr="00C204FC" w:rsidR="004776DD">
        <w:rPr>
          <w:rFonts w:ascii="Times New Roman" w:hAnsi="Times New Roman" w:cs="Times New Roman"/>
        </w:rPr>
        <w:t>re</w:t>
      </w:r>
      <w:r w:rsidRPr="00C204FC">
        <w:rPr>
          <w:rFonts w:ascii="Times New Roman" w:hAnsi="Times New Roman" w:cs="Times New Roman"/>
        </w:rPr>
        <w:t>located</w:t>
      </w:r>
      <w:r w:rsidRPr="00C204FC" w:rsidR="004776DD">
        <w:rPr>
          <w:rFonts w:ascii="Times New Roman" w:hAnsi="Times New Roman" w:cs="Times New Roman"/>
        </w:rPr>
        <w:t xml:space="preserve"> </w:t>
      </w:r>
      <w:r w:rsidRPr="00C204FC" w:rsidR="0058771E">
        <w:rPr>
          <w:rFonts w:ascii="Times New Roman" w:hAnsi="Times New Roman" w:cs="Times New Roman"/>
        </w:rPr>
        <w:t>during</w:t>
      </w:r>
      <w:r w:rsidRPr="00C204FC" w:rsidR="00EA40F2">
        <w:rPr>
          <w:rFonts w:ascii="Times New Roman" w:hAnsi="Times New Roman" w:cs="Times New Roman"/>
        </w:rPr>
        <w:t xml:space="preserve"> operation or plant</w:t>
      </w:r>
      <w:r w:rsidRPr="00C204FC" w:rsidR="0058771E">
        <w:rPr>
          <w:rFonts w:ascii="Times New Roman" w:hAnsi="Times New Roman" w:cs="Times New Roman"/>
        </w:rPr>
        <w:t xml:space="preserve"> shutdown</w:t>
      </w:r>
      <w:r w:rsidRPr="00C204FC" w:rsidR="008751C0">
        <w:rPr>
          <w:rFonts w:ascii="Times New Roman" w:hAnsi="Times New Roman" w:cs="Times New Roman"/>
        </w:rPr>
        <w:t xml:space="preserve">. </w:t>
      </w:r>
      <w:r w:rsidRPr="00C204FC" w:rsidR="000078BE">
        <w:rPr>
          <w:rFonts w:ascii="Times New Roman" w:hAnsi="Times New Roman" w:cs="Times New Roman"/>
        </w:rPr>
        <w:t>The search should consider all radiolo</w:t>
      </w:r>
      <w:r w:rsidRPr="00C204FC" w:rsidR="00B707F7">
        <w:rPr>
          <w:rFonts w:ascii="Times New Roman" w:hAnsi="Times New Roman" w:cs="Times New Roman"/>
        </w:rPr>
        <w:t>gical sources</w:t>
      </w:r>
      <w:r w:rsidRPr="00C204FC" w:rsidR="0074629D">
        <w:rPr>
          <w:rFonts w:ascii="Times New Roman" w:hAnsi="Times New Roman" w:cs="Times New Roman"/>
        </w:rPr>
        <w:t xml:space="preserve"> within the plant</w:t>
      </w:r>
      <w:r w:rsidRPr="00C204FC" w:rsidR="00E46483">
        <w:rPr>
          <w:rFonts w:ascii="Times New Roman" w:hAnsi="Times New Roman" w:cs="Times New Roman"/>
        </w:rPr>
        <w:t xml:space="preserve"> </w:t>
      </w:r>
      <w:r w:rsidRPr="00C204FC" w:rsidR="00F3150E">
        <w:rPr>
          <w:rFonts w:ascii="Times New Roman" w:hAnsi="Times New Roman" w:cs="Times New Roman"/>
        </w:rPr>
        <w:t>including, but not limited to</w:t>
      </w:r>
      <w:r w:rsidRPr="00C204FC" w:rsidR="0004106B">
        <w:rPr>
          <w:rFonts w:ascii="Times New Roman" w:hAnsi="Times New Roman" w:cs="Times New Roman"/>
        </w:rPr>
        <w:t>,</w:t>
      </w:r>
      <w:r w:rsidRPr="00C204FC" w:rsidR="00F3150E">
        <w:rPr>
          <w:rFonts w:ascii="Times New Roman" w:hAnsi="Times New Roman" w:cs="Times New Roman"/>
        </w:rPr>
        <w:t xml:space="preserve"> each reactor core and non-reactor-core source</w:t>
      </w:r>
      <w:r w:rsidRPr="00C204FC" w:rsidR="007B5A3D">
        <w:rPr>
          <w:rFonts w:ascii="Times New Roman" w:hAnsi="Times New Roman" w:cs="Times New Roman"/>
        </w:rPr>
        <w:t>,</w:t>
      </w:r>
      <w:r w:rsidRPr="00C204FC" w:rsidR="00F3150E">
        <w:rPr>
          <w:rFonts w:ascii="Times New Roman" w:hAnsi="Times New Roman" w:cs="Times New Roman"/>
        </w:rPr>
        <w:t xml:space="preserve"> such as spent fuel</w:t>
      </w:r>
      <w:r w:rsidRPr="00C204FC" w:rsidR="00BA5C50">
        <w:rPr>
          <w:rFonts w:ascii="Times New Roman" w:hAnsi="Times New Roman" w:cs="Times New Roman"/>
        </w:rPr>
        <w:t xml:space="preserve"> in the spent fuel storage system</w:t>
      </w:r>
      <w:r w:rsidRPr="00C204FC" w:rsidR="00F3150E">
        <w:rPr>
          <w:rFonts w:ascii="Times New Roman" w:hAnsi="Times New Roman" w:cs="Times New Roman"/>
        </w:rPr>
        <w:t>, online fuel</w:t>
      </w:r>
      <w:r w:rsidRPr="00C204FC" w:rsidR="00EA770E">
        <w:rPr>
          <w:rFonts w:ascii="Times New Roman" w:hAnsi="Times New Roman" w:cs="Times New Roman"/>
        </w:rPr>
        <w:t xml:space="preserve"> or salt</w:t>
      </w:r>
      <w:r w:rsidRPr="00C204FC" w:rsidR="00F3150E">
        <w:rPr>
          <w:rFonts w:ascii="Times New Roman" w:hAnsi="Times New Roman" w:cs="Times New Roman"/>
        </w:rPr>
        <w:t xml:space="preserve"> processing</w:t>
      </w:r>
      <w:r w:rsidRPr="00C204FC" w:rsidR="00EA770E">
        <w:rPr>
          <w:rFonts w:ascii="Times New Roman" w:hAnsi="Times New Roman" w:cs="Times New Roman"/>
        </w:rPr>
        <w:t xml:space="preserve"> systems</w:t>
      </w:r>
      <w:r w:rsidRPr="00C204FC" w:rsidR="00F3150E">
        <w:rPr>
          <w:rFonts w:ascii="Times New Roman" w:hAnsi="Times New Roman" w:cs="Times New Roman"/>
        </w:rPr>
        <w:t xml:space="preserve"> (for molten salt reactors), radioactive waste systems</w:t>
      </w:r>
      <w:r w:rsidR="001D2B1D">
        <w:rPr>
          <w:rFonts w:ascii="Times New Roman" w:hAnsi="Times New Roman" w:cs="Times New Roman"/>
        </w:rPr>
        <w:t>,</w:t>
      </w:r>
      <w:r w:rsidRPr="00C204FC" w:rsidR="009B16C1">
        <w:rPr>
          <w:rFonts w:ascii="Times New Roman" w:hAnsi="Times New Roman" w:cs="Times New Roman"/>
        </w:rPr>
        <w:t xml:space="preserve"> and other process systems with radioactive material</w:t>
      </w:r>
      <w:r w:rsidRPr="00C204FC" w:rsidR="00F3150E">
        <w:rPr>
          <w:rFonts w:ascii="Times New Roman" w:hAnsi="Times New Roman" w:cs="Times New Roman"/>
        </w:rPr>
        <w:t xml:space="preserve"> </w:t>
      </w:r>
      <w:r w:rsidRPr="00C204FC" w:rsidR="00E46483">
        <w:rPr>
          <w:rFonts w:ascii="Times New Roman" w:hAnsi="Times New Roman" w:cs="Times New Roman"/>
        </w:rPr>
        <w:t>(e.g.,</w:t>
      </w:r>
      <w:r w:rsidR="008141A6">
        <w:rPr>
          <w:rFonts w:ascii="Times New Roman" w:hAnsi="Times New Roman" w:cs="Times New Roman"/>
        </w:rPr>
        <w:t> </w:t>
      </w:r>
      <w:r w:rsidRPr="00C204FC" w:rsidR="00E46483">
        <w:rPr>
          <w:rFonts w:ascii="Times New Roman" w:hAnsi="Times New Roman" w:cs="Times New Roman"/>
        </w:rPr>
        <w:t>radioactive material circulating or plated out within the reactor coolant boundary, spent fuel in the spent fuel storage system, fuel/salt processing systems,</w:t>
      </w:r>
      <w:r w:rsidRPr="00C204FC" w:rsidR="00F42C62">
        <w:rPr>
          <w:rFonts w:ascii="Times New Roman" w:hAnsi="Times New Roman" w:cs="Times New Roman"/>
        </w:rPr>
        <w:t xml:space="preserve"> </w:t>
      </w:r>
      <w:r w:rsidRPr="00C204FC" w:rsidR="00E46483">
        <w:rPr>
          <w:rFonts w:ascii="Times New Roman" w:hAnsi="Times New Roman" w:cs="Times New Roman"/>
        </w:rPr>
        <w:t>radioactive waste systems</w:t>
      </w:r>
      <w:r w:rsidRPr="00C204FC" w:rsidR="00F42C62">
        <w:rPr>
          <w:rFonts w:ascii="Times New Roman" w:hAnsi="Times New Roman" w:cs="Times New Roman"/>
        </w:rPr>
        <w:t>)</w:t>
      </w:r>
      <w:r w:rsidRPr="00C204FC" w:rsidR="008751C0">
        <w:rPr>
          <w:rFonts w:ascii="Times New Roman" w:hAnsi="Times New Roman" w:cs="Times New Roman"/>
        </w:rPr>
        <w:t xml:space="preserve">. </w:t>
      </w:r>
    </w:p>
    <w:p w:rsidR="00072257" w:rsidP="002F3C90" w14:paraId="2C3CE770" w14:textId="77777777">
      <w:pPr>
        <w:spacing w:after="0" w:line="240" w:lineRule="auto"/>
        <w:ind w:left="720" w:hanging="720"/>
        <w:rPr>
          <w:rFonts w:ascii="Times New Roman" w:hAnsi="Times New Roman" w:cs="Times New Roman"/>
        </w:rPr>
      </w:pPr>
    </w:p>
    <w:p w:rsidR="00BE6908" w:rsidRPr="00C204FC" w:rsidP="002F3C90" w14:paraId="5BB096F0" w14:textId="11472817">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F</w:t>
      </w:r>
      <w:r w:rsidRPr="00C204FC" w:rsidR="007335C6">
        <w:rPr>
          <w:rFonts w:ascii="Times New Roman" w:hAnsi="Times New Roman" w:cs="Times New Roman"/>
        </w:rPr>
        <w:t>or each identified</w:t>
      </w:r>
      <w:r w:rsidRPr="00C204FC" w:rsidR="0058771E">
        <w:rPr>
          <w:rFonts w:ascii="Times New Roman" w:hAnsi="Times New Roman" w:cs="Times New Roman"/>
        </w:rPr>
        <w:t xml:space="preserve"> source</w:t>
      </w:r>
      <w:r w:rsidRPr="00C204FC" w:rsidR="00DC107E">
        <w:rPr>
          <w:rFonts w:ascii="Times New Roman" w:hAnsi="Times New Roman" w:cs="Times New Roman"/>
        </w:rPr>
        <w:t>,</w:t>
      </w:r>
      <w:r w:rsidRPr="00C204FC" w:rsidR="0058771E">
        <w:rPr>
          <w:rFonts w:ascii="Times New Roman" w:hAnsi="Times New Roman" w:cs="Times New Roman"/>
        </w:rPr>
        <w:t xml:space="preserve"> the </w:t>
      </w:r>
      <w:r w:rsidRPr="00C204FC" w:rsidR="004776DD">
        <w:rPr>
          <w:rFonts w:ascii="Times New Roman" w:hAnsi="Times New Roman" w:cs="Times New Roman"/>
        </w:rPr>
        <w:t xml:space="preserve">barriers </w:t>
      </w:r>
      <w:r w:rsidRPr="00C204FC" w:rsidR="00043229">
        <w:rPr>
          <w:rFonts w:ascii="Times New Roman" w:hAnsi="Times New Roman" w:cs="Times New Roman"/>
        </w:rPr>
        <w:t xml:space="preserve">that </w:t>
      </w:r>
      <w:r w:rsidRPr="00C204FC" w:rsidR="00DE7315">
        <w:rPr>
          <w:rFonts w:ascii="Times New Roman" w:hAnsi="Times New Roman" w:cs="Times New Roman"/>
        </w:rPr>
        <w:t>can</w:t>
      </w:r>
      <w:r w:rsidRPr="00C204FC" w:rsidR="00043229">
        <w:rPr>
          <w:rFonts w:ascii="Times New Roman" w:hAnsi="Times New Roman" w:cs="Times New Roman"/>
        </w:rPr>
        <w:t xml:space="preserve"> prevent the</w:t>
      </w:r>
      <w:r w:rsidRPr="00C204FC" w:rsidR="004776DD">
        <w:rPr>
          <w:rFonts w:ascii="Times New Roman" w:hAnsi="Times New Roman" w:cs="Times New Roman"/>
        </w:rPr>
        <w:t xml:space="preserve"> release of radioactive material </w:t>
      </w:r>
      <w:r w:rsidRPr="00C204FC" w:rsidR="00043229">
        <w:rPr>
          <w:rFonts w:ascii="Times New Roman" w:hAnsi="Times New Roman" w:cs="Times New Roman"/>
        </w:rPr>
        <w:t xml:space="preserve">to the environment </w:t>
      </w:r>
      <w:r w:rsidRPr="00C204FC" w:rsidR="00A66C9C">
        <w:rPr>
          <w:rFonts w:ascii="Times New Roman" w:hAnsi="Times New Roman" w:cs="Times New Roman"/>
        </w:rPr>
        <w:t>(</w:t>
      </w:r>
      <w:r w:rsidRPr="00C204FC" w:rsidR="00996598">
        <w:rPr>
          <w:rFonts w:ascii="Times New Roman" w:hAnsi="Times New Roman" w:cs="Times New Roman"/>
        </w:rPr>
        <w:t>e.g.,</w:t>
      </w:r>
      <w:r w:rsidR="008141A6">
        <w:rPr>
          <w:rFonts w:ascii="Times New Roman" w:hAnsi="Times New Roman" w:cs="Times New Roman"/>
        </w:rPr>
        <w:t> </w:t>
      </w:r>
      <w:r w:rsidRPr="00C204FC" w:rsidR="00A66C9C">
        <w:rPr>
          <w:rFonts w:ascii="Times New Roman" w:hAnsi="Times New Roman" w:cs="Times New Roman"/>
        </w:rPr>
        <w:t xml:space="preserve">reactor building, containment, or confinement) </w:t>
      </w:r>
      <w:r w:rsidRPr="00C204FC" w:rsidR="0058771E">
        <w:rPr>
          <w:rFonts w:ascii="Times New Roman" w:hAnsi="Times New Roman" w:cs="Times New Roman"/>
        </w:rPr>
        <w:t xml:space="preserve">should be </w:t>
      </w:r>
      <w:r w:rsidRPr="00C204FC" w:rsidR="00057393">
        <w:rPr>
          <w:rFonts w:ascii="Times New Roman" w:hAnsi="Times New Roman" w:cs="Times New Roman"/>
        </w:rPr>
        <w:t>identified</w:t>
      </w:r>
      <w:r w:rsidRPr="00C204FC" w:rsidR="00065852">
        <w:rPr>
          <w:rFonts w:ascii="Times New Roman" w:hAnsi="Times New Roman" w:cs="Times New Roman"/>
        </w:rPr>
        <w:t xml:space="preserve"> to support </w:t>
      </w:r>
      <w:r w:rsidRPr="00C204FC" w:rsidR="0094568C">
        <w:rPr>
          <w:rFonts w:ascii="Times New Roman" w:hAnsi="Times New Roman" w:cs="Times New Roman"/>
        </w:rPr>
        <w:t xml:space="preserve">the </w:t>
      </w:r>
      <w:r w:rsidRPr="00C204FC" w:rsidR="00065852">
        <w:rPr>
          <w:rFonts w:ascii="Times New Roman" w:hAnsi="Times New Roman" w:cs="Times New Roman"/>
        </w:rPr>
        <w:t>development of event sequences</w:t>
      </w:r>
      <w:r w:rsidRPr="00C204FC" w:rsidR="0058771E">
        <w:rPr>
          <w:rFonts w:ascii="Times New Roman" w:hAnsi="Times New Roman" w:cs="Times New Roman"/>
        </w:rPr>
        <w:t>.</w:t>
      </w:r>
    </w:p>
    <w:p w:rsidR="000960A2" w:rsidP="002F3C90" w14:paraId="744B9E82" w14:textId="140CCF60">
      <w:pPr>
        <w:spacing w:after="0" w:line="240" w:lineRule="auto"/>
        <w:rPr>
          <w:rFonts w:ascii="Times New Roman" w:hAnsi="Times New Roman" w:cs="Times New Roman"/>
        </w:rPr>
      </w:pPr>
    </w:p>
    <w:p w:rsidR="000960A2" w:rsidP="002F3C90" w14:paraId="4A7C49F3" w14:textId="41CFEE5C">
      <w:pPr>
        <w:pStyle w:val="Heading3"/>
        <w:spacing w:line="240" w:lineRule="auto"/>
      </w:pPr>
      <w:r w:rsidRPr="00C204FC">
        <w:rPr>
          <w:i/>
          <w:iCs/>
        </w:rPr>
        <w:t xml:space="preserve">Identify </w:t>
      </w:r>
      <w:r w:rsidRPr="00C204FC" w:rsidR="00126145">
        <w:rPr>
          <w:i/>
          <w:iCs/>
        </w:rPr>
        <w:t>S</w:t>
      </w:r>
      <w:r w:rsidRPr="00C204FC" w:rsidR="007F124B">
        <w:rPr>
          <w:i/>
          <w:iCs/>
        </w:rPr>
        <w:t xml:space="preserve">ources of </w:t>
      </w:r>
      <w:r w:rsidRPr="00C204FC" w:rsidR="00126145">
        <w:rPr>
          <w:i/>
          <w:iCs/>
        </w:rPr>
        <w:t>H</w:t>
      </w:r>
      <w:r w:rsidRPr="00C204FC" w:rsidR="007F124B">
        <w:rPr>
          <w:i/>
          <w:iCs/>
        </w:rPr>
        <w:t xml:space="preserve">azardous </w:t>
      </w:r>
      <w:r w:rsidRPr="00C204FC" w:rsidR="00F813BC">
        <w:rPr>
          <w:i/>
          <w:iCs/>
        </w:rPr>
        <w:t xml:space="preserve">Chemical </w:t>
      </w:r>
      <w:r w:rsidRPr="00C204FC" w:rsidR="00126145">
        <w:rPr>
          <w:i/>
          <w:iCs/>
        </w:rPr>
        <w:t>M</w:t>
      </w:r>
      <w:r w:rsidRPr="00C204FC" w:rsidR="007F124B">
        <w:rPr>
          <w:i/>
          <w:iCs/>
        </w:rPr>
        <w:t>aterials</w:t>
      </w:r>
      <w:r w:rsidRPr="00C204FC" w:rsidR="009C6D6E">
        <w:rPr>
          <w:i/>
          <w:iCs/>
        </w:rPr>
        <w:t xml:space="preserve"> </w:t>
      </w:r>
      <w:r w:rsidRPr="00C204FC" w:rsidR="00F85810">
        <w:rPr>
          <w:i/>
          <w:iCs/>
        </w:rPr>
        <w:t>(Box</w:t>
      </w:r>
      <w:r w:rsidR="008141A6">
        <w:rPr>
          <w:i/>
          <w:iCs/>
        </w:rPr>
        <w:t> </w:t>
      </w:r>
      <w:r w:rsidRPr="00C204FC" w:rsidR="00F85810">
        <w:rPr>
          <w:i/>
          <w:iCs/>
        </w:rPr>
        <w:t>5, Principle #1)</w:t>
      </w:r>
    </w:p>
    <w:p w:rsidR="00C654BE" w:rsidP="002F3C90" w14:paraId="03E176BA" w14:textId="77777777">
      <w:pPr>
        <w:spacing w:after="0" w:line="240" w:lineRule="auto"/>
        <w:rPr>
          <w:rFonts w:ascii="Times New Roman" w:hAnsi="Times New Roman" w:cs="Times New Roman"/>
        </w:rPr>
      </w:pPr>
    </w:p>
    <w:p w:rsidR="00BF1F40" w:rsidRPr="00C204FC" w:rsidP="0021002A" w14:paraId="57E7A37D" w14:textId="062A02DE">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In addition to the search for radiological sources</w:t>
      </w:r>
      <w:r w:rsidRPr="00C204FC" w:rsidR="00A673D4">
        <w:rPr>
          <w:rFonts w:ascii="Times New Roman" w:hAnsi="Times New Roman" w:cs="Times New Roman"/>
        </w:rPr>
        <w:t>, a</w:t>
      </w:r>
      <w:r w:rsidRPr="00C204FC" w:rsidR="00BB7CA0">
        <w:rPr>
          <w:rFonts w:ascii="Times New Roman" w:hAnsi="Times New Roman" w:cs="Times New Roman"/>
        </w:rPr>
        <w:t xml:space="preserve"> search for</w:t>
      </w:r>
      <w:r w:rsidRPr="00C204FC" w:rsidR="00B16019">
        <w:rPr>
          <w:rFonts w:ascii="Times New Roman" w:hAnsi="Times New Roman" w:cs="Times New Roman"/>
        </w:rPr>
        <w:t xml:space="preserve"> sources of hazardous</w:t>
      </w:r>
      <w:r w:rsidRPr="00C204FC" w:rsidR="00BB7CA0">
        <w:rPr>
          <w:rFonts w:ascii="Times New Roman" w:hAnsi="Times New Roman" w:cs="Times New Roman"/>
        </w:rPr>
        <w:t xml:space="preserve"> chemical </w:t>
      </w:r>
      <w:r w:rsidRPr="00C204FC" w:rsidR="00B16019">
        <w:rPr>
          <w:rFonts w:ascii="Times New Roman" w:hAnsi="Times New Roman" w:cs="Times New Roman"/>
        </w:rPr>
        <w:t>materials</w:t>
      </w:r>
      <w:r w:rsidRPr="00C204FC" w:rsidR="006D6012">
        <w:rPr>
          <w:rFonts w:ascii="Times New Roman" w:hAnsi="Times New Roman" w:cs="Times New Roman"/>
        </w:rPr>
        <w:t xml:space="preserve"> </w:t>
      </w:r>
      <w:r w:rsidRPr="00C204FC" w:rsidR="00BB7CA0">
        <w:rPr>
          <w:rFonts w:ascii="Times New Roman" w:hAnsi="Times New Roman" w:cs="Times New Roman"/>
        </w:rPr>
        <w:t xml:space="preserve">should be </w:t>
      </w:r>
      <w:r w:rsidRPr="00C204FC" w:rsidR="00BB7CA0">
        <w:rPr>
          <w:rFonts w:ascii="Times New Roman" w:hAnsi="Times New Roman" w:cs="Times New Roman"/>
        </w:rPr>
        <w:t>performed</w:t>
      </w:r>
      <w:r w:rsidRPr="00C204FC" w:rsidR="00A673D4">
        <w:rPr>
          <w:rFonts w:ascii="Times New Roman" w:hAnsi="Times New Roman" w:cs="Times New Roman"/>
        </w:rPr>
        <w:t xml:space="preserve">. </w:t>
      </w:r>
      <w:r w:rsidRPr="00C204FC" w:rsidR="002151B0">
        <w:rPr>
          <w:rFonts w:ascii="Times New Roman" w:hAnsi="Times New Roman" w:cs="Times New Roman"/>
        </w:rPr>
        <w:t xml:space="preserve">Chemical </w:t>
      </w:r>
      <w:r w:rsidRPr="00C204FC" w:rsidR="005C1213">
        <w:rPr>
          <w:rFonts w:ascii="Times New Roman" w:hAnsi="Times New Roman" w:cs="Times New Roman"/>
        </w:rPr>
        <w:t>sources</w:t>
      </w:r>
      <w:r w:rsidRPr="00C204FC" w:rsidR="007D1714">
        <w:rPr>
          <w:rFonts w:ascii="Times New Roman" w:hAnsi="Times New Roman" w:cs="Times New Roman"/>
        </w:rPr>
        <w:t xml:space="preserve"> </w:t>
      </w:r>
      <w:r w:rsidRPr="00C204FC" w:rsidR="008F5E4E">
        <w:rPr>
          <w:rFonts w:ascii="Times New Roman" w:hAnsi="Times New Roman" w:cs="Times New Roman"/>
        </w:rPr>
        <w:t>of interest</w:t>
      </w:r>
      <w:r w:rsidRPr="00C204FC" w:rsidR="002151B0">
        <w:rPr>
          <w:rFonts w:ascii="Times New Roman" w:hAnsi="Times New Roman" w:cs="Times New Roman"/>
        </w:rPr>
        <w:t xml:space="preserve"> </w:t>
      </w:r>
      <w:r w:rsidRPr="00C204FC" w:rsidR="007A5353">
        <w:rPr>
          <w:rFonts w:ascii="Times New Roman" w:hAnsi="Times New Roman" w:cs="Times New Roman"/>
        </w:rPr>
        <w:t>are</w:t>
      </w:r>
      <w:r w:rsidRPr="00C204FC" w:rsidR="002151B0">
        <w:rPr>
          <w:rFonts w:ascii="Times New Roman" w:hAnsi="Times New Roman" w:cs="Times New Roman"/>
        </w:rPr>
        <w:t xml:space="preserve"> those that are combined with radiological </w:t>
      </w:r>
      <w:r w:rsidRPr="00C204FC" w:rsidR="00F408BF">
        <w:rPr>
          <w:rFonts w:ascii="Times New Roman" w:hAnsi="Times New Roman" w:cs="Times New Roman"/>
        </w:rPr>
        <w:t>source</w:t>
      </w:r>
      <w:r w:rsidRPr="00C204FC" w:rsidR="002106CD">
        <w:rPr>
          <w:rFonts w:ascii="Times New Roman" w:hAnsi="Times New Roman" w:cs="Times New Roman"/>
        </w:rPr>
        <w:t>s</w:t>
      </w:r>
      <w:r w:rsidRPr="00C204FC" w:rsidR="0031244D">
        <w:rPr>
          <w:rFonts w:ascii="Times New Roman" w:hAnsi="Times New Roman" w:cs="Times New Roman"/>
        </w:rPr>
        <w:t>,</w:t>
      </w:r>
      <w:r w:rsidRPr="00C204FC" w:rsidR="00F408BF">
        <w:rPr>
          <w:rFonts w:ascii="Times New Roman" w:hAnsi="Times New Roman" w:cs="Times New Roman"/>
        </w:rPr>
        <w:t xml:space="preserve"> </w:t>
      </w:r>
      <w:r w:rsidRPr="00C204FC" w:rsidR="00F500A4">
        <w:rPr>
          <w:rFonts w:ascii="Times New Roman" w:hAnsi="Times New Roman" w:cs="Times New Roman"/>
        </w:rPr>
        <w:t xml:space="preserve">or </w:t>
      </w:r>
      <w:r w:rsidRPr="00C204FC" w:rsidR="00EC2214">
        <w:rPr>
          <w:rFonts w:ascii="Times New Roman" w:hAnsi="Times New Roman" w:cs="Times New Roman"/>
        </w:rPr>
        <w:t xml:space="preserve">which </w:t>
      </w:r>
      <w:r w:rsidRPr="00C204FC" w:rsidR="00257A33">
        <w:rPr>
          <w:rFonts w:ascii="Times New Roman" w:hAnsi="Times New Roman" w:cs="Times New Roman"/>
        </w:rPr>
        <w:t xml:space="preserve">can </w:t>
      </w:r>
      <w:r w:rsidRPr="00C204FC" w:rsidR="002151B0">
        <w:rPr>
          <w:rFonts w:ascii="Times New Roman" w:hAnsi="Times New Roman" w:cs="Times New Roman"/>
        </w:rPr>
        <w:t xml:space="preserve">impact </w:t>
      </w:r>
      <w:r w:rsidRPr="00C204FC" w:rsidR="00F249EE">
        <w:rPr>
          <w:rFonts w:ascii="Times New Roman" w:hAnsi="Times New Roman" w:cs="Times New Roman"/>
        </w:rPr>
        <w:t>the plant response</w:t>
      </w:r>
      <w:r w:rsidRPr="00C204FC" w:rsidR="000D5FA9">
        <w:rPr>
          <w:rFonts w:ascii="Times New Roman" w:hAnsi="Times New Roman" w:cs="Times New Roman"/>
        </w:rPr>
        <w:t xml:space="preserve"> to an </w:t>
      </w:r>
      <w:r w:rsidRPr="00C204FC" w:rsidR="00CE681F">
        <w:rPr>
          <w:rFonts w:ascii="Times New Roman" w:hAnsi="Times New Roman" w:cs="Times New Roman"/>
        </w:rPr>
        <w:t>initiating event</w:t>
      </w:r>
      <w:r w:rsidRPr="00C204FC" w:rsidR="00EC2214">
        <w:rPr>
          <w:rFonts w:ascii="Times New Roman" w:hAnsi="Times New Roman" w:cs="Times New Roman"/>
        </w:rPr>
        <w:t xml:space="preserve"> or </w:t>
      </w:r>
      <w:r w:rsidRPr="00C204FC" w:rsidR="00973003">
        <w:rPr>
          <w:rFonts w:ascii="Times New Roman" w:hAnsi="Times New Roman" w:cs="Times New Roman"/>
        </w:rPr>
        <w:t xml:space="preserve">can affect the </w:t>
      </w:r>
      <w:r w:rsidRPr="00C204FC" w:rsidR="00B3594F">
        <w:rPr>
          <w:rFonts w:ascii="Times New Roman" w:hAnsi="Times New Roman" w:cs="Times New Roman"/>
        </w:rPr>
        <w:t xml:space="preserve">properties of the </w:t>
      </w:r>
      <w:r w:rsidRPr="00C204FC" w:rsidR="003E7239">
        <w:rPr>
          <w:rFonts w:ascii="Times New Roman" w:hAnsi="Times New Roman" w:cs="Times New Roman"/>
        </w:rPr>
        <w:t>radiological release</w:t>
      </w:r>
      <w:r w:rsidRPr="00C204FC" w:rsidR="00CE681F">
        <w:rPr>
          <w:rFonts w:ascii="Times New Roman" w:hAnsi="Times New Roman" w:cs="Times New Roman"/>
        </w:rPr>
        <w:t xml:space="preserve">. </w:t>
      </w:r>
      <w:r w:rsidRPr="00C204FC" w:rsidR="003B4984">
        <w:rPr>
          <w:rFonts w:ascii="Times New Roman" w:hAnsi="Times New Roman" w:cs="Times New Roman"/>
        </w:rPr>
        <w:t>C</w:t>
      </w:r>
      <w:r w:rsidRPr="00C204FC" w:rsidR="00764D8E">
        <w:rPr>
          <w:rFonts w:ascii="Times New Roman" w:hAnsi="Times New Roman" w:cs="Times New Roman"/>
        </w:rPr>
        <w:t>hemical sources</w:t>
      </w:r>
      <w:r w:rsidRPr="00C204FC" w:rsidR="003B4984">
        <w:rPr>
          <w:rFonts w:ascii="Times New Roman" w:hAnsi="Times New Roman" w:cs="Times New Roman"/>
        </w:rPr>
        <w:t xml:space="preserve"> that are</w:t>
      </w:r>
      <w:r w:rsidRPr="00C204FC" w:rsidR="00F71657">
        <w:rPr>
          <w:rFonts w:ascii="Times New Roman" w:hAnsi="Times New Roman" w:cs="Times New Roman"/>
        </w:rPr>
        <w:t xml:space="preserve"> not combined with radiological sources, and </w:t>
      </w:r>
      <w:r w:rsidR="0093548F">
        <w:rPr>
          <w:rFonts w:ascii="Times New Roman" w:hAnsi="Times New Roman" w:cs="Times New Roman"/>
        </w:rPr>
        <w:t>that</w:t>
      </w:r>
      <w:r w:rsidRPr="00C204FC" w:rsidR="00F71657">
        <w:rPr>
          <w:rFonts w:ascii="Times New Roman" w:hAnsi="Times New Roman" w:cs="Times New Roman"/>
        </w:rPr>
        <w:t xml:space="preserve"> do not impact plant response</w:t>
      </w:r>
      <w:r w:rsidR="008141A6">
        <w:rPr>
          <w:rFonts w:ascii="Times New Roman" w:hAnsi="Times New Roman" w:cs="Times New Roman"/>
        </w:rPr>
        <w:t>,</w:t>
      </w:r>
      <w:r w:rsidRPr="00C204FC" w:rsidR="00764D8E">
        <w:rPr>
          <w:rFonts w:ascii="Times New Roman" w:hAnsi="Times New Roman" w:cs="Times New Roman"/>
        </w:rPr>
        <w:t xml:space="preserve"> are outside the scope</w:t>
      </w:r>
      <w:r w:rsidRPr="00C204FC" w:rsidR="00F71657">
        <w:rPr>
          <w:rFonts w:ascii="Times New Roman" w:hAnsi="Times New Roman" w:cs="Times New Roman"/>
        </w:rPr>
        <w:t xml:space="preserve"> of </w:t>
      </w:r>
      <w:r w:rsidRPr="00C204FC" w:rsidR="00A87ACE">
        <w:rPr>
          <w:rFonts w:ascii="Times New Roman" w:hAnsi="Times New Roman" w:cs="Times New Roman"/>
        </w:rPr>
        <w:t>the</w:t>
      </w:r>
      <w:r w:rsidRPr="00C204FC" w:rsidR="00F71657">
        <w:rPr>
          <w:rFonts w:ascii="Times New Roman" w:hAnsi="Times New Roman" w:cs="Times New Roman"/>
        </w:rPr>
        <w:t xml:space="preserve"> search</w:t>
      </w:r>
      <w:r w:rsidRPr="00C204FC" w:rsidR="00A87ACE">
        <w:rPr>
          <w:rFonts w:ascii="Times New Roman" w:hAnsi="Times New Roman" w:cs="Times New Roman"/>
        </w:rPr>
        <w:t xml:space="preserve"> performed in this step</w:t>
      </w:r>
      <w:r w:rsidRPr="00C204FC" w:rsidR="00764D8E">
        <w:rPr>
          <w:rFonts w:ascii="Times New Roman" w:hAnsi="Times New Roman" w:cs="Times New Roman"/>
        </w:rPr>
        <w:t>.</w:t>
      </w:r>
      <w:r w:rsidRPr="00C204FC" w:rsidR="00350222">
        <w:rPr>
          <w:rFonts w:ascii="Times New Roman" w:hAnsi="Times New Roman" w:cs="Times New Roman"/>
        </w:rPr>
        <w:t xml:space="preserve"> </w:t>
      </w:r>
    </w:p>
    <w:p w:rsidR="00BF1F40" w:rsidP="002F3C90" w14:paraId="3679145D" w14:textId="77777777">
      <w:pPr>
        <w:spacing w:after="0" w:line="240" w:lineRule="auto"/>
        <w:ind w:left="720" w:hanging="720"/>
        <w:rPr>
          <w:rFonts w:ascii="Times New Roman" w:hAnsi="Times New Roman" w:cs="Times New Roman"/>
        </w:rPr>
      </w:pPr>
    </w:p>
    <w:p w:rsidR="009856A1" w:rsidRPr="00D320D5" w:rsidP="002F3C90" w14:paraId="2502C451" w14:textId="79550492">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O</w:t>
      </w:r>
      <w:r w:rsidRPr="00C204FC" w:rsidR="00350222">
        <w:rPr>
          <w:rFonts w:ascii="Times New Roman" w:hAnsi="Times New Roman" w:cs="Times New Roman"/>
        </w:rPr>
        <w:t>ther hazards</w:t>
      </w:r>
      <w:r w:rsidRPr="00C204FC" w:rsidR="009C6D6E">
        <w:rPr>
          <w:rFonts w:ascii="Times New Roman" w:hAnsi="Times New Roman" w:cs="Times New Roman"/>
        </w:rPr>
        <w:t xml:space="preserve">, such as </w:t>
      </w:r>
      <w:r w:rsidR="008141A6">
        <w:rPr>
          <w:rFonts w:ascii="Times New Roman" w:hAnsi="Times New Roman" w:cs="Times New Roman"/>
        </w:rPr>
        <w:t>those</w:t>
      </w:r>
      <w:r w:rsidRPr="00C204FC" w:rsidR="008141A6">
        <w:rPr>
          <w:rFonts w:ascii="Times New Roman" w:hAnsi="Times New Roman" w:cs="Times New Roman"/>
        </w:rPr>
        <w:t xml:space="preserve"> </w:t>
      </w:r>
      <w:r w:rsidRPr="00C204FC" w:rsidR="009C6D6E">
        <w:rPr>
          <w:rFonts w:ascii="Times New Roman" w:hAnsi="Times New Roman" w:cs="Times New Roman"/>
        </w:rPr>
        <w:t>from nearby industrial facilities</w:t>
      </w:r>
      <w:r w:rsidR="008141A6">
        <w:rPr>
          <w:rFonts w:ascii="Times New Roman" w:hAnsi="Times New Roman" w:cs="Times New Roman"/>
        </w:rPr>
        <w:t>,</w:t>
      </w:r>
      <w:r w:rsidRPr="00C204FC" w:rsidR="00350222">
        <w:rPr>
          <w:rFonts w:ascii="Times New Roman" w:hAnsi="Times New Roman" w:cs="Times New Roman"/>
        </w:rPr>
        <w:t xml:space="preserve"> that </w:t>
      </w:r>
      <w:r w:rsidRPr="00C204FC" w:rsidR="009C6D6E">
        <w:rPr>
          <w:rFonts w:ascii="Times New Roman" w:hAnsi="Times New Roman" w:cs="Times New Roman"/>
        </w:rPr>
        <w:t>could induce</w:t>
      </w:r>
      <w:r w:rsidRPr="00C204FC" w:rsidR="00350222">
        <w:rPr>
          <w:rFonts w:ascii="Times New Roman" w:hAnsi="Times New Roman" w:cs="Times New Roman"/>
        </w:rPr>
        <w:t xml:space="preserve"> an initiating event</w:t>
      </w:r>
      <w:r w:rsidRPr="00C204FC" w:rsidR="009C6D6E">
        <w:rPr>
          <w:rFonts w:ascii="Times New Roman" w:hAnsi="Times New Roman" w:cs="Times New Roman"/>
        </w:rPr>
        <w:t xml:space="preserve"> to the nuclear plant</w:t>
      </w:r>
      <w:r w:rsidRPr="00C204FC" w:rsidR="00350222">
        <w:rPr>
          <w:rFonts w:ascii="Times New Roman" w:hAnsi="Times New Roman" w:cs="Times New Roman"/>
        </w:rPr>
        <w:t xml:space="preserve"> are expected to be covered during the search for initiating events </w:t>
      </w:r>
      <w:r w:rsidR="0011545B">
        <w:rPr>
          <w:rFonts w:ascii="Times New Roman" w:hAnsi="Times New Roman" w:cs="Times New Roman"/>
        </w:rPr>
        <w:t>discussed in paragraph</w:t>
      </w:r>
      <w:r w:rsidR="000717EE">
        <w:rPr>
          <w:rFonts w:ascii="Times New Roman" w:hAnsi="Times New Roman" w:cs="Times New Roman"/>
        </w:rPr>
        <w:t>s</w:t>
      </w:r>
      <w:r w:rsidR="008141A6">
        <w:rPr>
          <w:rFonts w:ascii="Times New Roman" w:hAnsi="Times New Roman" w:cs="Times New Roman"/>
        </w:rPr>
        <w:t> </w:t>
      </w:r>
      <w:r w:rsidR="000717EE">
        <w:rPr>
          <w:rFonts w:ascii="Times New Roman" w:hAnsi="Times New Roman" w:cs="Times New Roman"/>
        </w:rPr>
        <w:t>26</w:t>
      </w:r>
      <w:r w:rsidR="00510C14">
        <w:rPr>
          <w:rFonts w:ascii="Times New Roman" w:hAnsi="Times New Roman" w:cs="Times New Roman"/>
        </w:rPr>
        <w:t xml:space="preserve"> through</w:t>
      </w:r>
      <w:r w:rsidR="008141A6">
        <w:rPr>
          <w:rFonts w:ascii="Times New Roman" w:hAnsi="Times New Roman" w:cs="Times New Roman"/>
        </w:rPr>
        <w:t> </w:t>
      </w:r>
      <w:r w:rsidR="00510C14">
        <w:rPr>
          <w:rFonts w:ascii="Times New Roman" w:hAnsi="Times New Roman" w:cs="Times New Roman"/>
        </w:rPr>
        <w:t>29</w:t>
      </w:r>
      <w:r w:rsidR="0011545B">
        <w:rPr>
          <w:rFonts w:ascii="Times New Roman" w:hAnsi="Times New Roman" w:cs="Times New Roman"/>
        </w:rPr>
        <w:t xml:space="preserve"> below</w:t>
      </w:r>
      <w:r w:rsidRPr="00D320D5" w:rsidR="00E12DBD">
        <w:rPr>
          <w:rFonts w:ascii="Times New Roman" w:hAnsi="Times New Roman" w:cs="Times New Roman"/>
        </w:rPr>
        <w:t>.</w:t>
      </w:r>
    </w:p>
    <w:p w:rsidR="00B0614C" w:rsidP="002F3C90" w14:paraId="5B0DC2F2" w14:textId="77777777">
      <w:pPr>
        <w:spacing w:after="0" w:line="240" w:lineRule="auto"/>
        <w:rPr>
          <w:rFonts w:ascii="Times New Roman" w:hAnsi="Times New Roman" w:cs="Times New Roman"/>
        </w:rPr>
      </w:pPr>
    </w:p>
    <w:p w:rsidR="00B11F19" w:rsidRPr="00282D31" w:rsidP="002F3C90" w14:paraId="22CB42D9" w14:textId="66FFDF49">
      <w:pPr>
        <w:pStyle w:val="Heading3"/>
        <w:spacing w:line="240" w:lineRule="auto"/>
        <w:rPr>
          <w:i/>
          <w:iCs/>
        </w:rPr>
      </w:pPr>
      <w:r w:rsidRPr="00282D31">
        <w:rPr>
          <w:i/>
          <w:iCs/>
        </w:rPr>
        <w:t xml:space="preserve">Identify </w:t>
      </w:r>
      <w:r w:rsidRPr="00282D31" w:rsidR="003C1458">
        <w:rPr>
          <w:i/>
          <w:iCs/>
        </w:rPr>
        <w:t xml:space="preserve">Plant-Specific Safety Functions </w:t>
      </w:r>
      <w:r w:rsidRPr="00282D31" w:rsidR="00F85810">
        <w:rPr>
          <w:i/>
          <w:iCs/>
        </w:rPr>
        <w:t>(Box</w:t>
      </w:r>
      <w:r w:rsidR="008141A6">
        <w:rPr>
          <w:i/>
          <w:iCs/>
        </w:rPr>
        <w:t> </w:t>
      </w:r>
      <w:r w:rsidRPr="00282D31" w:rsidR="009C03F2">
        <w:rPr>
          <w:i/>
          <w:iCs/>
        </w:rPr>
        <w:t>6</w:t>
      </w:r>
      <w:r w:rsidRPr="00282D31" w:rsidR="00F85810">
        <w:rPr>
          <w:i/>
          <w:iCs/>
        </w:rPr>
        <w:t>, Principle #1)</w:t>
      </w:r>
    </w:p>
    <w:p w:rsidR="008B47AA" w:rsidP="002F3C90" w14:paraId="3FFFDAA5" w14:textId="77777777">
      <w:pPr>
        <w:spacing w:after="0" w:line="240" w:lineRule="auto"/>
        <w:ind w:firstLine="720"/>
        <w:rPr>
          <w:rFonts w:ascii="Times New Roman" w:hAnsi="Times New Roman" w:cs="Times New Roman"/>
        </w:rPr>
      </w:pPr>
    </w:p>
    <w:p w:rsidR="00EE1518" w:rsidRPr="00282D31" w:rsidP="002F3C90" w14:paraId="518D830E" w14:textId="03F402B1">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Having identified the radiological sources and </w:t>
      </w:r>
      <w:r w:rsidRPr="00282D31" w:rsidR="00126145">
        <w:rPr>
          <w:rFonts w:ascii="Times New Roman" w:hAnsi="Times New Roman" w:cs="Times New Roman"/>
        </w:rPr>
        <w:t xml:space="preserve">sources of hazardous </w:t>
      </w:r>
      <w:r w:rsidRPr="00282D31">
        <w:rPr>
          <w:rFonts w:ascii="Times New Roman" w:hAnsi="Times New Roman" w:cs="Times New Roman"/>
        </w:rPr>
        <w:t xml:space="preserve">chemical </w:t>
      </w:r>
      <w:r w:rsidRPr="00282D31" w:rsidR="00126145">
        <w:rPr>
          <w:rFonts w:ascii="Times New Roman" w:hAnsi="Times New Roman" w:cs="Times New Roman"/>
        </w:rPr>
        <w:t>materials</w:t>
      </w:r>
      <w:r w:rsidRPr="00282D31">
        <w:rPr>
          <w:rFonts w:ascii="Times New Roman" w:hAnsi="Times New Roman" w:cs="Times New Roman"/>
        </w:rPr>
        <w:t xml:space="preserve">, the </w:t>
      </w:r>
      <w:r w:rsidR="00060B09">
        <w:rPr>
          <w:rFonts w:ascii="Times New Roman" w:hAnsi="Times New Roman" w:cs="Times New Roman"/>
        </w:rPr>
        <w:t xml:space="preserve">previously defined </w:t>
      </w:r>
      <w:r w:rsidRPr="00282D31">
        <w:rPr>
          <w:rFonts w:ascii="Times New Roman" w:hAnsi="Times New Roman" w:cs="Times New Roman"/>
        </w:rPr>
        <w:t>plant</w:t>
      </w:r>
      <w:r w:rsidR="008141A6">
        <w:rPr>
          <w:rFonts w:ascii="Times New Roman" w:hAnsi="Times New Roman" w:cs="Times New Roman"/>
        </w:rPr>
        <w:noBreakHyphen/>
      </w:r>
      <w:r w:rsidRPr="00282D31">
        <w:rPr>
          <w:rFonts w:ascii="Times New Roman" w:hAnsi="Times New Roman" w:cs="Times New Roman"/>
        </w:rPr>
        <w:t>specific safety</w:t>
      </w:r>
      <w:r w:rsidRPr="00282D31" w:rsidR="008411C0">
        <w:rPr>
          <w:rFonts w:ascii="Times New Roman" w:hAnsi="Times New Roman" w:cs="Times New Roman"/>
        </w:rPr>
        <w:t xml:space="preserve"> </w:t>
      </w:r>
      <w:r w:rsidRPr="00282D31">
        <w:rPr>
          <w:rFonts w:ascii="Times New Roman" w:hAnsi="Times New Roman" w:cs="Times New Roman"/>
        </w:rPr>
        <w:t>functions</w:t>
      </w:r>
      <w:r w:rsidRPr="00282D31" w:rsidR="008410AE">
        <w:rPr>
          <w:rFonts w:ascii="Times New Roman" w:hAnsi="Times New Roman" w:cs="Times New Roman"/>
        </w:rPr>
        <w:t xml:space="preserve"> that</w:t>
      </w:r>
      <w:r w:rsidRPr="00282D31">
        <w:rPr>
          <w:rFonts w:ascii="Times New Roman" w:hAnsi="Times New Roman" w:cs="Times New Roman"/>
        </w:rPr>
        <w:t xml:space="preserve"> </w:t>
      </w:r>
      <w:r w:rsidRPr="00282D31" w:rsidR="005C1B30">
        <w:rPr>
          <w:rFonts w:ascii="Times New Roman" w:hAnsi="Times New Roman" w:cs="Times New Roman"/>
        </w:rPr>
        <w:t>need to be performed to prevent radiological releases should</w:t>
      </w:r>
      <w:r w:rsidRPr="00282D31">
        <w:rPr>
          <w:rFonts w:ascii="Times New Roman" w:hAnsi="Times New Roman" w:cs="Times New Roman"/>
        </w:rPr>
        <w:t xml:space="preserve"> be</w:t>
      </w:r>
      <w:r w:rsidRPr="00282D31">
        <w:rPr>
          <w:rFonts w:ascii="Times New Roman" w:hAnsi="Times New Roman" w:cs="Times New Roman"/>
        </w:rPr>
        <w:t xml:space="preserve"> identified</w:t>
      </w:r>
      <w:r w:rsidRPr="00282D31" w:rsidR="00B3594F">
        <w:rPr>
          <w:rFonts w:ascii="Times New Roman" w:hAnsi="Times New Roman" w:cs="Times New Roman"/>
        </w:rPr>
        <w:t>,</w:t>
      </w:r>
      <w:r w:rsidRPr="00282D31" w:rsidR="00BE5363">
        <w:rPr>
          <w:rFonts w:ascii="Times New Roman" w:hAnsi="Times New Roman" w:cs="Times New Roman"/>
        </w:rPr>
        <w:t xml:space="preserve"> followed by </w:t>
      </w:r>
      <w:r w:rsidRPr="00282D31" w:rsidR="008411C0">
        <w:rPr>
          <w:rFonts w:ascii="Times New Roman" w:hAnsi="Times New Roman" w:cs="Times New Roman"/>
        </w:rPr>
        <w:t xml:space="preserve">the </w:t>
      </w:r>
      <w:r w:rsidRPr="00282D31" w:rsidR="00BE5363">
        <w:rPr>
          <w:rFonts w:ascii="Times New Roman" w:hAnsi="Times New Roman" w:cs="Times New Roman"/>
        </w:rPr>
        <w:t>identification of</w:t>
      </w:r>
      <w:r w:rsidRPr="00282D31" w:rsidR="008411C0">
        <w:rPr>
          <w:rFonts w:ascii="Times New Roman" w:hAnsi="Times New Roman" w:cs="Times New Roman"/>
        </w:rPr>
        <w:t xml:space="preserve"> </w:t>
      </w:r>
      <w:r w:rsidRPr="00282D31" w:rsidR="00BE5363">
        <w:rPr>
          <w:rFonts w:ascii="Times New Roman" w:hAnsi="Times New Roman" w:cs="Times New Roman"/>
        </w:rPr>
        <w:t>systems</w:t>
      </w:r>
      <w:r w:rsidRPr="00282D31" w:rsidR="0020069E">
        <w:rPr>
          <w:rFonts w:ascii="Times New Roman" w:hAnsi="Times New Roman" w:cs="Times New Roman"/>
        </w:rPr>
        <w:t xml:space="preserve"> and operator actions</w:t>
      </w:r>
      <w:r w:rsidRPr="00282D31" w:rsidR="00BE5363">
        <w:rPr>
          <w:rFonts w:ascii="Times New Roman" w:hAnsi="Times New Roman" w:cs="Times New Roman"/>
        </w:rPr>
        <w:t xml:space="preserve"> needed to perform each safety function</w:t>
      </w:r>
      <w:r w:rsidRPr="00282D31" w:rsidR="0020069E">
        <w:rPr>
          <w:rFonts w:ascii="Times New Roman" w:hAnsi="Times New Roman" w:cs="Times New Roman"/>
        </w:rPr>
        <w:t>.</w:t>
      </w:r>
      <w:r w:rsidRPr="00282D31" w:rsidR="00F97E37">
        <w:rPr>
          <w:rFonts w:ascii="Times New Roman" w:hAnsi="Times New Roman" w:cs="Times New Roman"/>
        </w:rPr>
        <w:t xml:space="preserve">  </w:t>
      </w:r>
    </w:p>
    <w:p w:rsidR="00EE1518" w:rsidP="002F3C90" w14:paraId="69DDF26B" w14:textId="77777777">
      <w:pPr>
        <w:spacing w:after="0" w:line="240" w:lineRule="auto"/>
        <w:ind w:left="720" w:hanging="720"/>
        <w:rPr>
          <w:rFonts w:ascii="Times New Roman" w:hAnsi="Times New Roman" w:cs="Times New Roman"/>
        </w:rPr>
      </w:pPr>
    </w:p>
    <w:p w:rsidR="00521D41" w:rsidP="002F3C90" w14:paraId="44065EE4" w14:textId="739E4930">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Safety functions are those </w:t>
      </w:r>
      <w:r w:rsidRPr="00282D31" w:rsidR="00642CD3">
        <w:rPr>
          <w:rFonts w:ascii="Times New Roman" w:hAnsi="Times New Roman" w:cs="Times New Roman"/>
        </w:rPr>
        <w:t>functions performed to</w:t>
      </w:r>
      <w:r w:rsidRPr="00282D31" w:rsidR="00651690">
        <w:rPr>
          <w:rFonts w:ascii="Times New Roman" w:hAnsi="Times New Roman" w:cs="Times New Roman"/>
        </w:rPr>
        <w:t xml:space="preserve"> limit</w:t>
      </w:r>
      <w:r w:rsidRPr="00282D31" w:rsidR="008E20FD">
        <w:rPr>
          <w:rFonts w:ascii="Times New Roman" w:hAnsi="Times New Roman" w:cs="Times New Roman"/>
        </w:rPr>
        <w:t xml:space="preserve"> the release of radioactive materials</w:t>
      </w:r>
      <w:r w:rsidRPr="00282D31" w:rsidR="00FA3F62">
        <w:rPr>
          <w:rFonts w:ascii="Times New Roman" w:hAnsi="Times New Roman" w:cs="Times New Roman"/>
        </w:rPr>
        <w:t xml:space="preserve"> from the facility and</w:t>
      </w:r>
      <w:r w:rsidRPr="00282D31" w:rsidR="00642CD3">
        <w:rPr>
          <w:rFonts w:ascii="Times New Roman" w:hAnsi="Times New Roman" w:cs="Times New Roman"/>
        </w:rPr>
        <w:t xml:space="preserve"> control the sources of energy</w:t>
      </w:r>
      <w:r w:rsidRPr="00282D31" w:rsidR="00527D34">
        <w:rPr>
          <w:rFonts w:ascii="Times New Roman" w:hAnsi="Times New Roman" w:cs="Times New Roman"/>
        </w:rPr>
        <w:t xml:space="preserve"> </w:t>
      </w:r>
      <w:r w:rsidRPr="00282D31" w:rsidR="00642CD3">
        <w:rPr>
          <w:rFonts w:ascii="Times New Roman" w:hAnsi="Times New Roman" w:cs="Times New Roman"/>
        </w:rPr>
        <w:t>in the plant</w:t>
      </w:r>
      <w:r w:rsidRPr="00282D31" w:rsidR="008751C0">
        <w:rPr>
          <w:rFonts w:ascii="Times New Roman" w:hAnsi="Times New Roman" w:cs="Times New Roman"/>
        </w:rPr>
        <w:t xml:space="preserve">. </w:t>
      </w:r>
      <w:r w:rsidRPr="00282D31" w:rsidR="000B12DB">
        <w:rPr>
          <w:rFonts w:ascii="Times New Roman" w:hAnsi="Times New Roman" w:cs="Times New Roman"/>
        </w:rPr>
        <w:t>The safety functions are established during the design process for the facility</w:t>
      </w:r>
      <w:r w:rsidRPr="00282D31" w:rsidR="00BB5CE8">
        <w:rPr>
          <w:rFonts w:ascii="Times New Roman" w:hAnsi="Times New Roman" w:cs="Times New Roman"/>
        </w:rPr>
        <w:t>.</w:t>
      </w:r>
      <w:r w:rsidRPr="00282D31" w:rsidR="00FC1135">
        <w:rPr>
          <w:rFonts w:ascii="Times New Roman" w:hAnsi="Times New Roman" w:cs="Times New Roman"/>
        </w:rPr>
        <w:t xml:space="preserve"> </w:t>
      </w:r>
      <w:r w:rsidRPr="00282D31" w:rsidR="00642CD3">
        <w:rPr>
          <w:rFonts w:ascii="Times New Roman" w:hAnsi="Times New Roman" w:cs="Times New Roman"/>
        </w:rPr>
        <w:t>The concept of safety functions forms the basis for selecting initiating</w:t>
      </w:r>
      <w:r w:rsidRPr="00282D31" w:rsidR="00527D34">
        <w:rPr>
          <w:rFonts w:ascii="Times New Roman" w:hAnsi="Times New Roman" w:cs="Times New Roman"/>
        </w:rPr>
        <w:t xml:space="preserve"> </w:t>
      </w:r>
      <w:r w:rsidRPr="00282D31" w:rsidR="00642CD3">
        <w:rPr>
          <w:rFonts w:ascii="Times New Roman" w:hAnsi="Times New Roman" w:cs="Times New Roman"/>
        </w:rPr>
        <w:t>events and delineating potential plant responses</w:t>
      </w:r>
      <w:r w:rsidRPr="00282D31" w:rsidR="008751C0">
        <w:rPr>
          <w:rFonts w:ascii="Times New Roman" w:hAnsi="Times New Roman" w:cs="Times New Roman"/>
        </w:rPr>
        <w:t xml:space="preserve">. </w:t>
      </w:r>
      <w:r w:rsidRPr="00282D31" w:rsidR="00642CD3">
        <w:rPr>
          <w:rFonts w:ascii="Times New Roman" w:hAnsi="Times New Roman" w:cs="Times New Roman"/>
        </w:rPr>
        <w:t>Generally,</w:t>
      </w:r>
      <w:r w:rsidRPr="00282D31" w:rsidR="00527D34">
        <w:rPr>
          <w:rFonts w:ascii="Times New Roman" w:hAnsi="Times New Roman" w:cs="Times New Roman"/>
        </w:rPr>
        <w:t xml:space="preserve"> </w:t>
      </w:r>
      <w:r w:rsidRPr="00282D31" w:rsidR="00642CD3">
        <w:rPr>
          <w:rFonts w:ascii="Times New Roman" w:hAnsi="Times New Roman" w:cs="Times New Roman"/>
        </w:rPr>
        <w:t xml:space="preserve">safety functions </w:t>
      </w:r>
      <w:r w:rsidR="00117806">
        <w:rPr>
          <w:rFonts w:ascii="Times New Roman" w:hAnsi="Times New Roman" w:cs="Times New Roman"/>
        </w:rPr>
        <w:t>specify</w:t>
      </w:r>
      <w:r w:rsidRPr="00282D31" w:rsidR="00642CD3">
        <w:rPr>
          <w:rFonts w:ascii="Times New Roman" w:hAnsi="Times New Roman" w:cs="Times New Roman"/>
        </w:rPr>
        <w:t xml:space="preserve"> a group of actions that </w:t>
      </w:r>
      <w:r w:rsidRPr="00282D31" w:rsidR="00EF3AC3">
        <w:rPr>
          <w:rFonts w:ascii="Times New Roman" w:hAnsi="Times New Roman" w:cs="Times New Roman"/>
          <w:color w:val="000000"/>
        </w:rPr>
        <w:t>limit the release of radioactive materials from the facility</w:t>
      </w:r>
      <w:r w:rsidRPr="00282D31" w:rsidR="001417AD">
        <w:rPr>
          <w:rFonts w:ascii="Times New Roman" w:hAnsi="Times New Roman" w:cs="Times New Roman"/>
        </w:rPr>
        <w:t xml:space="preserve">, or </w:t>
      </w:r>
      <w:r w:rsidRPr="00282D31" w:rsidR="002D7E91">
        <w:rPr>
          <w:rFonts w:ascii="Times New Roman" w:hAnsi="Times New Roman" w:cs="Times New Roman"/>
          <w:color w:val="000000"/>
        </w:rPr>
        <w:t>support</w:t>
      </w:r>
      <w:r w:rsidRPr="00282D31" w:rsidR="001417AD">
        <w:rPr>
          <w:rFonts w:ascii="Times New Roman" w:hAnsi="Times New Roman" w:cs="Times New Roman"/>
          <w:color w:val="000000"/>
        </w:rPr>
        <w:t xml:space="preserve"> the retention of radioactive materials</w:t>
      </w:r>
      <w:r w:rsidRPr="00282D31" w:rsidR="00A015EB">
        <w:rPr>
          <w:rFonts w:ascii="Times New Roman" w:hAnsi="Times New Roman" w:cs="Times New Roman"/>
          <w:color w:val="000000"/>
        </w:rPr>
        <w:t>,</w:t>
      </w:r>
      <w:r w:rsidRPr="00282D31" w:rsidR="002D7E91">
        <w:rPr>
          <w:rFonts w:ascii="Times New Roman" w:hAnsi="Times New Roman" w:cs="Times New Roman"/>
          <w:color w:val="000000"/>
        </w:rPr>
        <w:t xml:space="preserve"> </w:t>
      </w:r>
      <w:r w:rsidRPr="00282D31" w:rsidR="001417AD">
        <w:rPr>
          <w:rFonts w:ascii="Times New Roman" w:hAnsi="Times New Roman" w:cs="Times New Roman"/>
          <w:color w:val="000000"/>
        </w:rPr>
        <w:t>such as controlling reactivity, heat generation, heat removal, and chemical interactions</w:t>
      </w:r>
      <w:r w:rsidRPr="00282D31" w:rsidR="00FF1E03">
        <w:rPr>
          <w:rFonts w:ascii="Times New Roman" w:hAnsi="Times New Roman" w:cs="Times New Roman"/>
          <w:color w:val="000000"/>
        </w:rPr>
        <w:t xml:space="preserve">. </w:t>
      </w:r>
      <w:r w:rsidRPr="00282D31" w:rsidR="00642CD3">
        <w:rPr>
          <w:rFonts w:ascii="Times New Roman" w:hAnsi="Times New Roman" w:cs="Times New Roman"/>
        </w:rPr>
        <w:t>Such</w:t>
      </w:r>
      <w:r w:rsidRPr="00282D31" w:rsidR="00527D34">
        <w:rPr>
          <w:rFonts w:ascii="Times New Roman" w:hAnsi="Times New Roman" w:cs="Times New Roman"/>
        </w:rPr>
        <w:t xml:space="preserve"> </w:t>
      </w:r>
      <w:r w:rsidRPr="00282D31" w:rsidR="00642CD3">
        <w:rPr>
          <w:rFonts w:ascii="Times New Roman" w:hAnsi="Times New Roman" w:cs="Times New Roman"/>
        </w:rPr>
        <w:t>actions can result from the automatic or manual actuation of a system, from</w:t>
      </w:r>
      <w:r w:rsidRPr="00282D31" w:rsidR="00527D34">
        <w:rPr>
          <w:rFonts w:ascii="Times New Roman" w:hAnsi="Times New Roman" w:cs="Times New Roman"/>
        </w:rPr>
        <w:t xml:space="preserve"> </w:t>
      </w:r>
      <w:r w:rsidRPr="00282D31" w:rsidR="00642CD3">
        <w:rPr>
          <w:rFonts w:ascii="Times New Roman" w:hAnsi="Times New Roman" w:cs="Times New Roman"/>
        </w:rPr>
        <w:t>passive system performance, or from the natural feedback inherent in the</w:t>
      </w:r>
      <w:r w:rsidRPr="00282D31" w:rsidR="00527D34">
        <w:rPr>
          <w:rFonts w:ascii="Times New Roman" w:hAnsi="Times New Roman" w:cs="Times New Roman"/>
        </w:rPr>
        <w:t xml:space="preserve"> </w:t>
      </w:r>
      <w:r w:rsidRPr="00282D31" w:rsidR="00642CD3">
        <w:rPr>
          <w:rFonts w:ascii="Times New Roman" w:hAnsi="Times New Roman" w:cs="Times New Roman"/>
        </w:rPr>
        <w:t>design of the plant</w:t>
      </w:r>
      <w:r w:rsidRPr="00282D31" w:rsidR="008751C0">
        <w:rPr>
          <w:rFonts w:ascii="Times New Roman" w:hAnsi="Times New Roman" w:cs="Times New Roman"/>
        </w:rPr>
        <w:t xml:space="preserve">. </w:t>
      </w:r>
      <w:r w:rsidRPr="00282D31" w:rsidR="009E3223">
        <w:rPr>
          <w:rFonts w:ascii="Times New Roman" w:hAnsi="Times New Roman" w:cs="Times New Roman"/>
        </w:rPr>
        <w:t xml:space="preserve"> </w:t>
      </w:r>
    </w:p>
    <w:p w:rsidR="009604C3" w:rsidRPr="009604C3" w:rsidP="002F3C90" w14:paraId="1A6AA928" w14:textId="77777777">
      <w:pPr>
        <w:spacing w:after="0" w:line="240" w:lineRule="auto"/>
        <w:rPr>
          <w:rFonts w:ascii="Times New Roman" w:hAnsi="Times New Roman" w:cs="Times New Roman"/>
        </w:rPr>
      </w:pPr>
    </w:p>
    <w:p w:rsidR="00642CD3" w:rsidRPr="00282D31" w:rsidP="002F3C90" w14:paraId="312CA67F" w14:textId="1118A9C5">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Identif</w:t>
      </w:r>
      <w:r w:rsidR="00884BDA">
        <w:rPr>
          <w:rFonts w:ascii="Times New Roman" w:hAnsi="Times New Roman" w:cs="Times New Roman"/>
        </w:rPr>
        <w:t>ication of</w:t>
      </w:r>
      <w:r w:rsidRPr="00282D31">
        <w:rPr>
          <w:rFonts w:ascii="Times New Roman" w:hAnsi="Times New Roman" w:cs="Times New Roman"/>
        </w:rPr>
        <w:t xml:space="preserve"> the</w:t>
      </w:r>
      <w:r w:rsidRPr="00282D31">
        <w:rPr>
          <w:rFonts w:ascii="Times New Roman" w:hAnsi="Times New Roman" w:cs="Times New Roman"/>
        </w:rPr>
        <w:t xml:space="preserve"> safety functions forms the preliminary</w:t>
      </w:r>
      <w:r w:rsidRPr="00282D31" w:rsidR="0064798E">
        <w:rPr>
          <w:rFonts w:ascii="Times New Roman" w:hAnsi="Times New Roman" w:cs="Times New Roman"/>
        </w:rPr>
        <w:t xml:space="preserve"> </w:t>
      </w:r>
      <w:r w:rsidRPr="00282D31">
        <w:rPr>
          <w:rFonts w:ascii="Times New Roman" w:hAnsi="Times New Roman" w:cs="Times New Roman"/>
        </w:rPr>
        <w:t>basis for grouping accident</w:t>
      </w:r>
      <w:r w:rsidR="009E42C7">
        <w:rPr>
          <w:rFonts w:ascii="Times New Roman" w:hAnsi="Times New Roman" w:cs="Times New Roman"/>
        </w:rPr>
        <w:noBreakHyphen/>
      </w:r>
      <w:r w:rsidRPr="00282D31">
        <w:rPr>
          <w:rFonts w:ascii="Times New Roman" w:hAnsi="Times New Roman" w:cs="Times New Roman"/>
        </w:rPr>
        <w:t>initiating events</w:t>
      </w:r>
      <w:r w:rsidRPr="00282D31" w:rsidR="00DD1553">
        <w:rPr>
          <w:rFonts w:ascii="Times New Roman" w:hAnsi="Times New Roman" w:cs="Times New Roman"/>
        </w:rPr>
        <w:t xml:space="preserve"> and</w:t>
      </w:r>
      <w:r w:rsidRPr="00282D31">
        <w:rPr>
          <w:rFonts w:ascii="Times New Roman" w:hAnsi="Times New Roman" w:cs="Times New Roman"/>
        </w:rPr>
        <w:t xml:space="preserve"> provides the structure</w:t>
      </w:r>
      <w:r w:rsidRPr="00282D31" w:rsidR="0064798E">
        <w:rPr>
          <w:rFonts w:ascii="Times New Roman" w:hAnsi="Times New Roman" w:cs="Times New Roman"/>
        </w:rPr>
        <w:t xml:space="preserve"> </w:t>
      </w:r>
      <w:r w:rsidRPr="00282D31">
        <w:rPr>
          <w:rFonts w:ascii="Times New Roman" w:hAnsi="Times New Roman" w:cs="Times New Roman"/>
        </w:rPr>
        <w:t>for defining and grouping systems to define a complete set of</w:t>
      </w:r>
      <w:r w:rsidRPr="00282D31" w:rsidR="0064798E">
        <w:rPr>
          <w:rFonts w:ascii="Times New Roman" w:hAnsi="Times New Roman" w:cs="Times New Roman"/>
        </w:rPr>
        <w:t xml:space="preserve"> </w:t>
      </w:r>
      <w:r w:rsidRPr="00282D31">
        <w:rPr>
          <w:rFonts w:ascii="Times New Roman" w:hAnsi="Times New Roman" w:cs="Times New Roman"/>
        </w:rPr>
        <w:t xml:space="preserve">system responses and interactions for each </w:t>
      </w:r>
      <w:r w:rsidRPr="00282D31" w:rsidR="009D1096">
        <w:rPr>
          <w:rFonts w:ascii="Times New Roman" w:hAnsi="Times New Roman" w:cs="Times New Roman"/>
        </w:rPr>
        <w:t>group</w:t>
      </w:r>
      <w:r w:rsidRPr="00282D31">
        <w:rPr>
          <w:rFonts w:ascii="Times New Roman" w:hAnsi="Times New Roman" w:cs="Times New Roman"/>
        </w:rPr>
        <w:t xml:space="preserve"> of initiating</w:t>
      </w:r>
      <w:r w:rsidRPr="00282D31" w:rsidR="0064798E">
        <w:rPr>
          <w:rFonts w:ascii="Times New Roman" w:hAnsi="Times New Roman" w:cs="Times New Roman"/>
        </w:rPr>
        <w:t xml:space="preserve"> </w:t>
      </w:r>
      <w:r w:rsidRPr="00282D31">
        <w:rPr>
          <w:rFonts w:ascii="Times New Roman" w:hAnsi="Times New Roman" w:cs="Times New Roman"/>
        </w:rPr>
        <w:t>events.</w:t>
      </w:r>
      <w:r w:rsidRPr="00282D31" w:rsidR="006D2D15">
        <w:rPr>
          <w:rFonts w:ascii="Times New Roman" w:hAnsi="Times New Roman" w:cs="Times New Roman"/>
        </w:rPr>
        <w:t xml:space="preserve"> Additional distinction may be needed in the definition of safety functions to differentiate </w:t>
      </w:r>
      <w:r w:rsidR="008141A6">
        <w:rPr>
          <w:rFonts w:ascii="Times New Roman" w:hAnsi="Times New Roman" w:cs="Times New Roman"/>
        </w:rPr>
        <w:t>among</w:t>
      </w:r>
      <w:r w:rsidRPr="00282D31" w:rsidR="008141A6">
        <w:rPr>
          <w:rFonts w:ascii="Times New Roman" w:hAnsi="Times New Roman" w:cs="Times New Roman"/>
        </w:rPr>
        <w:t xml:space="preserve"> </w:t>
      </w:r>
      <w:r w:rsidRPr="00282D31" w:rsidR="009D1096">
        <w:rPr>
          <w:rFonts w:ascii="Times New Roman" w:hAnsi="Times New Roman" w:cs="Times New Roman"/>
        </w:rPr>
        <w:t>groups</w:t>
      </w:r>
      <w:r w:rsidRPr="00282D31" w:rsidR="006D2D15">
        <w:rPr>
          <w:rFonts w:ascii="Times New Roman" w:hAnsi="Times New Roman" w:cs="Times New Roman"/>
        </w:rPr>
        <w:t xml:space="preserve"> of initiating events.</w:t>
      </w:r>
    </w:p>
    <w:p w:rsidR="004B78B8" w:rsidP="002F3C90" w14:paraId="34F5EE97" w14:textId="77777777">
      <w:pPr>
        <w:spacing w:after="0" w:line="240" w:lineRule="auto"/>
        <w:ind w:left="720" w:hanging="720"/>
        <w:rPr>
          <w:rFonts w:ascii="Times New Roman" w:hAnsi="Times New Roman" w:cs="Times New Roman"/>
        </w:rPr>
      </w:pPr>
    </w:p>
    <w:p w:rsidR="00602A39" w:rsidRPr="00282D31" w:rsidP="002F3C90" w14:paraId="565234A9" w14:textId="25E022A7">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F</w:t>
      </w:r>
      <w:r w:rsidRPr="00282D31" w:rsidR="00E909C9">
        <w:rPr>
          <w:rFonts w:ascii="Times New Roman" w:hAnsi="Times New Roman" w:cs="Times New Roman"/>
        </w:rPr>
        <w:t xml:space="preserve">ollowing the </w:t>
      </w:r>
      <w:r w:rsidRPr="00282D31" w:rsidR="00EC57BF">
        <w:rPr>
          <w:rFonts w:ascii="Times New Roman" w:hAnsi="Times New Roman" w:cs="Times New Roman"/>
        </w:rPr>
        <w:t xml:space="preserve">identification </w:t>
      </w:r>
      <w:r w:rsidRPr="00282D31" w:rsidR="00E909C9">
        <w:rPr>
          <w:rFonts w:ascii="Times New Roman" w:hAnsi="Times New Roman" w:cs="Times New Roman"/>
        </w:rPr>
        <w:t>of the safety functions</w:t>
      </w:r>
      <w:r w:rsidRPr="00282D31" w:rsidR="00CE1E73">
        <w:rPr>
          <w:rFonts w:ascii="Times New Roman" w:hAnsi="Times New Roman" w:cs="Times New Roman"/>
        </w:rPr>
        <w:t>, t</w:t>
      </w:r>
      <w:r w:rsidRPr="00282D31" w:rsidR="004B78B8">
        <w:rPr>
          <w:rFonts w:ascii="Times New Roman" w:hAnsi="Times New Roman" w:cs="Times New Roman"/>
        </w:rPr>
        <w:t xml:space="preserve">he </w:t>
      </w:r>
      <w:r w:rsidRPr="00282D31" w:rsidR="009A032A">
        <w:rPr>
          <w:rFonts w:ascii="Times New Roman" w:hAnsi="Times New Roman" w:cs="Times New Roman"/>
        </w:rPr>
        <w:t xml:space="preserve">systems needed to perform </w:t>
      </w:r>
      <w:r w:rsidRPr="00282D31" w:rsidR="00FF3E75">
        <w:rPr>
          <w:rFonts w:ascii="Times New Roman" w:hAnsi="Times New Roman" w:cs="Times New Roman"/>
        </w:rPr>
        <w:t xml:space="preserve">each safety function </w:t>
      </w:r>
      <w:r w:rsidRPr="00282D31" w:rsidR="00D503E5">
        <w:rPr>
          <w:rFonts w:ascii="Times New Roman" w:hAnsi="Times New Roman" w:cs="Times New Roman"/>
        </w:rPr>
        <w:t>should</w:t>
      </w:r>
      <w:r w:rsidRPr="00282D31" w:rsidR="009A032A">
        <w:rPr>
          <w:rFonts w:ascii="Times New Roman" w:hAnsi="Times New Roman" w:cs="Times New Roman"/>
        </w:rPr>
        <w:t xml:space="preserve"> be identified</w:t>
      </w:r>
      <w:r w:rsidRPr="00282D31" w:rsidR="005708BD">
        <w:rPr>
          <w:rFonts w:ascii="Times New Roman" w:hAnsi="Times New Roman" w:cs="Times New Roman"/>
        </w:rPr>
        <w:t xml:space="preserve">, along with </w:t>
      </w:r>
      <w:r w:rsidRPr="00282D31" w:rsidR="000E53A5">
        <w:rPr>
          <w:rFonts w:ascii="Times New Roman" w:hAnsi="Times New Roman" w:cs="Times New Roman"/>
        </w:rPr>
        <w:t xml:space="preserve">associated success criteria and </w:t>
      </w:r>
      <w:r w:rsidRPr="00282D31" w:rsidR="005708BD">
        <w:rPr>
          <w:rFonts w:ascii="Times New Roman" w:hAnsi="Times New Roman" w:cs="Times New Roman"/>
        </w:rPr>
        <w:t>operator actions needed</w:t>
      </w:r>
      <w:r w:rsidRPr="00282D31" w:rsidR="00EC50B4">
        <w:rPr>
          <w:rFonts w:ascii="Times New Roman" w:hAnsi="Times New Roman" w:cs="Times New Roman"/>
        </w:rPr>
        <w:t xml:space="preserve"> to perform the safety function</w:t>
      </w:r>
      <w:r w:rsidRPr="00282D31" w:rsidR="008751C0">
        <w:rPr>
          <w:rFonts w:ascii="Times New Roman" w:hAnsi="Times New Roman" w:cs="Times New Roman"/>
        </w:rPr>
        <w:t xml:space="preserve">. </w:t>
      </w:r>
      <w:r w:rsidRPr="00282D31" w:rsidR="00414D55">
        <w:rPr>
          <w:rFonts w:ascii="Times New Roman" w:hAnsi="Times New Roman" w:cs="Times New Roman"/>
        </w:rPr>
        <w:t>S</w:t>
      </w:r>
      <w:r w:rsidRPr="00282D31" w:rsidR="00AF6C33">
        <w:rPr>
          <w:rFonts w:ascii="Times New Roman" w:hAnsi="Times New Roman" w:cs="Times New Roman"/>
        </w:rPr>
        <w:t xml:space="preserve">pecific success criteria for each </w:t>
      </w:r>
      <w:r w:rsidRPr="00282D31" w:rsidR="00313C74">
        <w:rPr>
          <w:rFonts w:ascii="Times New Roman" w:hAnsi="Times New Roman" w:cs="Times New Roman"/>
        </w:rPr>
        <w:t xml:space="preserve">safety function or </w:t>
      </w:r>
      <w:r w:rsidRPr="00282D31" w:rsidR="00AF6C33">
        <w:rPr>
          <w:rFonts w:ascii="Times New Roman" w:hAnsi="Times New Roman" w:cs="Times New Roman"/>
        </w:rPr>
        <w:t>system that performs safety or</w:t>
      </w:r>
      <w:r w:rsidRPr="00282D31" w:rsidR="00997905">
        <w:rPr>
          <w:rFonts w:ascii="Times New Roman" w:hAnsi="Times New Roman" w:cs="Times New Roman"/>
        </w:rPr>
        <w:t xml:space="preserve"> </w:t>
      </w:r>
      <w:r w:rsidRPr="00282D31" w:rsidR="00AF6C33">
        <w:rPr>
          <w:rFonts w:ascii="Times New Roman" w:hAnsi="Times New Roman" w:cs="Times New Roman"/>
        </w:rPr>
        <w:t xml:space="preserve">support functions </w:t>
      </w:r>
      <w:r w:rsidRPr="00282D31" w:rsidR="00997905">
        <w:rPr>
          <w:rFonts w:ascii="Times New Roman" w:hAnsi="Times New Roman" w:cs="Times New Roman"/>
        </w:rPr>
        <w:t>should be specified</w:t>
      </w:r>
      <w:r w:rsidRPr="00282D31" w:rsidR="008751C0">
        <w:rPr>
          <w:rFonts w:ascii="Times New Roman" w:hAnsi="Times New Roman" w:cs="Times New Roman"/>
        </w:rPr>
        <w:t xml:space="preserve">. </w:t>
      </w:r>
      <w:r w:rsidRPr="00282D31" w:rsidR="00414D55">
        <w:rPr>
          <w:rFonts w:ascii="Times New Roman" w:hAnsi="Times New Roman" w:cs="Times New Roman"/>
        </w:rPr>
        <w:t>Typically, s</w:t>
      </w:r>
      <w:r w:rsidRPr="00282D31" w:rsidR="004351D1">
        <w:rPr>
          <w:rFonts w:ascii="Times New Roman" w:hAnsi="Times New Roman" w:cs="Times New Roman"/>
        </w:rPr>
        <w:t xml:space="preserve">uccess criteria specify the minimum </w:t>
      </w:r>
      <w:r w:rsidRPr="00282D31" w:rsidR="00C4601A">
        <w:rPr>
          <w:rFonts w:ascii="Times New Roman" w:hAnsi="Times New Roman" w:cs="Times New Roman"/>
        </w:rPr>
        <w:t>criteria</w:t>
      </w:r>
      <w:r w:rsidRPr="00282D31" w:rsidR="004351D1">
        <w:rPr>
          <w:rFonts w:ascii="Times New Roman" w:hAnsi="Times New Roman" w:cs="Times New Roman"/>
        </w:rPr>
        <w:t xml:space="preserve"> for each function</w:t>
      </w:r>
      <w:r w:rsidRPr="00282D31" w:rsidR="000362F4">
        <w:rPr>
          <w:rFonts w:ascii="Times New Roman" w:hAnsi="Times New Roman" w:cs="Times New Roman"/>
        </w:rPr>
        <w:t xml:space="preserve">, </w:t>
      </w:r>
      <w:r w:rsidRPr="00282D31" w:rsidR="004351D1">
        <w:rPr>
          <w:rFonts w:ascii="Times New Roman" w:hAnsi="Times New Roman" w:cs="Times New Roman"/>
        </w:rPr>
        <w:t>given an initiating event</w:t>
      </w:r>
      <w:r w:rsidRPr="00282D31" w:rsidR="008751C0">
        <w:rPr>
          <w:rFonts w:ascii="Times New Roman" w:hAnsi="Times New Roman" w:cs="Times New Roman"/>
        </w:rPr>
        <w:t xml:space="preserve">. </w:t>
      </w:r>
      <w:r w:rsidRPr="00282D31" w:rsidR="004351D1">
        <w:rPr>
          <w:rFonts w:ascii="Times New Roman" w:hAnsi="Times New Roman" w:cs="Times New Roman"/>
        </w:rPr>
        <w:t xml:space="preserve">The </w:t>
      </w:r>
      <w:r w:rsidRPr="00282D31" w:rsidR="008C5EB8">
        <w:rPr>
          <w:rFonts w:ascii="Times New Roman" w:hAnsi="Times New Roman" w:cs="Times New Roman"/>
        </w:rPr>
        <w:t>derivation of</w:t>
      </w:r>
      <w:r w:rsidRPr="00282D31" w:rsidR="004351D1">
        <w:rPr>
          <w:rFonts w:ascii="Times New Roman" w:hAnsi="Times New Roman" w:cs="Times New Roman"/>
        </w:rPr>
        <w:t xml:space="preserve"> success criteria </w:t>
      </w:r>
      <w:r w:rsidRPr="00282D31" w:rsidR="008C5EB8">
        <w:rPr>
          <w:rFonts w:ascii="Times New Roman" w:hAnsi="Times New Roman" w:cs="Times New Roman"/>
        </w:rPr>
        <w:t>should be</w:t>
      </w:r>
      <w:r w:rsidRPr="00282D31" w:rsidR="004351D1">
        <w:rPr>
          <w:rFonts w:ascii="Times New Roman" w:hAnsi="Times New Roman" w:cs="Times New Roman"/>
        </w:rPr>
        <w:t xml:space="preserve"> based on acceptable</w:t>
      </w:r>
      <w:r w:rsidRPr="00282D31" w:rsidR="00892200">
        <w:rPr>
          <w:rFonts w:ascii="Times New Roman" w:hAnsi="Times New Roman" w:cs="Times New Roman"/>
        </w:rPr>
        <w:t xml:space="preserve"> </w:t>
      </w:r>
      <w:r w:rsidRPr="00282D31" w:rsidR="004351D1">
        <w:rPr>
          <w:rFonts w:ascii="Times New Roman" w:hAnsi="Times New Roman" w:cs="Times New Roman"/>
        </w:rPr>
        <w:t>engineering analyses</w:t>
      </w:r>
      <w:r w:rsidR="00EC699C">
        <w:rPr>
          <w:rFonts w:ascii="Times New Roman" w:hAnsi="Times New Roman" w:cs="Times New Roman"/>
        </w:rPr>
        <w:t>,</w:t>
      </w:r>
      <w:r w:rsidRPr="00282D31" w:rsidR="00DE182F">
        <w:rPr>
          <w:rFonts w:ascii="Times New Roman" w:hAnsi="Times New Roman" w:cs="Times New Roman"/>
        </w:rPr>
        <w:t xml:space="preserve"> performed </w:t>
      </w:r>
      <w:r w:rsidRPr="00282D31" w:rsidR="008C5EB8">
        <w:rPr>
          <w:rFonts w:ascii="Times New Roman" w:hAnsi="Times New Roman" w:cs="Times New Roman"/>
        </w:rPr>
        <w:t xml:space="preserve">with validated </w:t>
      </w:r>
      <w:r w:rsidRPr="00282D31" w:rsidR="00467986">
        <w:rPr>
          <w:rFonts w:ascii="Times New Roman" w:hAnsi="Times New Roman" w:cs="Times New Roman"/>
        </w:rPr>
        <w:t>computer</w:t>
      </w:r>
      <w:r w:rsidRPr="00282D31" w:rsidR="008C5EB8">
        <w:rPr>
          <w:rFonts w:ascii="Times New Roman" w:hAnsi="Times New Roman" w:cs="Times New Roman"/>
        </w:rPr>
        <w:t xml:space="preserve"> codes </w:t>
      </w:r>
      <w:r w:rsidRPr="00282D31" w:rsidR="00DE182F">
        <w:rPr>
          <w:rFonts w:ascii="Times New Roman" w:hAnsi="Times New Roman" w:cs="Times New Roman"/>
        </w:rPr>
        <w:t xml:space="preserve">by qualified </w:t>
      </w:r>
      <w:r w:rsidRPr="00282D31" w:rsidR="003B5566">
        <w:rPr>
          <w:rFonts w:ascii="Times New Roman" w:hAnsi="Times New Roman" w:cs="Times New Roman"/>
        </w:rPr>
        <w:t>personnel</w:t>
      </w:r>
      <w:r w:rsidR="00EC699C">
        <w:rPr>
          <w:rFonts w:ascii="Times New Roman" w:hAnsi="Times New Roman" w:cs="Times New Roman"/>
        </w:rPr>
        <w:t>,</w:t>
      </w:r>
      <w:r w:rsidRPr="00282D31" w:rsidR="004351D1">
        <w:rPr>
          <w:rFonts w:ascii="Times New Roman" w:hAnsi="Times New Roman" w:cs="Times New Roman"/>
        </w:rPr>
        <w:t xml:space="preserve"> </w:t>
      </w:r>
      <w:r w:rsidRPr="00282D31" w:rsidR="00467986">
        <w:rPr>
          <w:rFonts w:ascii="Times New Roman" w:hAnsi="Times New Roman" w:cs="Times New Roman"/>
        </w:rPr>
        <w:t>and</w:t>
      </w:r>
      <w:r w:rsidRPr="00282D31" w:rsidR="004351D1">
        <w:rPr>
          <w:rFonts w:ascii="Times New Roman" w:hAnsi="Times New Roman" w:cs="Times New Roman"/>
        </w:rPr>
        <w:t xml:space="preserve"> represent the design and operation of the plant under consideration.</w:t>
      </w:r>
      <w:r w:rsidRPr="00282D31" w:rsidR="002340D0">
        <w:rPr>
          <w:rFonts w:ascii="Times New Roman" w:hAnsi="Times New Roman" w:cs="Times New Roman"/>
        </w:rPr>
        <w:t xml:space="preserve"> </w:t>
      </w:r>
      <w:r w:rsidRPr="00282D31" w:rsidR="004351D1">
        <w:rPr>
          <w:rFonts w:ascii="Times New Roman" w:hAnsi="Times New Roman" w:cs="Times New Roman"/>
        </w:rPr>
        <w:t>For a</w:t>
      </w:r>
      <w:r w:rsidRPr="00282D31" w:rsidR="00B8599F">
        <w:rPr>
          <w:rFonts w:ascii="Times New Roman" w:hAnsi="Times New Roman" w:cs="Times New Roman"/>
        </w:rPr>
        <w:t xml:space="preserve"> safety</w:t>
      </w:r>
      <w:r w:rsidRPr="00282D31" w:rsidR="00892200">
        <w:rPr>
          <w:rFonts w:ascii="Times New Roman" w:hAnsi="Times New Roman" w:cs="Times New Roman"/>
        </w:rPr>
        <w:t xml:space="preserve"> </w:t>
      </w:r>
      <w:r w:rsidRPr="00282D31" w:rsidR="004351D1">
        <w:rPr>
          <w:rFonts w:ascii="Times New Roman" w:hAnsi="Times New Roman" w:cs="Times New Roman"/>
        </w:rPr>
        <w:t xml:space="preserve">function to be successful, the </w:t>
      </w:r>
      <w:r w:rsidRPr="00282D31" w:rsidR="00B8599F">
        <w:rPr>
          <w:rFonts w:ascii="Times New Roman" w:hAnsi="Times New Roman" w:cs="Times New Roman"/>
        </w:rPr>
        <w:t xml:space="preserve">success </w:t>
      </w:r>
      <w:r w:rsidRPr="00282D31" w:rsidR="004351D1">
        <w:rPr>
          <w:rFonts w:ascii="Times New Roman" w:hAnsi="Times New Roman" w:cs="Times New Roman"/>
        </w:rPr>
        <w:t xml:space="preserve">criteria </w:t>
      </w:r>
      <w:r w:rsidRPr="00282D31" w:rsidR="0058798F">
        <w:rPr>
          <w:rFonts w:ascii="Times New Roman" w:hAnsi="Times New Roman" w:cs="Times New Roman"/>
        </w:rPr>
        <w:t>may</w:t>
      </w:r>
      <w:r w:rsidRPr="00282D31" w:rsidR="00B8599F">
        <w:rPr>
          <w:rFonts w:ascii="Times New Roman" w:hAnsi="Times New Roman" w:cs="Times New Roman"/>
        </w:rPr>
        <w:t xml:space="preserve"> be</w:t>
      </w:r>
      <w:r w:rsidRPr="00282D31" w:rsidR="004351D1">
        <w:rPr>
          <w:rFonts w:ascii="Times New Roman" w:hAnsi="Times New Roman" w:cs="Times New Roman"/>
        </w:rPr>
        <w:t xml:space="preserve"> dependent on the initiator and the conditions created by the</w:t>
      </w:r>
      <w:r w:rsidRPr="00282D31" w:rsidR="00B8599F">
        <w:rPr>
          <w:rFonts w:ascii="Times New Roman" w:hAnsi="Times New Roman" w:cs="Times New Roman"/>
        </w:rPr>
        <w:t xml:space="preserve"> </w:t>
      </w:r>
      <w:r w:rsidRPr="00282D31" w:rsidR="004351D1">
        <w:rPr>
          <w:rFonts w:ascii="Times New Roman" w:hAnsi="Times New Roman" w:cs="Times New Roman"/>
        </w:rPr>
        <w:t xml:space="preserve">initiator. </w:t>
      </w:r>
    </w:p>
    <w:p w:rsidR="00917AEB" w:rsidP="002F3C90" w14:paraId="7E3B46CA" w14:textId="77777777">
      <w:pPr>
        <w:spacing w:after="0" w:line="240" w:lineRule="auto"/>
        <w:ind w:left="720" w:hanging="720"/>
        <w:rPr>
          <w:rFonts w:ascii="Times New Roman" w:hAnsi="Times New Roman" w:cs="Times New Roman"/>
        </w:rPr>
      </w:pPr>
    </w:p>
    <w:p w:rsidR="00DE182F" w:rsidRPr="00282D31" w:rsidP="002F3C90" w14:paraId="0BD66A30" w14:textId="63083283">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If a PRA is being developed and peer reviewed in accordance with RG</w:t>
      </w:r>
      <w:r w:rsidR="008141A6">
        <w:rPr>
          <w:rFonts w:ascii="Times New Roman" w:hAnsi="Times New Roman" w:cs="Times New Roman"/>
        </w:rPr>
        <w:t> </w:t>
      </w:r>
      <w:r w:rsidRPr="00282D31">
        <w:rPr>
          <w:rFonts w:ascii="Times New Roman" w:hAnsi="Times New Roman" w:cs="Times New Roman"/>
        </w:rPr>
        <w:t>1.200</w:t>
      </w:r>
      <w:r w:rsidR="004078AC">
        <w:rPr>
          <w:rFonts w:ascii="Times New Roman" w:hAnsi="Times New Roman" w:cs="Times New Roman"/>
        </w:rPr>
        <w:t xml:space="preserve"> </w:t>
      </w:r>
      <w:r w:rsidRPr="00282D31" w:rsidR="00A6397E">
        <w:rPr>
          <w:rFonts w:ascii="Times New Roman" w:hAnsi="Times New Roman" w:cs="Times New Roman"/>
        </w:rPr>
        <w:t>and DC/COL</w:t>
      </w:r>
      <w:r w:rsidR="008141A6">
        <w:rPr>
          <w:rFonts w:ascii="Times New Roman" w:hAnsi="Times New Roman" w:cs="Times New Roman"/>
        </w:rPr>
        <w:noBreakHyphen/>
      </w:r>
      <w:r w:rsidRPr="00282D31" w:rsidR="00A6397E">
        <w:rPr>
          <w:rFonts w:ascii="Times New Roman" w:hAnsi="Times New Roman" w:cs="Times New Roman"/>
        </w:rPr>
        <w:t>ISG</w:t>
      </w:r>
      <w:r w:rsidR="008141A6">
        <w:rPr>
          <w:rFonts w:ascii="Times New Roman" w:hAnsi="Times New Roman" w:cs="Times New Roman"/>
        </w:rPr>
        <w:noBreakHyphen/>
      </w:r>
      <w:r w:rsidRPr="00282D31" w:rsidR="00A6397E">
        <w:rPr>
          <w:rFonts w:ascii="Times New Roman" w:hAnsi="Times New Roman" w:cs="Times New Roman"/>
        </w:rPr>
        <w:t xml:space="preserve">028 </w:t>
      </w:r>
      <w:r w:rsidRPr="00282D31">
        <w:rPr>
          <w:rFonts w:ascii="Times New Roman" w:hAnsi="Times New Roman" w:cs="Times New Roman"/>
        </w:rPr>
        <w:t>(for LWRs)</w:t>
      </w:r>
      <w:r w:rsidR="004078AC">
        <w:rPr>
          <w:rFonts w:ascii="Times New Roman" w:hAnsi="Times New Roman" w:cs="Times New Roman"/>
        </w:rPr>
        <w:t xml:space="preserve"> </w:t>
      </w:r>
      <w:r w:rsidRPr="00282D31">
        <w:rPr>
          <w:rFonts w:ascii="Times New Roman" w:hAnsi="Times New Roman" w:cs="Times New Roman"/>
        </w:rPr>
        <w:t>or RG</w:t>
      </w:r>
      <w:r w:rsidR="008141A6">
        <w:rPr>
          <w:rFonts w:ascii="Times New Roman" w:hAnsi="Times New Roman" w:cs="Times New Roman"/>
        </w:rPr>
        <w:t> </w:t>
      </w:r>
      <w:r w:rsidRPr="00282D31">
        <w:rPr>
          <w:rFonts w:ascii="Times New Roman" w:hAnsi="Times New Roman" w:cs="Times New Roman"/>
        </w:rPr>
        <w:t xml:space="preserve">1.247 (for </w:t>
      </w:r>
      <w:r w:rsidRPr="00282D31" w:rsidR="00713C74">
        <w:rPr>
          <w:rFonts w:ascii="Times New Roman" w:hAnsi="Times New Roman" w:cs="Times New Roman"/>
        </w:rPr>
        <w:t>non-</w:t>
      </w:r>
      <w:r w:rsidRPr="00282D31">
        <w:rPr>
          <w:rFonts w:ascii="Times New Roman" w:hAnsi="Times New Roman" w:cs="Times New Roman"/>
        </w:rPr>
        <w:t xml:space="preserve">LWRs), </w:t>
      </w:r>
      <w:r w:rsidRPr="00282D31" w:rsidR="003C52A1">
        <w:rPr>
          <w:rFonts w:ascii="Times New Roman" w:hAnsi="Times New Roman" w:cs="Times New Roman"/>
        </w:rPr>
        <w:t xml:space="preserve">the corresponding PRA standard </w:t>
      </w:r>
      <w:r w:rsidR="003C52A1">
        <w:rPr>
          <w:rFonts w:ascii="Times New Roman" w:hAnsi="Times New Roman" w:cs="Times New Roman"/>
        </w:rPr>
        <w:t xml:space="preserve">specifies </w:t>
      </w:r>
      <w:r w:rsidRPr="00282D31">
        <w:rPr>
          <w:rFonts w:ascii="Times New Roman" w:hAnsi="Times New Roman" w:cs="Times New Roman"/>
        </w:rPr>
        <w:t xml:space="preserve">the </w:t>
      </w:r>
      <w:r w:rsidRPr="00282D31" w:rsidR="00876454">
        <w:rPr>
          <w:rFonts w:ascii="Times New Roman" w:hAnsi="Times New Roman" w:cs="Times New Roman"/>
        </w:rPr>
        <w:t>derivation of success criteria.</w:t>
      </w:r>
    </w:p>
    <w:p w:rsidR="00BF5E37" w:rsidP="002F3C90" w14:paraId="6B15A2AF" w14:textId="77777777">
      <w:pPr>
        <w:spacing w:after="0" w:line="240" w:lineRule="auto"/>
        <w:rPr>
          <w:rFonts w:ascii="Times New Roman" w:hAnsi="Times New Roman" w:cs="Times New Roman"/>
        </w:rPr>
      </w:pPr>
    </w:p>
    <w:p w:rsidR="00F519E9" w:rsidRPr="00497F71" w:rsidP="002F3C90" w14:paraId="44A7154E" w14:textId="386A1DC7">
      <w:pPr>
        <w:pStyle w:val="Heading3"/>
        <w:spacing w:line="240" w:lineRule="auto"/>
        <w:rPr>
          <w:i/>
          <w:iCs/>
        </w:rPr>
      </w:pPr>
      <w:r w:rsidRPr="00497F71">
        <w:rPr>
          <w:i/>
          <w:iCs/>
        </w:rPr>
        <w:t xml:space="preserve">Define </w:t>
      </w:r>
      <w:r w:rsidRPr="00497F71" w:rsidR="00A6697A">
        <w:rPr>
          <w:i/>
          <w:iCs/>
        </w:rPr>
        <w:t xml:space="preserve">Plant-Specific End States </w:t>
      </w:r>
      <w:r w:rsidRPr="00497F71">
        <w:rPr>
          <w:i/>
          <w:iCs/>
        </w:rPr>
        <w:t>(Box</w:t>
      </w:r>
      <w:r w:rsidRPr="00497F71" w:rsidR="008141A6">
        <w:rPr>
          <w:i/>
          <w:iCs/>
        </w:rPr>
        <w:t> </w:t>
      </w:r>
      <w:r w:rsidRPr="00497F71" w:rsidR="009A79AD">
        <w:rPr>
          <w:i/>
          <w:iCs/>
        </w:rPr>
        <w:t>7</w:t>
      </w:r>
      <w:r w:rsidRPr="00497F71">
        <w:rPr>
          <w:i/>
          <w:iCs/>
        </w:rPr>
        <w:t>, Principle #1)</w:t>
      </w:r>
    </w:p>
    <w:p w:rsidR="00F519E9" w:rsidP="002F3C90" w14:paraId="58E931FE" w14:textId="77777777">
      <w:pPr>
        <w:spacing w:after="0" w:line="240" w:lineRule="auto"/>
        <w:rPr>
          <w:rFonts w:ascii="Times New Roman" w:hAnsi="Times New Roman" w:cs="Times New Roman"/>
        </w:rPr>
      </w:pPr>
    </w:p>
    <w:p w:rsidR="00F519E9" w:rsidRPr="00282D31" w:rsidP="002F3C90" w14:paraId="052FC341" w14:textId="52C1B313">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The end states for event sequences should be defined to support event sequence </w:t>
      </w:r>
      <w:r w:rsidRPr="00282D31" w:rsidR="00332C30">
        <w:rPr>
          <w:rFonts w:ascii="Times New Roman" w:hAnsi="Times New Roman" w:cs="Times New Roman"/>
        </w:rPr>
        <w:t xml:space="preserve">delineation </w:t>
      </w:r>
      <w:r w:rsidRPr="00282D31">
        <w:rPr>
          <w:rFonts w:ascii="Times New Roman" w:hAnsi="Times New Roman" w:cs="Times New Roman"/>
        </w:rPr>
        <w:t xml:space="preserve">and selection. The end state of </w:t>
      </w:r>
      <w:r w:rsidRPr="00282D31" w:rsidR="00664305">
        <w:rPr>
          <w:rFonts w:ascii="Times New Roman" w:hAnsi="Times New Roman" w:cs="Times New Roman"/>
        </w:rPr>
        <w:t>each</w:t>
      </w:r>
      <w:r w:rsidRPr="00282D31">
        <w:rPr>
          <w:rFonts w:ascii="Times New Roman" w:hAnsi="Times New Roman" w:cs="Times New Roman"/>
        </w:rPr>
        <w:t xml:space="preserve"> </w:t>
      </w:r>
      <w:r w:rsidRPr="00282D31">
        <w:rPr>
          <w:rFonts w:ascii="Times New Roman" w:hAnsi="Times New Roman" w:cs="Times New Roman"/>
        </w:rPr>
        <w:t>accident sequence</w:t>
      </w:r>
      <w:r w:rsidRPr="00282D31">
        <w:rPr>
          <w:rFonts w:ascii="Times New Roman" w:hAnsi="Times New Roman" w:cs="Times New Roman"/>
        </w:rPr>
        <w:t xml:space="preserve"> should correspond to either </w:t>
      </w:r>
      <w:r w:rsidRPr="00282D31">
        <w:rPr>
          <w:rFonts w:ascii="Times New Roman" w:hAnsi="Times New Roman" w:cs="Times New Roman"/>
        </w:rPr>
        <w:t>a release</w:t>
      </w:r>
      <w:r w:rsidRPr="00282D31">
        <w:rPr>
          <w:rFonts w:ascii="Times New Roman" w:hAnsi="Times New Roman" w:cs="Times New Roman"/>
        </w:rPr>
        <w:t xml:space="preserve"> of radioactive material or to a </w:t>
      </w:r>
      <w:r w:rsidRPr="00282D31" w:rsidR="003011CC">
        <w:rPr>
          <w:rFonts w:ascii="Times New Roman" w:hAnsi="Times New Roman" w:cs="Times New Roman"/>
        </w:rPr>
        <w:t>safe stable</w:t>
      </w:r>
      <w:r w:rsidRPr="00282D31" w:rsidR="00A56F49">
        <w:rPr>
          <w:rFonts w:ascii="Times New Roman" w:hAnsi="Times New Roman" w:cs="Times New Roman"/>
        </w:rPr>
        <w:t xml:space="preserve"> </w:t>
      </w:r>
      <w:r w:rsidRPr="00282D31">
        <w:rPr>
          <w:rFonts w:ascii="Times New Roman" w:hAnsi="Times New Roman" w:cs="Times New Roman"/>
        </w:rPr>
        <w:t>state in which each safety function is fulfilled, and a radioactive release has been prevented.</w:t>
      </w:r>
      <w:r w:rsidRPr="00282D31" w:rsidR="001F5DDD">
        <w:rPr>
          <w:rFonts w:ascii="Times New Roman" w:hAnsi="Times New Roman" w:cs="Times New Roman"/>
        </w:rPr>
        <w:t xml:space="preserve"> </w:t>
      </w:r>
      <w:r w:rsidRPr="00282D31">
        <w:rPr>
          <w:rFonts w:ascii="Times New Roman" w:hAnsi="Times New Roman" w:cs="Times New Roman"/>
        </w:rPr>
        <w:t>Definition of a safe stable state should be specified</w:t>
      </w:r>
      <w:r w:rsidRPr="00282D31" w:rsidR="008751C0">
        <w:rPr>
          <w:rFonts w:ascii="Times New Roman" w:hAnsi="Times New Roman" w:cs="Times New Roman"/>
        </w:rPr>
        <w:t xml:space="preserve">. </w:t>
      </w:r>
    </w:p>
    <w:p w:rsidR="000038A7" w:rsidP="002F3C90" w14:paraId="637059D0" w14:textId="77777777">
      <w:pPr>
        <w:spacing w:after="0" w:line="240" w:lineRule="auto"/>
        <w:ind w:firstLine="720"/>
        <w:rPr>
          <w:rFonts w:ascii="Times New Roman" w:hAnsi="Times New Roman" w:cs="Times New Roman"/>
        </w:rPr>
      </w:pPr>
    </w:p>
    <w:p w:rsidR="00C654BE" w:rsidRPr="00282D31" w:rsidP="002F3C90" w14:paraId="4474C8EB" w14:textId="14C3D88A">
      <w:pPr>
        <w:pStyle w:val="Heading2"/>
        <w:spacing w:line="240" w:lineRule="auto"/>
      </w:pPr>
      <w:r w:rsidRPr="00282D31">
        <w:t xml:space="preserve">Analysis </w:t>
      </w:r>
      <w:r w:rsidRPr="00282D31">
        <w:t>Methods</w:t>
      </w:r>
      <w:r w:rsidRPr="00282D31">
        <w:t xml:space="preserve"> Selection</w:t>
      </w:r>
    </w:p>
    <w:p w:rsidR="00C654BE" w:rsidP="002F3C90" w14:paraId="683E98B2" w14:textId="77777777">
      <w:pPr>
        <w:spacing w:after="0" w:line="240" w:lineRule="auto"/>
        <w:rPr>
          <w:rFonts w:ascii="Times New Roman" w:hAnsi="Times New Roman" w:cs="Times New Roman"/>
        </w:rPr>
      </w:pPr>
    </w:p>
    <w:p w:rsidR="007B0B72" w:rsidRPr="00446BFA" w:rsidP="002F3C90" w14:paraId="7B1C8536" w14:textId="3C7544F5">
      <w:pPr>
        <w:pStyle w:val="Heading3"/>
        <w:spacing w:line="240" w:lineRule="auto"/>
      </w:pPr>
      <w:r w:rsidRPr="00282D31">
        <w:rPr>
          <w:i/>
          <w:iCs/>
        </w:rPr>
        <w:t xml:space="preserve">Select </w:t>
      </w:r>
      <w:r w:rsidRPr="00282D31" w:rsidR="00D67965">
        <w:rPr>
          <w:i/>
          <w:iCs/>
        </w:rPr>
        <w:t xml:space="preserve">Initiating Event Identification </w:t>
      </w:r>
      <w:r w:rsidRPr="00282D31" w:rsidR="00B118ED">
        <w:rPr>
          <w:i/>
          <w:iCs/>
        </w:rPr>
        <w:t xml:space="preserve">Techniques </w:t>
      </w:r>
      <w:r w:rsidRPr="00282D31" w:rsidR="00F85810">
        <w:rPr>
          <w:i/>
          <w:iCs/>
        </w:rPr>
        <w:t>(Box</w:t>
      </w:r>
      <w:r w:rsidR="008141A6">
        <w:rPr>
          <w:i/>
          <w:iCs/>
        </w:rPr>
        <w:t> </w:t>
      </w:r>
      <w:r w:rsidRPr="00282D31" w:rsidR="00F613C6">
        <w:rPr>
          <w:i/>
          <w:iCs/>
        </w:rPr>
        <w:t>8</w:t>
      </w:r>
      <w:r w:rsidRPr="00282D31" w:rsidR="00F85810">
        <w:rPr>
          <w:i/>
          <w:iCs/>
        </w:rPr>
        <w:t>, Principle #2)</w:t>
      </w:r>
    </w:p>
    <w:p w:rsidR="007B0B72" w:rsidP="002F3C90" w14:paraId="7A24470E" w14:textId="5CC6D9CC">
      <w:pPr>
        <w:spacing w:after="0" w:line="240" w:lineRule="auto"/>
        <w:rPr>
          <w:rFonts w:ascii="Times New Roman" w:hAnsi="Times New Roman" w:cs="Times New Roman"/>
        </w:rPr>
      </w:pPr>
    </w:p>
    <w:p w:rsidR="00AD2C7A" w:rsidRPr="00282D31" w:rsidP="002F3C90" w14:paraId="448F1EA3" w14:textId="034923DA">
      <w:pPr>
        <w:pStyle w:val="ListParagraph"/>
        <w:numPr>
          <w:ilvl w:val="0"/>
          <w:numId w:val="56"/>
        </w:numPr>
        <w:spacing w:after="0" w:line="240" w:lineRule="auto"/>
        <w:ind w:left="720" w:hanging="720"/>
        <w:rPr>
          <w:rFonts w:ascii="Times New Roman" w:hAnsi="Times New Roman" w:cs="Times New Roman"/>
          <w:color w:val="000000"/>
        </w:rPr>
      </w:pPr>
      <w:r w:rsidRPr="00282D31">
        <w:rPr>
          <w:rFonts w:ascii="Times New Roman" w:hAnsi="Times New Roman" w:cs="Times New Roman"/>
        </w:rPr>
        <w:t>The i</w:t>
      </w:r>
      <w:r w:rsidRPr="00282D31">
        <w:rPr>
          <w:rFonts w:ascii="Times New Roman" w:hAnsi="Times New Roman" w:cs="Times New Roman"/>
        </w:rPr>
        <w:t xml:space="preserve">dentification </w:t>
      </w:r>
      <w:r w:rsidRPr="00282D31" w:rsidR="00F213B2">
        <w:rPr>
          <w:rFonts w:ascii="Times New Roman" w:hAnsi="Times New Roman" w:cs="Times New Roman"/>
        </w:rPr>
        <w:t xml:space="preserve">of </w:t>
      </w:r>
      <w:r w:rsidR="00AB5F8A">
        <w:rPr>
          <w:rFonts w:ascii="Times New Roman" w:hAnsi="Times New Roman" w:cs="Times New Roman"/>
        </w:rPr>
        <w:t xml:space="preserve">initiating event </w:t>
      </w:r>
      <w:r w:rsidR="00D32735">
        <w:rPr>
          <w:rFonts w:ascii="Times New Roman" w:hAnsi="Times New Roman" w:cs="Times New Roman"/>
        </w:rPr>
        <w:t xml:space="preserve">search </w:t>
      </w:r>
      <w:r w:rsidRPr="00282D31" w:rsidR="00F213B2">
        <w:rPr>
          <w:rFonts w:ascii="Times New Roman" w:hAnsi="Times New Roman" w:cs="Times New Roman"/>
        </w:rPr>
        <w:t xml:space="preserve">techniques </w:t>
      </w:r>
      <w:r w:rsidRPr="00282D31">
        <w:rPr>
          <w:rFonts w:ascii="Times New Roman" w:hAnsi="Times New Roman" w:cs="Times New Roman"/>
        </w:rPr>
        <w:t>is key to conducting a</w:t>
      </w:r>
      <w:r w:rsidRPr="00282D31" w:rsidR="00CC2E26">
        <w:rPr>
          <w:rFonts w:ascii="Times New Roman" w:hAnsi="Times New Roman" w:cs="Times New Roman"/>
        </w:rPr>
        <w:t xml:space="preserve"> </w:t>
      </w:r>
      <w:r w:rsidRPr="00282D31">
        <w:rPr>
          <w:rFonts w:ascii="Times New Roman" w:hAnsi="Times New Roman" w:cs="Times New Roman"/>
        </w:rPr>
        <w:t xml:space="preserve">search </w:t>
      </w:r>
      <w:r w:rsidRPr="00282D31" w:rsidR="007B114C">
        <w:rPr>
          <w:rFonts w:ascii="Times New Roman" w:hAnsi="Times New Roman" w:cs="Times New Roman"/>
        </w:rPr>
        <w:t>that is systematic, comprehensive, exhaustive</w:t>
      </w:r>
      <w:r w:rsidRPr="00282D31">
        <w:rPr>
          <w:rFonts w:ascii="Times New Roman" w:hAnsi="Times New Roman" w:cs="Times New Roman"/>
        </w:rPr>
        <w:t>,</w:t>
      </w:r>
      <w:r w:rsidRPr="00282D31" w:rsidR="007B114C">
        <w:rPr>
          <w:rFonts w:ascii="Times New Roman" w:hAnsi="Times New Roman" w:cs="Times New Roman"/>
        </w:rPr>
        <w:t xml:space="preserve"> and</w:t>
      </w:r>
      <w:r w:rsidRPr="00282D31">
        <w:rPr>
          <w:rFonts w:ascii="Times New Roman" w:hAnsi="Times New Roman" w:cs="Times New Roman"/>
        </w:rPr>
        <w:t xml:space="preserve"> without preconceptions or reliance on predefined lists (i.e.,</w:t>
      </w:r>
      <w:r w:rsidR="00B63003">
        <w:rPr>
          <w:rFonts w:ascii="Times New Roman" w:hAnsi="Times New Roman" w:cs="Times New Roman"/>
        </w:rPr>
        <w:t> </w:t>
      </w:r>
      <w:r w:rsidRPr="00282D31">
        <w:rPr>
          <w:rFonts w:ascii="Times New Roman" w:hAnsi="Times New Roman" w:cs="Times New Roman"/>
        </w:rPr>
        <w:t xml:space="preserve">“starting with a blank sheet of paper”). </w:t>
      </w:r>
      <w:r w:rsidRPr="00282D31" w:rsidR="00386BFF">
        <w:rPr>
          <w:rFonts w:ascii="Times New Roman" w:hAnsi="Times New Roman" w:cs="Times New Roman"/>
        </w:rPr>
        <w:t>T</w:t>
      </w:r>
      <w:r w:rsidRPr="00282D31" w:rsidR="00386BFF">
        <w:rPr>
          <w:rFonts w:ascii="Times New Roman" w:hAnsi="Times New Roman" w:cs="Times New Roman"/>
          <w:color w:val="000000"/>
        </w:rPr>
        <w:t>he</w:t>
      </w:r>
      <w:r w:rsidRPr="00282D31" w:rsidR="00D80E7D">
        <w:rPr>
          <w:rFonts w:ascii="Times New Roman" w:hAnsi="Times New Roman" w:cs="Times New Roman"/>
          <w:color w:val="000000"/>
        </w:rPr>
        <w:t xml:space="preserve"> identification</w:t>
      </w:r>
      <w:r w:rsidRPr="00282D31" w:rsidR="00386BFF">
        <w:rPr>
          <w:rFonts w:ascii="Times New Roman" w:hAnsi="Times New Roman" w:cs="Times New Roman"/>
          <w:color w:val="000000"/>
        </w:rPr>
        <w:t xml:space="preserve"> methods c</w:t>
      </w:r>
      <w:r w:rsidRPr="00282D31">
        <w:rPr>
          <w:rFonts w:ascii="Times New Roman" w:hAnsi="Times New Roman" w:cs="Times New Roman"/>
          <w:color w:val="000000"/>
        </w:rPr>
        <w:t xml:space="preserve">ould involve </w:t>
      </w:r>
      <w:r w:rsidRPr="00282D31">
        <w:rPr>
          <w:rFonts w:ascii="Times New Roman" w:hAnsi="Times New Roman" w:cs="Times New Roman"/>
          <w:color w:val="000000"/>
        </w:rPr>
        <w:t>a number of</w:t>
      </w:r>
      <w:r w:rsidRPr="00282D31">
        <w:rPr>
          <w:rFonts w:ascii="Times New Roman" w:hAnsi="Times New Roman" w:cs="Times New Roman"/>
          <w:color w:val="000000"/>
        </w:rPr>
        <w:t xml:space="preserve"> different approaches</w:t>
      </w:r>
      <w:r w:rsidR="00B63003">
        <w:rPr>
          <w:rFonts w:ascii="Times New Roman" w:hAnsi="Times New Roman" w:cs="Times New Roman"/>
          <w:color w:val="000000"/>
        </w:rPr>
        <w:t>,</w:t>
      </w:r>
      <w:r w:rsidRPr="00282D31">
        <w:rPr>
          <w:rFonts w:ascii="Times New Roman" w:hAnsi="Times New Roman" w:cs="Times New Roman"/>
          <w:color w:val="000000"/>
        </w:rPr>
        <w:t xml:space="preserve"> including</w:t>
      </w:r>
      <w:r w:rsidRPr="00282D31" w:rsidR="001E0382">
        <w:rPr>
          <w:rFonts w:ascii="Times New Roman" w:hAnsi="Times New Roman" w:cs="Times New Roman"/>
          <w:color w:val="000000"/>
        </w:rPr>
        <w:t xml:space="preserve"> the following</w:t>
      </w:r>
      <w:r w:rsidRPr="00282D31">
        <w:rPr>
          <w:rFonts w:ascii="Times New Roman" w:hAnsi="Times New Roman" w:cs="Times New Roman"/>
          <w:color w:val="000000"/>
        </w:rPr>
        <w:t xml:space="preserve">: </w:t>
      </w:r>
    </w:p>
    <w:p w:rsidR="00386BFF" w:rsidRPr="00AD2C7A" w:rsidP="002F3C90" w14:paraId="30D49E55" w14:textId="77777777">
      <w:pPr>
        <w:spacing w:after="0" w:line="240" w:lineRule="auto"/>
        <w:ind w:firstLine="720"/>
        <w:rPr>
          <w:rFonts w:ascii="Times New Roman" w:hAnsi="Times New Roman" w:cs="Times New Roman"/>
          <w:color w:val="000000"/>
        </w:rPr>
      </w:pPr>
    </w:p>
    <w:p w:rsidR="00B63003" w:rsidP="002F3C90" w14:paraId="1FD2CA9E" w14:textId="5B79952B">
      <w:pPr>
        <w:pStyle w:val="ListParagraph"/>
        <w:numPr>
          <w:ilvl w:val="0"/>
          <w:numId w:val="36"/>
        </w:numPr>
        <w:autoSpaceDE w:val="0"/>
        <w:autoSpaceDN w:val="0"/>
        <w:adjustRightInd w:val="0"/>
        <w:spacing w:after="0" w:line="240" w:lineRule="auto"/>
        <w:ind w:hanging="720"/>
        <w:rPr>
          <w:rFonts w:ascii="Times New Roman" w:hAnsi="Times New Roman" w:cs="Times New Roman"/>
          <w:color w:val="000000"/>
        </w:rPr>
      </w:pPr>
      <w:r>
        <w:rPr>
          <w:rFonts w:ascii="Times New Roman" w:hAnsi="Times New Roman" w:cs="Times New Roman"/>
          <w:color w:val="000000"/>
        </w:rPr>
        <w:t>i</w:t>
      </w:r>
      <w:r w:rsidR="006E0F66">
        <w:rPr>
          <w:rFonts w:ascii="Times New Roman" w:hAnsi="Times New Roman" w:cs="Times New Roman"/>
          <w:color w:val="000000"/>
        </w:rPr>
        <w:t>nductive</w:t>
      </w:r>
      <w:r w:rsidRPr="00F61F40" w:rsidR="00AD2C7A">
        <w:rPr>
          <w:rFonts w:ascii="Times New Roman" w:hAnsi="Times New Roman" w:cs="Times New Roman"/>
          <w:color w:val="000000"/>
        </w:rPr>
        <w:t xml:space="preserve"> </w:t>
      </w:r>
      <w:r w:rsidR="00062441">
        <w:rPr>
          <w:rFonts w:ascii="Times New Roman" w:hAnsi="Times New Roman" w:cs="Times New Roman"/>
          <w:color w:val="000000"/>
        </w:rPr>
        <w:t>techniques</w:t>
      </w:r>
      <w:r w:rsidRPr="00F61F40" w:rsidR="00062441">
        <w:rPr>
          <w:rFonts w:ascii="Times New Roman" w:hAnsi="Times New Roman" w:cs="Times New Roman"/>
          <w:color w:val="000000"/>
        </w:rPr>
        <w:t xml:space="preserve"> </w:t>
      </w:r>
      <w:r w:rsidRPr="00F61F40" w:rsidR="00AD2C7A">
        <w:rPr>
          <w:rFonts w:ascii="Times New Roman" w:hAnsi="Times New Roman" w:cs="Times New Roman"/>
          <w:color w:val="000000"/>
        </w:rPr>
        <w:t>such as hazard and operability studies</w:t>
      </w:r>
      <w:r w:rsidR="001E0382">
        <w:rPr>
          <w:rFonts w:ascii="Times New Roman" w:hAnsi="Times New Roman" w:cs="Times New Roman"/>
          <w:color w:val="000000"/>
        </w:rPr>
        <w:t>,</w:t>
      </w:r>
      <w:r w:rsidRPr="00F61F40" w:rsidR="00AD2C7A">
        <w:rPr>
          <w:rFonts w:ascii="Times New Roman" w:hAnsi="Times New Roman" w:cs="Times New Roman"/>
          <w:color w:val="000000"/>
        </w:rPr>
        <w:t xml:space="preserve"> failure mode and effects analysis</w:t>
      </w:r>
      <w:r w:rsidR="008D7B1C">
        <w:rPr>
          <w:rFonts w:ascii="Times New Roman" w:hAnsi="Times New Roman" w:cs="Times New Roman"/>
          <w:color w:val="000000"/>
        </w:rPr>
        <w:t>,</w:t>
      </w:r>
      <w:r w:rsidRPr="00F61F40" w:rsidR="00AD2C7A">
        <w:rPr>
          <w:rFonts w:ascii="Times New Roman" w:hAnsi="Times New Roman" w:cs="Times New Roman"/>
          <w:color w:val="000000"/>
        </w:rPr>
        <w:t xml:space="preserve"> or other relevant methods for plant SSCs to determine whether their failures, either partial or complete, could lead to an initiating </w:t>
      </w:r>
      <w:r w:rsidRPr="00F61F40" w:rsidR="00DE7BC3">
        <w:rPr>
          <w:rFonts w:ascii="Times New Roman" w:hAnsi="Times New Roman" w:cs="Times New Roman"/>
          <w:color w:val="000000"/>
        </w:rPr>
        <w:t>event</w:t>
      </w:r>
      <w:r w:rsidR="00DA3A79">
        <w:rPr>
          <w:rFonts w:ascii="Times New Roman" w:hAnsi="Times New Roman" w:cs="Times New Roman"/>
          <w:color w:val="000000"/>
        </w:rPr>
        <w:t>; and</w:t>
      </w:r>
    </w:p>
    <w:p w:rsidR="00AD2C7A" w:rsidRPr="00F61F40" w:rsidP="002F3C90" w14:paraId="419725B6" w14:textId="792BFF31">
      <w:pPr>
        <w:pStyle w:val="ListParagraph"/>
        <w:autoSpaceDE w:val="0"/>
        <w:autoSpaceDN w:val="0"/>
        <w:adjustRightInd w:val="0"/>
        <w:spacing w:after="0" w:line="240" w:lineRule="auto"/>
        <w:ind w:left="1440" w:hanging="720"/>
        <w:rPr>
          <w:rFonts w:ascii="Times New Roman" w:hAnsi="Times New Roman" w:cs="Times New Roman"/>
          <w:color w:val="000000"/>
        </w:rPr>
      </w:pPr>
      <w:r w:rsidRPr="00F61F40">
        <w:rPr>
          <w:rFonts w:ascii="Times New Roman" w:hAnsi="Times New Roman" w:cs="Times New Roman"/>
          <w:color w:val="000000"/>
        </w:rPr>
        <w:t xml:space="preserve"> </w:t>
      </w:r>
    </w:p>
    <w:p w:rsidR="00AD2C7A" w:rsidP="002F3C90" w14:paraId="5E8E906E" w14:textId="7CA6AA3C">
      <w:pPr>
        <w:pStyle w:val="ListParagraph"/>
        <w:numPr>
          <w:ilvl w:val="0"/>
          <w:numId w:val="36"/>
        </w:numPr>
        <w:autoSpaceDE w:val="0"/>
        <w:autoSpaceDN w:val="0"/>
        <w:adjustRightInd w:val="0"/>
        <w:spacing w:after="0" w:line="240" w:lineRule="auto"/>
        <w:ind w:hanging="720"/>
        <w:rPr>
          <w:rFonts w:ascii="Times New Roman" w:hAnsi="Times New Roman" w:cs="Times New Roman"/>
          <w:color w:val="000000"/>
        </w:rPr>
      </w:pPr>
      <w:r>
        <w:rPr>
          <w:rFonts w:ascii="Times New Roman" w:hAnsi="Times New Roman" w:cs="Times New Roman"/>
          <w:color w:val="000000"/>
        </w:rPr>
        <w:t>d</w:t>
      </w:r>
      <w:r w:rsidRPr="00F61F40">
        <w:rPr>
          <w:rFonts w:ascii="Times New Roman" w:hAnsi="Times New Roman" w:cs="Times New Roman"/>
          <w:color w:val="000000"/>
        </w:rPr>
        <w:t xml:space="preserve">eductive </w:t>
      </w:r>
      <w:r w:rsidR="00062441">
        <w:rPr>
          <w:rFonts w:ascii="Times New Roman" w:hAnsi="Times New Roman" w:cs="Times New Roman"/>
          <w:color w:val="000000"/>
        </w:rPr>
        <w:t>techniques</w:t>
      </w:r>
      <w:r w:rsidRPr="00F61F40" w:rsidR="00062441">
        <w:rPr>
          <w:rFonts w:ascii="Times New Roman" w:hAnsi="Times New Roman" w:cs="Times New Roman"/>
          <w:color w:val="000000"/>
        </w:rPr>
        <w:t xml:space="preserve"> </w:t>
      </w:r>
      <w:r w:rsidRPr="00F61F40">
        <w:rPr>
          <w:rFonts w:ascii="Times New Roman" w:hAnsi="Times New Roman" w:cs="Times New Roman"/>
          <w:color w:val="000000"/>
        </w:rPr>
        <w:t>such as master logic diagrams to determine the elementary failures or combinations of elementary failures that would challenge normal operation and lead to an initiating event</w:t>
      </w:r>
      <w:r w:rsidR="00DE7BC3">
        <w:rPr>
          <w:rFonts w:ascii="Times New Roman" w:hAnsi="Times New Roman" w:cs="Times New Roman"/>
          <w:color w:val="000000"/>
        </w:rPr>
        <w:t>.</w:t>
      </w:r>
      <w:r w:rsidRPr="00F61F40">
        <w:rPr>
          <w:rFonts w:ascii="Times New Roman" w:hAnsi="Times New Roman" w:cs="Times New Roman"/>
          <w:color w:val="000000"/>
        </w:rPr>
        <w:t xml:space="preserve"> </w:t>
      </w:r>
    </w:p>
    <w:p w:rsidR="008B7BB5" w:rsidP="002F3C90" w14:paraId="195F6F02" w14:textId="77777777">
      <w:pPr>
        <w:autoSpaceDE w:val="0"/>
        <w:autoSpaceDN w:val="0"/>
        <w:adjustRightInd w:val="0"/>
        <w:spacing w:after="0" w:line="240" w:lineRule="auto"/>
        <w:rPr>
          <w:rFonts w:ascii="TimesNewRomanPSMT" w:hAnsi="TimesNewRomanPSMT" w:cs="TimesNewRomanPSMT"/>
          <w:sz w:val="19"/>
          <w:szCs w:val="19"/>
        </w:rPr>
      </w:pPr>
    </w:p>
    <w:p w:rsidR="008C297B" w:rsidRPr="00EB2BEC" w:rsidP="002F3C90" w14:paraId="68B309DA" w14:textId="6EAE0399">
      <w:pPr>
        <w:pStyle w:val="ListParagraph"/>
        <w:numPr>
          <w:ilvl w:val="0"/>
          <w:numId w:val="56"/>
        </w:numPr>
        <w:spacing w:after="0" w:line="240" w:lineRule="auto"/>
        <w:ind w:left="720" w:hanging="720"/>
        <w:rPr>
          <w:rFonts w:ascii="TimesNewRomanPSMT" w:hAnsi="TimesNewRomanPSMT" w:cs="TimesNewRomanPSMT"/>
          <w:sz w:val="19"/>
          <w:szCs w:val="19"/>
        </w:rPr>
      </w:pPr>
      <w:r w:rsidRPr="00282D31">
        <w:rPr>
          <w:rFonts w:ascii="Times New Roman" w:eastAsia="Arial" w:hAnsi="Times New Roman" w:cs="Times New Roman"/>
          <w:lang w:val="en-GB"/>
        </w:rPr>
        <w:t>Appendix</w:t>
      </w:r>
      <w:r w:rsidR="00B63003">
        <w:rPr>
          <w:rFonts w:ascii="Times New Roman" w:eastAsia="Arial" w:hAnsi="Times New Roman" w:cs="Times New Roman"/>
          <w:lang w:val="en-GB"/>
        </w:rPr>
        <w:t> </w:t>
      </w:r>
      <w:r w:rsidRPr="00282D31">
        <w:rPr>
          <w:rFonts w:ascii="Times New Roman" w:eastAsia="Arial" w:hAnsi="Times New Roman" w:cs="Times New Roman"/>
          <w:lang w:val="en-GB"/>
        </w:rPr>
        <w:t>A to this</w:t>
      </w:r>
      <w:r w:rsidRPr="00282D31" w:rsidR="00D933F8">
        <w:rPr>
          <w:rFonts w:ascii="Times New Roman" w:eastAsia="Arial" w:hAnsi="Times New Roman" w:cs="Times New Roman"/>
          <w:lang w:val="en-GB"/>
        </w:rPr>
        <w:t xml:space="preserve"> </w:t>
      </w:r>
      <w:r w:rsidRPr="00282D31" w:rsidR="00417854">
        <w:rPr>
          <w:rFonts w:ascii="Times New Roman" w:hAnsi="Times New Roman" w:cs="Times New Roman"/>
        </w:rPr>
        <w:t>RG</w:t>
      </w:r>
      <w:r w:rsidRPr="00282D31" w:rsidR="007C4F9C">
        <w:rPr>
          <w:rFonts w:ascii="Times New Roman" w:hAnsi="Times New Roman" w:cs="Times New Roman"/>
        </w:rPr>
        <w:t xml:space="preserve"> </w:t>
      </w:r>
      <w:r w:rsidRPr="00282D31">
        <w:rPr>
          <w:rFonts w:ascii="Times New Roman" w:eastAsia="Arial" w:hAnsi="Times New Roman" w:cs="Times New Roman"/>
          <w:lang w:val="en-GB"/>
        </w:rPr>
        <w:t xml:space="preserve">summarizes known </w:t>
      </w:r>
      <w:r w:rsidRPr="00282D31" w:rsidR="00CC01F4">
        <w:rPr>
          <w:rFonts w:ascii="Times New Roman" w:eastAsia="Arial" w:hAnsi="Times New Roman" w:cs="Times New Roman"/>
          <w:lang w:val="en-GB"/>
        </w:rPr>
        <w:t xml:space="preserve">techniques </w:t>
      </w:r>
      <w:r w:rsidRPr="00282D31">
        <w:rPr>
          <w:rFonts w:ascii="Times New Roman" w:eastAsia="Arial" w:hAnsi="Times New Roman" w:cs="Times New Roman"/>
          <w:lang w:val="en-GB"/>
        </w:rPr>
        <w:t>for conducting the search for initiators and delineating event sequences. Other approaches may be used with sufficient explanation and technical justification.</w:t>
      </w:r>
    </w:p>
    <w:p w:rsidR="00EB2BEC" w:rsidRPr="00EB2BEC" w:rsidP="002F3C90" w14:paraId="2D1AB925" w14:textId="77777777">
      <w:pPr>
        <w:spacing w:after="0" w:line="240" w:lineRule="auto"/>
        <w:rPr>
          <w:rFonts w:ascii="TimesNewRomanPSMT" w:hAnsi="TimesNewRomanPSMT" w:cs="TimesNewRomanPSMT"/>
          <w:sz w:val="19"/>
          <w:szCs w:val="19"/>
        </w:rPr>
      </w:pPr>
    </w:p>
    <w:p w:rsidR="00641A31" w:rsidRPr="00282D31" w:rsidP="002F3C90" w14:paraId="5B590750" w14:textId="62429435">
      <w:pPr>
        <w:pStyle w:val="ListParagraph"/>
        <w:numPr>
          <w:ilvl w:val="0"/>
          <w:numId w:val="56"/>
        </w:numPr>
        <w:spacing w:after="0" w:line="240" w:lineRule="auto"/>
        <w:ind w:left="720" w:hanging="720"/>
        <w:rPr>
          <w:rFonts w:ascii="Times New Roman" w:hAnsi="Times New Roman" w:cs="Times New Roman"/>
          <w:color w:val="000000"/>
        </w:rPr>
      </w:pPr>
      <w:r w:rsidRPr="00282D31">
        <w:rPr>
          <w:rFonts w:ascii="Times New Roman" w:hAnsi="Times New Roman" w:cs="Times New Roman"/>
          <w:color w:val="000000"/>
        </w:rPr>
        <w:t>Using</w:t>
      </w:r>
      <w:r w:rsidRPr="00282D31" w:rsidR="00B36D78">
        <w:rPr>
          <w:rFonts w:ascii="Times New Roman" w:hAnsi="Times New Roman" w:cs="Times New Roman"/>
          <w:color w:val="000000"/>
        </w:rPr>
        <w:t xml:space="preserve"> a combination</w:t>
      </w:r>
      <w:r w:rsidRPr="00282D31" w:rsidR="00FF19D0">
        <w:rPr>
          <w:rFonts w:ascii="Times New Roman" w:hAnsi="Times New Roman" w:cs="Times New Roman"/>
          <w:color w:val="000000"/>
        </w:rPr>
        <w:t xml:space="preserve"> of</w:t>
      </w:r>
      <w:r w:rsidRPr="00282D31">
        <w:rPr>
          <w:rFonts w:ascii="Times New Roman" w:hAnsi="Times New Roman" w:cs="Times New Roman"/>
          <w:color w:val="000000"/>
        </w:rPr>
        <w:t xml:space="preserve"> </w:t>
      </w:r>
      <w:r w:rsidRPr="00282D31" w:rsidR="005A384F">
        <w:rPr>
          <w:rFonts w:ascii="Times New Roman" w:hAnsi="Times New Roman" w:cs="Times New Roman"/>
          <w:color w:val="000000"/>
        </w:rPr>
        <w:t xml:space="preserve">different </w:t>
      </w:r>
      <w:r w:rsidRPr="00282D31" w:rsidR="00CC01F4">
        <w:rPr>
          <w:rFonts w:ascii="Times New Roman" w:hAnsi="Times New Roman" w:cs="Times New Roman"/>
          <w:color w:val="000000"/>
        </w:rPr>
        <w:t xml:space="preserve">techniques </w:t>
      </w:r>
      <w:r w:rsidRPr="00282D31">
        <w:rPr>
          <w:rFonts w:ascii="Times New Roman" w:hAnsi="Times New Roman" w:cs="Times New Roman"/>
          <w:color w:val="000000"/>
        </w:rPr>
        <w:t>should be considered</w:t>
      </w:r>
      <w:r w:rsidRPr="00282D31" w:rsidR="008636F1">
        <w:rPr>
          <w:rFonts w:ascii="Times New Roman" w:hAnsi="Times New Roman" w:cs="Times New Roman"/>
          <w:color w:val="000000"/>
        </w:rPr>
        <w:t>,</w:t>
      </w:r>
      <w:r w:rsidRPr="00282D31" w:rsidR="00524C9C">
        <w:rPr>
          <w:rFonts w:ascii="Times New Roman" w:hAnsi="Times New Roman" w:cs="Times New Roman"/>
          <w:color w:val="000000"/>
        </w:rPr>
        <w:t xml:space="preserve"> especially for new designs </w:t>
      </w:r>
      <w:r w:rsidRPr="00282D31" w:rsidR="00C6397B">
        <w:rPr>
          <w:rFonts w:ascii="Times New Roman" w:hAnsi="Times New Roman" w:cs="Times New Roman"/>
          <w:color w:val="000000"/>
        </w:rPr>
        <w:t xml:space="preserve">with </w:t>
      </w:r>
      <w:r w:rsidRPr="00282D31" w:rsidR="00B16B2B">
        <w:rPr>
          <w:rFonts w:ascii="Times New Roman" w:hAnsi="Times New Roman" w:cs="Times New Roman"/>
          <w:color w:val="000000"/>
        </w:rPr>
        <w:t>little or no operating</w:t>
      </w:r>
      <w:r w:rsidRPr="00282D31" w:rsidR="00524C9C">
        <w:rPr>
          <w:rFonts w:ascii="Times New Roman" w:hAnsi="Times New Roman" w:cs="Times New Roman"/>
          <w:color w:val="000000"/>
        </w:rPr>
        <w:t xml:space="preserve"> experience</w:t>
      </w:r>
      <w:r w:rsidRPr="00282D31" w:rsidR="00AD54DA">
        <w:rPr>
          <w:rFonts w:ascii="Times New Roman" w:hAnsi="Times New Roman" w:cs="Times New Roman"/>
          <w:color w:val="000000"/>
        </w:rPr>
        <w:t>,</w:t>
      </w:r>
      <w:r w:rsidRPr="00282D31" w:rsidR="00524C9C">
        <w:rPr>
          <w:rFonts w:ascii="Times New Roman" w:hAnsi="Times New Roman" w:cs="Times New Roman"/>
          <w:color w:val="000000"/>
        </w:rPr>
        <w:t xml:space="preserve"> t</w:t>
      </w:r>
      <w:r w:rsidRPr="00282D31" w:rsidR="008355CE">
        <w:rPr>
          <w:rFonts w:ascii="Times New Roman" w:hAnsi="Times New Roman" w:cs="Times New Roman"/>
          <w:color w:val="000000"/>
        </w:rPr>
        <w:t xml:space="preserve">o </w:t>
      </w:r>
      <w:r w:rsidRPr="00282D31" w:rsidR="00AD54DA">
        <w:rPr>
          <w:rFonts w:ascii="Times New Roman" w:hAnsi="Times New Roman" w:cs="Times New Roman"/>
          <w:color w:val="000000"/>
        </w:rPr>
        <w:t>gain confidence that</w:t>
      </w:r>
      <w:r w:rsidRPr="00282D31" w:rsidR="008355CE">
        <w:rPr>
          <w:rFonts w:ascii="Times New Roman" w:hAnsi="Times New Roman" w:cs="Times New Roman"/>
          <w:color w:val="000000"/>
        </w:rPr>
        <w:t xml:space="preserve"> </w:t>
      </w:r>
      <w:r w:rsidRPr="00282D31" w:rsidR="003813F0">
        <w:rPr>
          <w:rFonts w:ascii="Times New Roman" w:hAnsi="Times New Roman" w:cs="Times New Roman"/>
          <w:color w:val="000000"/>
        </w:rPr>
        <w:t>the</w:t>
      </w:r>
      <w:r w:rsidRPr="00282D31" w:rsidR="008355CE">
        <w:rPr>
          <w:rFonts w:ascii="Times New Roman" w:hAnsi="Times New Roman" w:cs="Times New Roman"/>
          <w:color w:val="000000"/>
        </w:rPr>
        <w:t xml:space="preserve"> list of </w:t>
      </w:r>
      <w:r w:rsidRPr="00282D31" w:rsidR="008355CE">
        <w:rPr>
          <w:rFonts w:ascii="Times New Roman" w:hAnsi="Times New Roman" w:cs="Times New Roman"/>
          <w:color w:val="000000"/>
        </w:rPr>
        <w:t>i</w:t>
      </w:r>
      <w:r w:rsidRPr="00282D31" w:rsidR="003813F0">
        <w:rPr>
          <w:rFonts w:ascii="Times New Roman" w:hAnsi="Times New Roman" w:cs="Times New Roman"/>
          <w:color w:val="000000"/>
        </w:rPr>
        <w:t>ni</w:t>
      </w:r>
      <w:r w:rsidRPr="00282D31" w:rsidR="008355CE">
        <w:rPr>
          <w:rFonts w:ascii="Times New Roman" w:hAnsi="Times New Roman" w:cs="Times New Roman"/>
          <w:color w:val="000000"/>
        </w:rPr>
        <w:t>t</w:t>
      </w:r>
      <w:r w:rsidRPr="00282D31" w:rsidR="00940374">
        <w:rPr>
          <w:rFonts w:ascii="Times New Roman" w:hAnsi="Times New Roman" w:cs="Times New Roman"/>
          <w:color w:val="000000"/>
        </w:rPr>
        <w:t>i</w:t>
      </w:r>
      <w:r w:rsidRPr="00282D31" w:rsidR="008355CE">
        <w:rPr>
          <w:rFonts w:ascii="Times New Roman" w:hAnsi="Times New Roman" w:cs="Times New Roman"/>
          <w:color w:val="000000"/>
        </w:rPr>
        <w:t>ating</w:t>
      </w:r>
      <w:r w:rsidRPr="00282D31" w:rsidR="008355CE">
        <w:rPr>
          <w:rFonts w:ascii="Times New Roman" w:hAnsi="Times New Roman" w:cs="Times New Roman"/>
          <w:color w:val="000000"/>
        </w:rPr>
        <w:t xml:space="preserve"> events is </w:t>
      </w:r>
      <w:r w:rsidRPr="00282D31" w:rsidR="003813F0">
        <w:rPr>
          <w:rFonts w:ascii="Times New Roman" w:hAnsi="Times New Roman" w:cs="Times New Roman"/>
          <w:color w:val="000000"/>
        </w:rPr>
        <w:t>comprehensive</w:t>
      </w:r>
      <w:r w:rsidRPr="00282D31" w:rsidR="00524C9C">
        <w:rPr>
          <w:rFonts w:ascii="Times New Roman" w:hAnsi="Times New Roman" w:cs="Times New Roman"/>
          <w:color w:val="000000"/>
        </w:rPr>
        <w:t>.</w:t>
      </w:r>
      <w:r w:rsidRPr="00282D31" w:rsidR="008355CE">
        <w:rPr>
          <w:rFonts w:ascii="Times New Roman" w:hAnsi="Times New Roman" w:cs="Times New Roman"/>
          <w:color w:val="000000"/>
        </w:rPr>
        <w:t xml:space="preserve"> </w:t>
      </w:r>
    </w:p>
    <w:p w:rsidR="007B0B72" w:rsidRPr="00282D31" w:rsidP="002F3C90" w14:paraId="539E4EBC" w14:textId="0286DC9D">
      <w:pPr>
        <w:pStyle w:val="Heading3"/>
        <w:spacing w:before="220" w:line="240" w:lineRule="auto"/>
        <w:rPr>
          <w:i/>
          <w:iCs/>
        </w:rPr>
      </w:pPr>
      <w:r w:rsidRPr="00282D31">
        <w:rPr>
          <w:i/>
          <w:iCs/>
        </w:rPr>
        <w:t xml:space="preserve">Define </w:t>
      </w:r>
      <w:r w:rsidRPr="00282D31" w:rsidR="00D67965">
        <w:rPr>
          <w:i/>
          <w:iCs/>
        </w:rPr>
        <w:t xml:space="preserve">Initiating Event Grouping Strategy and Characteristics </w:t>
      </w:r>
      <w:r w:rsidRPr="00282D31" w:rsidR="00F85810">
        <w:rPr>
          <w:i/>
          <w:iCs/>
        </w:rPr>
        <w:t>(Box</w:t>
      </w:r>
      <w:r w:rsidR="00B63003">
        <w:rPr>
          <w:i/>
          <w:iCs/>
        </w:rPr>
        <w:t> </w:t>
      </w:r>
      <w:r w:rsidRPr="00282D31" w:rsidR="00D4612B">
        <w:rPr>
          <w:i/>
          <w:iCs/>
        </w:rPr>
        <w:t>9</w:t>
      </w:r>
      <w:r w:rsidRPr="00282D31" w:rsidR="00F85810">
        <w:rPr>
          <w:i/>
          <w:iCs/>
        </w:rPr>
        <w:t>, Principle #2)</w:t>
      </w:r>
    </w:p>
    <w:p w:rsidR="00B77404" w:rsidP="002F3C90" w14:paraId="1187B601" w14:textId="77777777">
      <w:pPr>
        <w:spacing w:after="0" w:line="240" w:lineRule="auto"/>
        <w:ind w:firstLine="720"/>
        <w:rPr>
          <w:rFonts w:ascii="Times New Roman" w:hAnsi="Times New Roman" w:cs="Times New Roman"/>
        </w:rPr>
      </w:pPr>
    </w:p>
    <w:p w:rsidR="006973DF" w:rsidRPr="00282D31" w:rsidP="002F3C90" w14:paraId="528CB33C" w14:textId="5993AA9D">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After </w:t>
      </w:r>
      <w:r w:rsidRPr="00282D31" w:rsidR="00E12302">
        <w:rPr>
          <w:rFonts w:ascii="Times New Roman" w:hAnsi="Times New Roman" w:cs="Times New Roman"/>
        </w:rPr>
        <w:t>identif</w:t>
      </w:r>
      <w:r w:rsidR="002608BE">
        <w:rPr>
          <w:rFonts w:ascii="Times New Roman" w:hAnsi="Times New Roman" w:cs="Times New Roman"/>
        </w:rPr>
        <w:t>ication of</w:t>
      </w:r>
      <w:r w:rsidRPr="00282D31">
        <w:rPr>
          <w:rFonts w:ascii="Times New Roman" w:hAnsi="Times New Roman" w:cs="Times New Roman"/>
        </w:rPr>
        <w:t xml:space="preserve"> </w:t>
      </w:r>
      <w:r w:rsidRPr="00282D31" w:rsidR="005402E0">
        <w:rPr>
          <w:rFonts w:ascii="Times New Roman" w:hAnsi="Times New Roman" w:cs="Times New Roman"/>
        </w:rPr>
        <w:t xml:space="preserve">the </w:t>
      </w:r>
      <w:r w:rsidRPr="00282D31">
        <w:rPr>
          <w:rFonts w:ascii="Times New Roman" w:eastAsia="Arial" w:hAnsi="Times New Roman" w:cs="Times New Roman"/>
          <w:lang w:val="en-GB"/>
        </w:rPr>
        <w:t>initiating</w:t>
      </w:r>
      <w:r w:rsidRPr="00282D31">
        <w:rPr>
          <w:rFonts w:ascii="Times New Roman" w:hAnsi="Times New Roman" w:cs="Times New Roman"/>
        </w:rPr>
        <w:t xml:space="preserve"> events, </w:t>
      </w:r>
      <w:r w:rsidRPr="00282D31" w:rsidR="00CC6D6B">
        <w:rPr>
          <w:rFonts w:ascii="Times New Roman" w:hAnsi="Times New Roman" w:cs="Times New Roman"/>
        </w:rPr>
        <w:t>they</w:t>
      </w:r>
      <w:r w:rsidRPr="00282D31">
        <w:rPr>
          <w:rFonts w:ascii="Times New Roman" w:hAnsi="Times New Roman" w:cs="Times New Roman"/>
        </w:rPr>
        <w:t xml:space="preserve"> </w:t>
      </w:r>
      <w:r w:rsidRPr="00282D31" w:rsidR="00067745">
        <w:rPr>
          <w:rFonts w:ascii="Times New Roman" w:hAnsi="Times New Roman" w:cs="Times New Roman"/>
        </w:rPr>
        <w:t>should be grouped</w:t>
      </w:r>
      <w:r w:rsidRPr="00282D31" w:rsidR="007406BC">
        <w:rPr>
          <w:rFonts w:ascii="Times New Roman" w:hAnsi="Times New Roman" w:cs="Times New Roman"/>
        </w:rPr>
        <w:t xml:space="preserve"> to reduce the number </w:t>
      </w:r>
      <w:r w:rsidRPr="00282D31" w:rsidR="00E12302">
        <w:rPr>
          <w:rFonts w:ascii="Times New Roman" w:hAnsi="Times New Roman" w:cs="Times New Roman"/>
        </w:rPr>
        <w:t>of</w:t>
      </w:r>
      <w:r w:rsidRPr="00282D31" w:rsidR="00E12302">
        <w:rPr>
          <w:rFonts w:ascii="Times New Roman" w:hAnsi="Times New Roman" w:cs="Times New Roman"/>
        </w:rPr>
        <w:t xml:space="preserve"> </w:t>
      </w:r>
      <w:r w:rsidRPr="00282D31" w:rsidR="004C71B2">
        <w:rPr>
          <w:rFonts w:ascii="Times New Roman" w:hAnsi="Times New Roman" w:cs="Times New Roman"/>
        </w:rPr>
        <w:t xml:space="preserve">analyzed </w:t>
      </w:r>
      <w:r w:rsidRPr="00282D31" w:rsidR="00E12302">
        <w:rPr>
          <w:rFonts w:ascii="Times New Roman" w:hAnsi="Times New Roman" w:cs="Times New Roman"/>
        </w:rPr>
        <w:t xml:space="preserve">initiating events </w:t>
      </w:r>
      <w:r w:rsidRPr="00282D31" w:rsidR="007406BC">
        <w:rPr>
          <w:rFonts w:ascii="Times New Roman" w:hAnsi="Times New Roman" w:cs="Times New Roman"/>
        </w:rPr>
        <w:t xml:space="preserve">to a </w:t>
      </w:r>
      <w:r w:rsidRPr="00282D31" w:rsidR="00A62258">
        <w:rPr>
          <w:rFonts w:ascii="Times New Roman" w:hAnsi="Times New Roman" w:cs="Times New Roman"/>
        </w:rPr>
        <w:t xml:space="preserve">manageable and </w:t>
      </w:r>
      <w:r w:rsidRPr="00282D31" w:rsidR="007406BC">
        <w:rPr>
          <w:rFonts w:ascii="Times New Roman" w:hAnsi="Times New Roman" w:cs="Times New Roman"/>
        </w:rPr>
        <w:t xml:space="preserve">representative selection </w:t>
      </w:r>
      <w:r w:rsidRPr="00282D31" w:rsidR="00E12302">
        <w:rPr>
          <w:rFonts w:ascii="Times New Roman" w:hAnsi="Times New Roman" w:cs="Times New Roman"/>
        </w:rPr>
        <w:t xml:space="preserve">that </w:t>
      </w:r>
      <w:r w:rsidRPr="00282D31" w:rsidR="007406BC">
        <w:rPr>
          <w:rFonts w:ascii="Times New Roman" w:hAnsi="Times New Roman" w:cs="Times New Roman"/>
        </w:rPr>
        <w:t>support</w:t>
      </w:r>
      <w:r w:rsidRPr="00282D31" w:rsidR="00E12302">
        <w:rPr>
          <w:rFonts w:ascii="Times New Roman" w:hAnsi="Times New Roman" w:cs="Times New Roman"/>
        </w:rPr>
        <w:t>s</w:t>
      </w:r>
      <w:r w:rsidRPr="00282D31" w:rsidR="007406BC">
        <w:rPr>
          <w:rFonts w:ascii="Times New Roman" w:hAnsi="Times New Roman" w:cs="Times New Roman"/>
        </w:rPr>
        <w:t xml:space="preserve"> </w:t>
      </w:r>
      <w:r w:rsidR="00055686">
        <w:rPr>
          <w:rFonts w:ascii="Times New Roman" w:hAnsi="Times New Roman" w:cs="Times New Roman"/>
        </w:rPr>
        <w:t xml:space="preserve">the </w:t>
      </w:r>
      <w:r w:rsidRPr="00282D31" w:rsidR="00A62258">
        <w:rPr>
          <w:rFonts w:ascii="Times New Roman" w:hAnsi="Times New Roman" w:cs="Times New Roman"/>
        </w:rPr>
        <w:t xml:space="preserve">efficient </w:t>
      </w:r>
      <w:r w:rsidRPr="00282D31" w:rsidR="007406BC">
        <w:rPr>
          <w:rFonts w:ascii="Times New Roman" w:hAnsi="Times New Roman" w:cs="Times New Roman"/>
        </w:rPr>
        <w:t>development of relevant</w:t>
      </w:r>
      <w:r w:rsidRPr="00282D31" w:rsidR="00E12302">
        <w:rPr>
          <w:rFonts w:ascii="Times New Roman" w:hAnsi="Times New Roman" w:cs="Times New Roman"/>
        </w:rPr>
        <w:t xml:space="preserve"> </w:t>
      </w:r>
      <w:r w:rsidRPr="00282D31" w:rsidR="007406BC">
        <w:rPr>
          <w:rFonts w:ascii="Times New Roman" w:hAnsi="Times New Roman" w:cs="Times New Roman"/>
        </w:rPr>
        <w:t>event sequences.</w:t>
      </w:r>
      <w:r w:rsidRPr="00282D31" w:rsidR="00E931ED">
        <w:rPr>
          <w:rFonts w:ascii="Times New Roman" w:hAnsi="Times New Roman" w:cs="Times New Roman"/>
        </w:rPr>
        <w:t xml:space="preserve"> </w:t>
      </w:r>
      <w:r w:rsidRPr="00282D31" w:rsidR="007406BC">
        <w:rPr>
          <w:rFonts w:ascii="Times New Roman" w:hAnsi="Times New Roman" w:cs="Times New Roman"/>
        </w:rPr>
        <w:t xml:space="preserve">A strategy for </w:t>
      </w:r>
      <w:r w:rsidRPr="00282D31" w:rsidR="00C7788E">
        <w:rPr>
          <w:rFonts w:ascii="Times New Roman" w:hAnsi="Times New Roman" w:cs="Times New Roman"/>
        </w:rPr>
        <w:t xml:space="preserve">initiating event grouping should be established to support a </w:t>
      </w:r>
      <w:r w:rsidRPr="00282D31" w:rsidR="00C7788E">
        <w:rPr>
          <w:rFonts w:ascii="Times New Roman" w:hAnsi="Times New Roman" w:cs="Times New Roman"/>
        </w:rPr>
        <w:t>systematic</w:t>
      </w:r>
      <w:r w:rsidRPr="00282D31" w:rsidR="00C7788E">
        <w:rPr>
          <w:rFonts w:ascii="Times New Roman" w:hAnsi="Times New Roman" w:cs="Times New Roman"/>
        </w:rPr>
        <w:t xml:space="preserve"> structure</w:t>
      </w:r>
      <w:r w:rsidRPr="00282D31" w:rsidR="006E1E4F">
        <w:rPr>
          <w:rFonts w:ascii="Times New Roman" w:hAnsi="Times New Roman" w:cs="Times New Roman"/>
        </w:rPr>
        <w:t>d</w:t>
      </w:r>
      <w:r w:rsidRPr="00282D31" w:rsidR="00C7788E">
        <w:rPr>
          <w:rFonts w:ascii="Times New Roman" w:hAnsi="Times New Roman" w:cs="Times New Roman"/>
        </w:rPr>
        <w:t xml:space="preserve"> process for grouping.</w:t>
      </w:r>
      <w:r w:rsidRPr="00282D31" w:rsidR="00E931ED">
        <w:rPr>
          <w:rFonts w:ascii="Times New Roman" w:hAnsi="Times New Roman" w:cs="Times New Roman"/>
        </w:rPr>
        <w:t xml:space="preserve"> </w:t>
      </w:r>
      <w:r w:rsidRPr="00282D31" w:rsidR="006E1E4F">
        <w:rPr>
          <w:rFonts w:ascii="Times New Roman" w:hAnsi="Times New Roman" w:cs="Times New Roman"/>
        </w:rPr>
        <w:t>The strategy chose</w:t>
      </w:r>
      <w:r w:rsidRPr="00282D31" w:rsidR="005206E1">
        <w:rPr>
          <w:rFonts w:ascii="Times New Roman" w:hAnsi="Times New Roman" w:cs="Times New Roman"/>
        </w:rPr>
        <w:t>n</w:t>
      </w:r>
      <w:r w:rsidRPr="00282D31" w:rsidR="006E1E4F">
        <w:rPr>
          <w:rFonts w:ascii="Times New Roman" w:hAnsi="Times New Roman" w:cs="Times New Roman"/>
        </w:rPr>
        <w:t xml:space="preserve"> may depend on the </w:t>
      </w:r>
      <w:r w:rsidRPr="00282D31" w:rsidR="00F1503B">
        <w:rPr>
          <w:rFonts w:ascii="Times New Roman" w:hAnsi="Times New Roman" w:cs="Times New Roman"/>
        </w:rPr>
        <w:t>intended</w:t>
      </w:r>
      <w:r w:rsidRPr="00282D31" w:rsidR="00773DD2">
        <w:rPr>
          <w:rFonts w:ascii="Times New Roman" w:hAnsi="Times New Roman" w:cs="Times New Roman"/>
        </w:rPr>
        <w:t xml:space="preserve"> scope and depth of the analysis</w:t>
      </w:r>
      <w:r w:rsidRPr="00282D31" w:rsidR="006E1E4F">
        <w:rPr>
          <w:rFonts w:ascii="Times New Roman" w:hAnsi="Times New Roman" w:cs="Times New Roman"/>
        </w:rPr>
        <w:t xml:space="preserve">, but generally, initiating events </w:t>
      </w:r>
      <w:r w:rsidRPr="00282D31" w:rsidR="003E31C0">
        <w:rPr>
          <w:rFonts w:ascii="Times New Roman" w:hAnsi="Times New Roman" w:cs="Times New Roman"/>
        </w:rPr>
        <w:t xml:space="preserve">grouping </w:t>
      </w:r>
      <w:r w:rsidRPr="00282D31" w:rsidR="006E1E4F">
        <w:rPr>
          <w:rFonts w:ascii="Times New Roman" w:hAnsi="Times New Roman" w:cs="Times New Roman"/>
        </w:rPr>
        <w:t xml:space="preserve">can be based on </w:t>
      </w:r>
      <w:r w:rsidRPr="00282D31" w:rsidR="003E31C0">
        <w:rPr>
          <w:rFonts w:ascii="Times New Roman" w:hAnsi="Times New Roman" w:cs="Times New Roman"/>
        </w:rPr>
        <w:t>similarity in</w:t>
      </w:r>
      <w:r w:rsidRPr="00282D31" w:rsidR="006E1E4F">
        <w:rPr>
          <w:rFonts w:ascii="Times New Roman" w:hAnsi="Times New Roman" w:cs="Times New Roman"/>
        </w:rPr>
        <w:t xml:space="preserve"> plant response, </w:t>
      </w:r>
      <w:r w:rsidRPr="00282D31" w:rsidR="00B07335">
        <w:rPr>
          <w:rFonts w:ascii="Times New Roman" w:hAnsi="Times New Roman" w:cs="Times New Roman"/>
        </w:rPr>
        <w:t xml:space="preserve">the </w:t>
      </w:r>
      <w:r w:rsidRPr="00282D31" w:rsidR="006927AD">
        <w:rPr>
          <w:rFonts w:ascii="Times New Roman" w:hAnsi="Times New Roman" w:cs="Times New Roman"/>
        </w:rPr>
        <w:t>radioactive barriers</w:t>
      </w:r>
      <w:r w:rsidRPr="00282D31" w:rsidR="00B07335">
        <w:rPr>
          <w:rFonts w:ascii="Times New Roman" w:hAnsi="Times New Roman" w:cs="Times New Roman"/>
        </w:rPr>
        <w:t xml:space="preserve"> that prevent the releases</w:t>
      </w:r>
      <w:r w:rsidRPr="00282D31" w:rsidR="006927AD">
        <w:rPr>
          <w:rFonts w:ascii="Times New Roman" w:hAnsi="Times New Roman" w:cs="Times New Roman"/>
        </w:rPr>
        <w:t xml:space="preserve">, </w:t>
      </w:r>
      <w:r w:rsidRPr="00282D31" w:rsidR="00B07335">
        <w:rPr>
          <w:rFonts w:ascii="Times New Roman" w:hAnsi="Times New Roman" w:cs="Times New Roman"/>
        </w:rPr>
        <w:t xml:space="preserve">the </w:t>
      </w:r>
      <w:r w:rsidRPr="00282D31" w:rsidR="002A148F">
        <w:rPr>
          <w:rFonts w:ascii="Times New Roman" w:hAnsi="Times New Roman" w:cs="Times New Roman"/>
        </w:rPr>
        <w:t xml:space="preserve">mitigating systems involved, associated </w:t>
      </w:r>
      <w:r w:rsidRPr="00282D31" w:rsidR="006E1E4F">
        <w:rPr>
          <w:rFonts w:ascii="Times New Roman" w:hAnsi="Times New Roman" w:cs="Times New Roman"/>
        </w:rPr>
        <w:t xml:space="preserve">success criteria, timing, </w:t>
      </w:r>
      <w:r w:rsidRPr="00282D31" w:rsidR="001C4570">
        <w:rPr>
          <w:rFonts w:ascii="Times New Roman" w:hAnsi="Times New Roman" w:cs="Times New Roman"/>
        </w:rPr>
        <w:t xml:space="preserve">or </w:t>
      </w:r>
      <w:r w:rsidRPr="00282D31" w:rsidR="006E1E4F">
        <w:rPr>
          <w:rFonts w:ascii="Times New Roman" w:hAnsi="Times New Roman" w:cs="Times New Roman"/>
        </w:rPr>
        <w:t xml:space="preserve">the effect on </w:t>
      </w:r>
      <w:r w:rsidRPr="00282D31" w:rsidR="00EC699C">
        <w:rPr>
          <w:rFonts w:ascii="Times New Roman" w:hAnsi="Times New Roman" w:cs="Times New Roman"/>
        </w:rPr>
        <w:t>operator</w:t>
      </w:r>
      <w:r w:rsidR="00EC699C">
        <w:rPr>
          <w:rFonts w:ascii="Times New Roman" w:hAnsi="Times New Roman" w:cs="Times New Roman"/>
        </w:rPr>
        <w:t xml:space="preserve"> </w:t>
      </w:r>
      <w:r w:rsidRPr="00282D31" w:rsidR="006E1E4F">
        <w:rPr>
          <w:rFonts w:ascii="Times New Roman" w:hAnsi="Times New Roman" w:cs="Times New Roman"/>
        </w:rPr>
        <w:t>performance</w:t>
      </w:r>
      <w:r w:rsidRPr="00282D31" w:rsidR="008751C0">
        <w:rPr>
          <w:rFonts w:ascii="Times New Roman" w:hAnsi="Times New Roman" w:cs="Times New Roman"/>
        </w:rPr>
        <w:t xml:space="preserve">. </w:t>
      </w:r>
      <w:r w:rsidRPr="00282D31" w:rsidR="009C754C">
        <w:rPr>
          <w:rFonts w:ascii="Times New Roman" w:hAnsi="Times New Roman" w:cs="Times New Roman"/>
        </w:rPr>
        <w:t>Alternatively, t</w:t>
      </w:r>
      <w:r w:rsidRPr="00282D31" w:rsidR="006E1E4F">
        <w:rPr>
          <w:rFonts w:ascii="Times New Roman" w:hAnsi="Times New Roman" w:cs="Times New Roman"/>
        </w:rPr>
        <w:t xml:space="preserve">he </w:t>
      </w:r>
      <w:r w:rsidRPr="00282D31" w:rsidR="009C754C">
        <w:rPr>
          <w:rFonts w:ascii="Times New Roman" w:hAnsi="Times New Roman" w:cs="Times New Roman"/>
        </w:rPr>
        <w:t xml:space="preserve">initiating </w:t>
      </w:r>
      <w:r w:rsidRPr="00282D31" w:rsidR="006E1E4F">
        <w:rPr>
          <w:rFonts w:ascii="Times New Roman" w:hAnsi="Times New Roman" w:cs="Times New Roman"/>
        </w:rPr>
        <w:t xml:space="preserve">events can be </w:t>
      </w:r>
      <w:r w:rsidRPr="00282D31" w:rsidR="006E1E4F">
        <w:rPr>
          <w:rFonts w:ascii="Times New Roman" w:hAnsi="Times New Roman" w:cs="Times New Roman"/>
        </w:rPr>
        <w:t>bounded</w:t>
      </w:r>
      <w:r w:rsidRPr="00282D31" w:rsidR="006E1E4F">
        <w:rPr>
          <w:rFonts w:ascii="Times New Roman" w:hAnsi="Times New Roman" w:cs="Times New Roman"/>
        </w:rPr>
        <w:t xml:space="preserve"> by the </w:t>
      </w:r>
      <w:r w:rsidRPr="00282D31" w:rsidR="006E1E4F">
        <w:rPr>
          <w:rFonts w:ascii="Times New Roman" w:hAnsi="Times New Roman" w:cs="Times New Roman"/>
        </w:rPr>
        <w:t>worst</w:t>
      </w:r>
      <w:r w:rsidR="00156DF9">
        <w:rPr>
          <w:rFonts w:ascii="Times New Roman" w:hAnsi="Times New Roman" w:cs="Times New Roman"/>
        </w:rPr>
        <w:t xml:space="preserve"> </w:t>
      </w:r>
      <w:r w:rsidRPr="00282D31" w:rsidR="006E1E4F">
        <w:rPr>
          <w:rFonts w:ascii="Times New Roman" w:hAnsi="Times New Roman" w:cs="Times New Roman"/>
        </w:rPr>
        <w:t>case</w:t>
      </w:r>
      <w:r w:rsidRPr="00282D31" w:rsidR="006E1E4F">
        <w:rPr>
          <w:rFonts w:ascii="Times New Roman" w:hAnsi="Times New Roman" w:cs="Times New Roman"/>
        </w:rPr>
        <w:t xml:space="preserve"> </w:t>
      </w:r>
      <w:r w:rsidRPr="00282D31" w:rsidR="00AA1D44">
        <w:rPr>
          <w:rFonts w:ascii="Times New Roman" w:hAnsi="Times New Roman" w:cs="Times New Roman"/>
        </w:rPr>
        <w:t xml:space="preserve">consequences </w:t>
      </w:r>
      <w:r w:rsidRPr="00282D31" w:rsidR="006E1E4F">
        <w:rPr>
          <w:rFonts w:ascii="Times New Roman" w:hAnsi="Times New Roman" w:cs="Times New Roman"/>
        </w:rPr>
        <w:t>within the group.</w:t>
      </w:r>
      <w:r w:rsidRPr="00282D31" w:rsidR="00F1503B">
        <w:rPr>
          <w:rFonts w:ascii="Times New Roman" w:hAnsi="Times New Roman" w:cs="Times New Roman"/>
        </w:rPr>
        <w:t xml:space="preserve"> </w:t>
      </w:r>
    </w:p>
    <w:p w:rsidR="00C654BE" w:rsidP="002F3C90" w14:paraId="0C3A30E0" w14:textId="77777777">
      <w:pPr>
        <w:spacing w:after="0" w:line="240" w:lineRule="auto"/>
        <w:rPr>
          <w:rFonts w:ascii="Times New Roman" w:hAnsi="Times New Roman" w:cs="Times New Roman"/>
        </w:rPr>
      </w:pPr>
    </w:p>
    <w:p w:rsidR="00C654BE" w:rsidRPr="00D93DB5" w:rsidP="002F3C90" w14:paraId="44CEF387" w14:textId="49BC618A">
      <w:pPr>
        <w:pStyle w:val="Heading3"/>
        <w:spacing w:line="240" w:lineRule="auto"/>
        <w:rPr>
          <w:i/>
          <w:iCs/>
        </w:rPr>
      </w:pPr>
      <w:r w:rsidRPr="00D93DB5">
        <w:rPr>
          <w:i/>
          <w:iCs/>
        </w:rPr>
        <w:t xml:space="preserve">Select </w:t>
      </w:r>
      <w:r w:rsidRPr="00D93DB5" w:rsidR="00D67965">
        <w:rPr>
          <w:i/>
          <w:iCs/>
        </w:rPr>
        <w:t xml:space="preserve">Event Sequence Delineation Analytical Methods </w:t>
      </w:r>
      <w:r w:rsidRPr="00D93DB5">
        <w:rPr>
          <w:i/>
          <w:iCs/>
        </w:rPr>
        <w:t>(Box</w:t>
      </w:r>
      <w:r w:rsidRPr="00D93DB5" w:rsidR="00B63003">
        <w:rPr>
          <w:i/>
          <w:iCs/>
        </w:rPr>
        <w:t> </w:t>
      </w:r>
      <w:r w:rsidRPr="00D93DB5">
        <w:rPr>
          <w:i/>
          <w:iCs/>
        </w:rPr>
        <w:t>1</w:t>
      </w:r>
      <w:r w:rsidRPr="00D93DB5" w:rsidR="003F24F3">
        <w:rPr>
          <w:i/>
          <w:iCs/>
        </w:rPr>
        <w:t>0</w:t>
      </w:r>
      <w:r w:rsidRPr="00D93DB5">
        <w:rPr>
          <w:i/>
          <w:iCs/>
        </w:rPr>
        <w:t>, Principle #3)</w:t>
      </w:r>
    </w:p>
    <w:p w:rsidR="003F1A32" w:rsidP="002F3C90" w14:paraId="30E26D7F" w14:textId="798F6F49">
      <w:pPr>
        <w:spacing w:after="0" w:line="240" w:lineRule="auto"/>
        <w:rPr>
          <w:rFonts w:ascii="Times New Roman" w:hAnsi="Times New Roman" w:cs="Times New Roman"/>
        </w:rPr>
      </w:pPr>
    </w:p>
    <w:p w:rsidR="00873AD6" w:rsidRPr="00D320D5" w:rsidP="002F3C90" w14:paraId="3E78A5B9" w14:textId="693B2946">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eastAsia="Arial" w:hAnsi="Times New Roman" w:cs="Times New Roman"/>
          <w:lang w:val="en-GB"/>
        </w:rPr>
        <w:t>Following</w:t>
      </w:r>
      <w:r w:rsidRPr="00D320D5">
        <w:rPr>
          <w:rFonts w:ascii="Times New Roman" w:hAnsi="Times New Roman" w:cs="Times New Roman"/>
        </w:rPr>
        <w:t xml:space="preserve"> the identification and grouping of the initiating events, </w:t>
      </w:r>
      <w:r w:rsidRPr="00D320D5" w:rsidR="00124A2B">
        <w:rPr>
          <w:rFonts w:ascii="Times New Roman" w:hAnsi="Times New Roman" w:cs="Times New Roman"/>
        </w:rPr>
        <w:t>applicants should</w:t>
      </w:r>
      <w:r w:rsidRPr="00D320D5">
        <w:rPr>
          <w:rFonts w:ascii="Times New Roman" w:hAnsi="Times New Roman" w:cs="Times New Roman"/>
        </w:rPr>
        <w:t xml:space="preserve"> determine the response of the plant to each group</w:t>
      </w:r>
      <w:r w:rsidRPr="00D320D5" w:rsidR="00F53B6B">
        <w:rPr>
          <w:rFonts w:ascii="Times New Roman" w:hAnsi="Times New Roman" w:cs="Times New Roman"/>
        </w:rPr>
        <w:t xml:space="preserve"> of initiating events </w:t>
      </w:r>
      <w:r w:rsidRPr="00D320D5" w:rsidR="00F53B6B">
        <w:rPr>
          <w:rFonts w:ascii="Times New Roman" w:hAnsi="Times New Roman" w:cs="Times New Roman"/>
        </w:rPr>
        <w:t>in order to</w:t>
      </w:r>
      <w:r w:rsidRPr="00D320D5" w:rsidR="00F53B6B">
        <w:rPr>
          <w:rFonts w:ascii="Times New Roman" w:hAnsi="Times New Roman" w:cs="Times New Roman"/>
        </w:rPr>
        <w:t xml:space="preserve"> develop event sequences</w:t>
      </w:r>
      <w:r w:rsidRPr="00D320D5">
        <w:rPr>
          <w:rFonts w:ascii="Times New Roman" w:hAnsi="Times New Roman" w:cs="Times New Roman"/>
        </w:rPr>
        <w:t>.</w:t>
      </w:r>
      <w:r w:rsidRPr="00D320D5" w:rsidR="007D12A5">
        <w:rPr>
          <w:rFonts w:ascii="Times New Roman" w:hAnsi="Times New Roman" w:cs="Times New Roman"/>
        </w:rPr>
        <w:t xml:space="preserve"> The methods </w:t>
      </w:r>
      <w:r w:rsidRPr="00D320D5" w:rsidR="00656A11">
        <w:rPr>
          <w:rFonts w:ascii="Times New Roman" w:hAnsi="Times New Roman" w:cs="Times New Roman"/>
        </w:rPr>
        <w:t xml:space="preserve">needed to perform this task </w:t>
      </w:r>
      <w:r w:rsidRPr="00D320D5" w:rsidR="0051520A">
        <w:rPr>
          <w:rFonts w:ascii="Times New Roman" w:hAnsi="Times New Roman" w:cs="Times New Roman"/>
        </w:rPr>
        <w:t>should</w:t>
      </w:r>
      <w:r w:rsidRPr="00D320D5" w:rsidR="00656A11">
        <w:rPr>
          <w:rFonts w:ascii="Times New Roman" w:hAnsi="Times New Roman" w:cs="Times New Roman"/>
        </w:rPr>
        <w:t xml:space="preserve"> be clearly identified.</w:t>
      </w:r>
      <w:r w:rsidRPr="00D320D5" w:rsidR="00687349">
        <w:rPr>
          <w:rFonts w:ascii="Times New Roman" w:hAnsi="Times New Roman" w:cs="Times New Roman"/>
        </w:rPr>
        <w:t xml:space="preserve"> The methods can include </w:t>
      </w:r>
      <w:r w:rsidRPr="00D320D5" w:rsidR="00D42ABD">
        <w:rPr>
          <w:rFonts w:ascii="Times New Roman" w:hAnsi="Times New Roman" w:cs="Times New Roman"/>
        </w:rPr>
        <w:t xml:space="preserve">event sequence diagrams, </w:t>
      </w:r>
      <w:r w:rsidRPr="00D320D5" w:rsidR="00687349">
        <w:rPr>
          <w:rFonts w:ascii="Times New Roman" w:hAnsi="Times New Roman" w:cs="Times New Roman"/>
        </w:rPr>
        <w:t xml:space="preserve">event trees, or other methods. </w:t>
      </w:r>
    </w:p>
    <w:p w:rsidR="004175F7" w:rsidP="002F3C90" w14:paraId="2A01EF89" w14:textId="77777777">
      <w:pPr>
        <w:spacing w:after="0" w:line="240" w:lineRule="auto"/>
        <w:ind w:left="720" w:hanging="720"/>
        <w:rPr>
          <w:rFonts w:ascii="Times New Roman" w:hAnsi="Times New Roman" w:cs="Times New Roman"/>
        </w:rPr>
      </w:pPr>
    </w:p>
    <w:p w:rsidR="00DD590A" w:rsidRPr="00D320D5" w:rsidP="002F3C90" w14:paraId="2090BEA8" w14:textId="3B298861">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E</w:t>
      </w:r>
      <w:r w:rsidRPr="00D320D5" w:rsidR="00A400C2">
        <w:rPr>
          <w:rFonts w:ascii="Times New Roman" w:hAnsi="Times New Roman" w:cs="Times New Roman"/>
        </w:rPr>
        <w:t>vent trees</w:t>
      </w:r>
      <w:r w:rsidRPr="00D320D5" w:rsidR="00147A01">
        <w:rPr>
          <w:rFonts w:ascii="Times New Roman" w:hAnsi="Times New Roman" w:cs="Times New Roman"/>
        </w:rPr>
        <w:t xml:space="preserve"> </w:t>
      </w:r>
      <w:r w:rsidRPr="00D320D5" w:rsidR="00982CA3">
        <w:rPr>
          <w:rFonts w:ascii="Times New Roman" w:hAnsi="Times New Roman" w:cs="Times New Roman"/>
        </w:rPr>
        <w:t>are one method to</w:t>
      </w:r>
      <w:r w:rsidRPr="00D320D5" w:rsidR="00147A01">
        <w:rPr>
          <w:rFonts w:ascii="Times New Roman" w:hAnsi="Times New Roman" w:cs="Times New Roman"/>
        </w:rPr>
        <w:t xml:space="preserve"> order and depict safety functions</w:t>
      </w:r>
      <w:r w:rsidRPr="00D320D5" w:rsidR="003C4E90">
        <w:rPr>
          <w:rFonts w:ascii="Times New Roman" w:hAnsi="Times New Roman" w:cs="Times New Roman"/>
        </w:rPr>
        <w:t xml:space="preserve"> </w:t>
      </w:r>
      <w:r w:rsidRPr="00D320D5" w:rsidR="00147A01">
        <w:rPr>
          <w:rFonts w:ascii="Times New Roman" w:hAnsi="Times New Roman" w:cs="Times New Roman"/>
        </w:rPr>
        <w:t>according to the mitigati</w:t>
      </w:r>
      <w:r w:rsidRPr="00D320D5" w:rsidR="00AF0D5F">
        <w:rPr>
          <w:rFonts w:ascii="Times New Roman" w:hAnsi="Times New Roman" w:cs="Times New Roman"/>
        </w:rPr>
        <w:t>on goals</w:t>
      </w:r>
      <w:r w:rsidRPr="00D320D5" w:rsidR="00147A01">
        <w:rPr>
          <w:rFonts w:ascii="Times New Roman" w:hAnsi="Times New Roman" w:cs="Times New Roman"/>
        </w:rPr>
        <w:t xml:space="preserve"> of each group of initiating</w:t>
      </w:r>
      <w:r w:rsidRPr="00D320D5" w:rsidR="003C4E90">
        <w:rPr>
          <w:rFonts w:ascii="Times New Roman" w:hAnsi="Times New Roman" w:cs="Times New Roman"/>
        </w:rPr>
        <w:t xml:space="preserve"> </w:t>
      </w:r>
      <w:r w:rsidRPr="00D320D5" w:rsidR="00147A01">
        <w:rPr>
          <w:rFonts w:ascii="Times New Roman" w:hAnsi="Times New Roman" w:cs="Times New Roman"/>
        </w:rPr>
        <w:t>events.</w:t>
      </w:r>
      <w:r w:rsidRPr="00D320D5" w:rsidR="00E70607">
        <w:rPr>
          <w:rFonts w:ascii="Times New Roman" w:hAnsi="Times New Roman" w:cs="Times New Roman"/>
        </w:rPr>
        <w:t xml:space="preserve"> </w:t>
      </w:r>
      <w:r w:rsidR="00055686">
        <w:rPr>
          <w:rFonts w:ascii="Times New Roman" w:hAnsi="Times New Roman" w:cs="Times New Roman"/>
        </w:rPr>
        <w:t>T</w:t>
      </w:r>
      <w:r w:rsidRPr="00D320D5" w:rsidR="00643EB3">
        <w:rPr>
          <w:rFonts w:ascii="Times New Roman" w:hAnsi="Times New Roman" w:cs="Times New Roman"/>
        </w:rPr>
        <w:t>he s</w:t>
      </w:r>
      <w:r w:rsidRPr="00D320D5" w:rsidR="00115C96">
        <w:rPr>
          <w:rFonts w:ascii="Times New Roman" w:hAnsi="Times New Roman" w:cs="Times New Roman"/>
        </w:rPr>
        <w:t>ystems</w:t>
      </w:r>
      <w:r w:rsidRPr="00D320D5" w:rsidR="00D126D9">
        <w:rPr>
          <w:rFonts w:ascii="Times New Roman" w:hAnsi="Times New Roman" w:cs="Times New Roman"/>
        </w:rPr>
        <w:t xml:space="preserve"> needed</w:t>
      </w:r>
      <w:r w:rsidRPr="00D320D5" w:rsidR="00115C96">
        <w:rPr>
          <w:rFonts w:ascii="Times New Roman" w:hAnsi="Times New Roman" w:cs="Times New Roman"/>
        </w:rPr>
        <w:t xml:space="preserve"> to successfully perform </w:t>
      </w:r>
      <w:r w:rsidR="00055686">
        <w:rPr>
          <w:rFonts w:ascii="Times New Roman" w:hAnsi="Times New Roman" w:cs="Times New Roman"/>
        </w:rPr>
        <w:t>each safety</w:t>
      </w:r>
      <w:r w:rsidRPr="00D320D5" w:rsidR="00055686">
        <w:rPr>
          <w:rFonts w:ascii="Times New Roman" w:hAnsi="Times New Roman" w:cs="Times New Roman"/>
        </w:rPr>
        <w:t xml:space="preserve"> </w:t>
      </w:r>
      <w:r w:rsidRPr="00D320D5" w:rsidR="001A0A0E">
        <w:rPr>
          <w:rFonts w:ascii="Times New Roman" w:hAnsi="Times New Roman" w:cs="Times New Roman"/>
        </w:rPr>
        <w:t>function</w:t>
      </w:r>
      <w:r w:rsidRPr="00D320D5" w:rsidR="00115C96">
        <w:rPr>
          <w:rFonts w:ascii="Times New Roman" w:hAnsi="Times New Roman" w:cs="Times New Roman"/>
        </w:rPr>
        <w:t xml:space="preserve"> should be identified and documented. </w:t>
      </w:r>
      <w:r w:rsidRPr="00D320D5" w:rsidR="00A4354F">
        <w:rPr>
          <w:rFonts w:ascii="Times New Roman" w:hAnsi="Times New Roman" w:cs="Times New Roman"/>
        </w:rPr>
        <w:t>D</w:t>
      </w:r>
      <w:r w:rsidRPr="00D320D5" w:rsidR="007462C7">
        <w:rPr>
          <w:rFonts w:ascii="Times New Roman" w:hAnsi="Times New Roman" w:cs="Times New Roman"/>
        </w:rPr>
        <w:t>epending on plant design</w:t>
      </w:r>
      <w:r w:rsidRPr="00D320D5" w:rsidR="00A4354F">
        <w:rPr>
          <w:rFonts w:ascii="Times New Roman" w:hAnsi="Times New Roman" w:cs="Times New Roman"/>
        </w:rPr>
        <w:t>,</w:t>
      </w:r>
      <w:r w:rsidRPr="00D320D5" w:rsidR="007462C7">
        <w:rPr>
          <w:rFonts w:ascii="Times New Roman" w:hAnsi="Times New Roman" w:cs="Times New Roman"/>
        </w:rPr>
        <w:t xml:space="preserve"> </w:t>
      </w:r>
      <w:r w:rsidRPr="00D320D5" w:rsidR="00075527">
        <w:rPr>
          <w:rFonts w:ascii="Times New Roman" w:hAnsi="Times New Roman" w:cs="Times New Roman"/>
        </w:rPr>
        <w:t>a</w:t>
      </w:r>
      <w:r w:rsidRPr="00D320D5" w:rsidR="00115C96">
        <w:rPr>
          <w:rFonts w:ascii="Times New Roman" w:hAnsi="Times New Roman" w:cs="Times New Roman"/>
        </w:rPr>
        <w:t xml:space="preserve"> safety function </w:t>
      </w:r>
      <w:r w:rsidRPr="00D320D5" w:rsidR="00A647F1">
        <w:rPr>
          <w:rFonts w:ascii="Times New Roman" w:hAnsi="Times New Roman" w:cs="Times New Roman"/>
        </w:rPr>
        <w:t>can be performed</w:t>
      </w:r>
      <w:r w:rsidRPr="00D320D5" w:rsidR="00115C96">
        <w:rPr>
          <w:rFonts w:ascii="Times New Roman" w:hAnsi="Times New Roman" w:cs="Times New Roman"/>
        </w:rPr>
        <w:t xml:space="preserve"> by </w:t>
      </w:r>
      <w:r w:rsidRPr="00D320D5" w:rsidR="00A647F1">
        <w:rPr>
          <w:rFonts w:ascii="Times New Roman" w:hAnsi="Times New Roman" w:cs="Times New Roman"/>
        </w:rPr>
        <w:t>one or more</w:t>
      </w:r>
      <w:r w:rsidRPr="00D320D5" w:rsidR="00115C96">
        <w:rPr>
          <w:rFonts w:ascii="Times New Roman" w:hAnsi="Times New Roman" w:cs="Times New Roman"/>
        </w:rPr>
        <w:t xml:space="preserve"> systems</w:t>
      </w:r>
      <w:r w:rsidRPr="00D320D5" w:rsidR="00767FD7">
        <w:rPr>
          <w:rFonts w:ascii="Times New Roman" w:hAnsi="Times New Roman" w:cs="Times New Roman"/>
        </w:rPr>
        <w:t>,</w:t>
      </w:r>
      <w:r w:rsidRPr="00D320D5" w:rsidR="007462C7">
        <w:rPr>
          <w:rFonts w:ascii="Times New Roman" w:hAnsi="Times New Roman" w:cs="Times New Roman"/>
        </w:rPr>
        <w:t xml:space="preserve"> s</w:t>
      </w:r>
      <w:r w:rsidRPr="00D320D5" w:rsidR="00115C96">
        <w:rPr>
          <w:rFonts w:ascii="Times New Roman" w:hAnsi="Times New Roman" w:cs="Times New Roman"/>
        </w:rPr>
        <w:t>ome systems may perform more than one function or portions of several functions</w:t>
      </w:r>
      <w:r w:rsidRPr="00D320D5" w:rsidR="009A52F9">
        <w:rPr>
          <w:rFonts w:ascii="Times New Roman" w:hAnsi="Times New Roman" w:cs="Times New Roman"/>
        </w:rPr>
        <w:t>,</w:t>
      </w:r>
      <w:r w:rsidRPr="00D320D5" w:rsidR="00EC381E">
        <w:rPr>
          <w:rFonts w:ascii="Times New Roman" w:hAnsi="Times New Roman" w:cs="Times New Roman"/>
        </w:rPr>
        <w:t xml:space="preserve"> and </w:t>
      </w:r>
      <w:r w:rsidRPr="00D320D5" w:rsidR="00A370EE">
        <w:rPr>
          <w:rFonts w:ascii="Times New Roman" w:hAnsi="Times New Roman" w:cs="Times New Roman"/>
        </w:rPr>
        <w:t xml:space="preserve">the </w:t>
      </w:r>
      <w:r w:rsidRPr="00D320D5" w:rsidR="0015184A">
        <w:rPr>
          <w:rFonts w:ascii="Times New Roman" w:hAnsi="Times New Roman" w:cs="Times New Roman"/>
        </w:rPr>
        <w:t xml:space="preserve">systems </w:t>
      </w:r>
      <w:r w:rsidRPr="00D320D5" w:rsidR="00A370EE">
        <w:rPr>
          <w:rFonts w:ascii="Times New Roman" w:hAnsi="Times New Roman" w:cs="Times New Roman"/>
        </w:rPr>
        <w:t xml:space="preserve">that </w:t>
      </w:r>
      <w:r w:rsidRPr="00D320D5" w:rsidR="00D81D4C">
        <w:rPr>
          <w:rFonts w:ascii="Times New Roman" w:hAnsi="Times New Roman" w:cs="Times New Roman"/>
        </w:rPr>
        <w:t xml:space="preserve">perform </w:t>
      </w:r>
      <w:r w:rsidRPr="00D320D5" w:rsidR="00A370EE">
        <w:rPr>
          <w:rFonts w:ascii="Times New Roman" w:hAnsi="Times New Roman" w:cs="Times New Roman"/>
        </w:rPr>
        <w:t>a certain</w:t>
      </w:r>
      <w:r w:rsidRPr="00D320D5" w:rsidR="00D81D4C">
        <w:rPr>
          <w:rFonts w:ascii="Times New Roman" w:hAnsi="Times New Roman" w:cs="Times New Roman"/>
        </w:rPr>
        <w:t xml:space="preserve"> function</w:t>
      </w:r>
      <w:r w:rsidRPr="00D320D5" w:rsidR="00A370EE">
        <w:rPr>
          <w:rFonts w:ascii="Times New Roman" w:hAnsi="Times New Roman" w:cs="Times New Roman"/>
        </w:rPr>
        <w:t xml:space="preserve"> may be different</w:t>
      </w:r>
      <w:r w:rsidRPr="00D320D5" w:rsidR="00EC381E">
        <w:rPr>
          <w:rFonts w:ascii="Times New Roman" w:hAnsi="Times New Roman" w:cs="Times New Roman"/>
        </w:rPr>
        <w:t xml:space="preserve"> for different initiators</w:t>
      </w:r>
      <w:r w:rsidRPr="00D320D5" w:rsidR="00115C96">
        <w:rPr>
          <w:rFonts w:ascii="Times New Roman" w:hAnsi="Times New Roman" w:cs="Times New Roman"/>
        </w:rPr>
        <w:t>.</w:t>
      </w:r>
      <w:r w:rsidRPr="00D320D5" w:rsidR="00EC381E">
        <w:rPr>
          <w:rFonts w:ascii="Times New Roman" w:hAnsi="Times New Roman" w:cs="Times New Roman"/>
        </w:rPr>
        <w:t xml:space="preserve"> </w:t>
      </w:r>
      <w:r w:rsidRPr="00D320D5" w:rsidR="000731F2">
        <w:rPr>
          <w:rFonts w:ascii="Times New Roman" w:hAnsi="Times New Roman" w:cs="Times New Roman"/>
        </w:rPr>
        <w:t>B</w:t>
      </w:r>
      <w:r w:rsidRPr="00D320D5" w:rsidR="00EC381E">
        <w:rPr>
          <w:rFonts w:ascii="Times New Roman" w:hAnsi="Times New Roman" w:cs="Times New Roman"/>
        </w:rPr>
        <w:t>ecause each initiating event</w:t>
      </w:r>
      <w:r w:rsidRPr="00D320D5" w:rsidR="00590AAA">
        <w:rPr>
          <w:rFonts w:ascii="Times New Roman" w:hAnsi="Times New Roman" w:cs="Times New Roman"/>
        </w:rPr>
        <w:t xml:space="preserve"> group</w:t>
      </w:r>
      <w:r w:rsidRPr="00D320D5" w:rsidR="00EC381E">
        <w:rPr>
          <w:rFonts w:ascii="Times New Roman" w:hAnsi="Times New Roman" w:cs="Times New Roman"/>
        </w:rPr>
        <w:t xml:space="preserve"> generates a distinctly different plant response</w:t>
      </w:r>
      <w:r w:rsidRPr="00D320D5" w:rsidR="0095401D">
        <w:rPr>
          <w:rFonts w:ascii="Times New Roman" w:hAnsi="Times New Roman" w:cs="Times New Roman"/>
        </w:rPr>
        <w:t xml:space="preserve"> as discussed in</w:t>
      </w:r>
      <w:r w:rsidR="00FF1A0F">
        <w:rPr>
          <w:rFonts w:ascii="Times New Roman" w:hAnsi="Times New Roman" w:cs="Times New Roman"/>
        </w:rPr>
        <w:t xml:space="preserve"> </w:t>
      </w:r>
      <w:r w:rsidRPr="588A255F" w:rsidR="76D52D2C">
        <w:rPr>
          <w:rFonts w:ascii="Times New Roman" w:hAnsi="Times New Roman" w:cs="Times New Roman"/>
        </w:rPr>
        <w:t>paragraph</w:t>
      </w:r>
      <w:r w:rsidR="00991DB8">
        <w:rPr>
          <w:rFonts w:ascii="Times New Roman" w:hAnsi="Times New Roman" w:cs="Times New Roman"/>
        </w:rPr>
        <w:t xml:space="preserve"> 22</w:t>
      </w:r>
      <w:r w:rsidRPr="00D320D5" w:rsidR="0095401D">
        <w:rPr>
          <w:rFonts w:ascii="Times New Roman" w:hAnsi="Times New Roman" w:cs="Times New Roman"/>
        </w:rPr>
        <w:t xml:space="preserve"> </w:t>
      </w:r>
      <w:r w:rsidRPr="7CA6AD3E" w:rsidR="747AE987">
        <w:rPr>
          <w:rFonts w:ascii="Times New Roman" w:hAnsi="Times New Roman" w:cs="Times New Roman"/>
        </w:rPr>
        <w:t>above</w:t>
      </w:r>
      <w:r w:rsidRPr="00D320D5" w:rsidR="00EC381E">
        <w:rPr>
          <w:rFonts w:ascii="Times New Roman" w:eastAsia="Arial" w:hAnsi="Times New Roman" w:cs="Times New Roman"/>
          <w:lang w:val="en-GB"/>
        </w:rPr>
        <w:t>, f</w:t>
      </w:r>
      <w:r w:rsidRPr="00D320D5" w:rsidR="00E70607">
        <w:rPr>
          <w:rFonts w:ascii="Times New Roman" w:eastAsia="Arial" w:hAnsi="Times New Roman" w:cs="Times New Roman"/>
          <w:lang w:val="en-GB"/>
        </w:rPr>
        <w:t>unction</w:t>
      </w:r>
      <w:r w:rsidRPr="00D320D5" w:rsidR="00E70607">
        <w:rPr>
          <w:rFonts w:ascii="Times New Roman" w:hAnsi="Times New Roman" w:cs="Times New Roman"/>
        </w:rPr>
        <w:t xml:space="preserve"> event trees </w:t>
      </w:r>
      <w:r w:rsidRPr="00D320D5" w:rsidR="00284B52">
        <w:rPr>
          <w:rFonts w:ascii="Times New Roman" w:hAnsi="Times New Roman" w:cs="Times New Roman"/>
        </w:rPr>
        <w:t>should be</w:t>
      </w:r>
      <w:r w:rsidRPr="00D320D5" w:rsidR="00E70607">
        <w:rPr>
          <w:rFonts w:ascii="Times New Roman" w:hAnsi="Times New Roman" w:cs="Times New Roman"/>
        </w:rPr>
        <w:t xml:space="preserve"> developed for each initiat</w:t>
      </w:r>
      <w:r w:rsidRPr="00D320D5" w:rsidR="006D0480">
        <w:rPr>
          <w:rFonts w:ascii="Times New Roman" w:hAnsi="Times New Roman" w:cs="Times New Roman"/>
        </w:rPr>
        <w:t>ing event group</w:t>
      </w:r>
      <w:r w:rsidRPr="00D320D5" w:rsidR="008751C0">
        <w:rPr>
          <w:rFonts w:ascii="Times New Roman" w:hAnsi="Times New Roman" w:cs="Times New Roman"/>
        </w:rPr>
        <w:t xml:space="preserve">. </w:t>
      </w:r>
    </w:p>
    <w:p w:rsidR="0004791A" w:rsidP="002F3C90" w14:paraId="79FA4D52" w14:textId="77777777">
      <w:pPr>
        <w:spacing w:after="0" w:line="240" w:lineRule="auto"/>
        <w:ind w:left="720" w:hanging="720"/>
        <w:rPr>
          <w:rFonts w:ascii="Times New Roman" w:hAnsi="Times New Roman" w:cs="Times New Roman"/>
        </w:rPr>
      </w:pPr>
    </w:p>
    <w:p w:rsidR="00DD590A" w:rsidRPr="00D320D5" w:rsidP="002F3C90" w14:paraId="75B235BC" w14:textId="16905209">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 xml:space="preserve">Event </w:t>
      </w:r>
      <w:r w:rsidR="00055686">
        <w:rPr>
          <w:rFonts w:ascii="Times New Roman" w:hAnsi="Times New Roman" w:cs="Times New Roman"/>
        </w:rPr>
        <w:t>s</w:t>
      </w:r>
      <w:r w:rsidRPr="00D320D5">
        <w:rPr>
          <w:rFonts w:ascii="Times New Roman" w:hAnsi="Times New Roman" w:cs="Times New Roman"/>
        </w:rPr>
        <w:t xml:space="preserve">equence </w:t>
      </w:r>
      <w:r w:rsidR="00055686">
        <w:rPr>
          <w:rFonts w:ascii="Times New Roman" w:hAnsi="Times New Roman" w:cs="Times New Roman"/>
        </w:rPr>
        <w:t>d</w:t>
      </w:r>
      <w:r w:rsidRPr="00D320D5">
        <w:rPr>
          <w:rFonts w:ascii="Times New Roman" w:hAnsi="Times New Roman" w:cs="Times New Roman"/>
        </w:rPr>
        <w:t xml:space="preserve">iagrams </w:t>
      </w:r>
      <w:r w:rsidRPr="00D320D5" w:rsidR="00A44261">
        <w:rPr>
          <w:rFonts w:ascii="Times New Roman" w:hAnsi="Times New Roman" w:cs="Times New Roman"/>
        </w:rPr>
        <w:t>similarly order and depict safety functions according to the mitigati</w:t>
      </w:r>
      <w:r w:rsidRPr="00D320D5" w:rsidR="00CF1643">
        <w:rPr>
          <w:rFonts w:ascii="Times New Roman" w:hAnsi="Times New Roman" w:cs="Times New Roman"/>
        </w:rPr>
        <w:t>on</w:t>
      </w:r>
      <w:r w:rsidRPr="00D320D5" w:rsidR="00A44261">
        <w:rPr>
          <w:rFonts w:ascii="Times New Roman" w:hAnsi="Times New Roman" w:cs="Times New Roman"/>
        </w:rPr>
        <w:t xml:space="preserve"> </w:t>
      </w:r>
      <w:r w:rsidRPr="00D320D5" w:rsidR="00E57BAB">
        <w:rPr>
          <w:rFonts w:ascii="Times New Roman" w:hAnsi="Times New Roman" w:cs="Times New Roman"/>
        </w:rPr>
        <w:t>goals</w:t>
      </w:r>
      <w:r w:rsidRPr="00D320D5" w:rsidR="00A44261">
        <w:rPr>
          <w:rFonts w:ascii="Times New Roman" w:hAnsi="Times New Roman" w:cs="Times New Roman"/>
        </w:rPr>
        <w:t xml:space="preserve"> of each initiating event</w:t>
      </w:r>
      <w:r w:rsidRPr="00D320D5" w:rsidR="007471AE">
        <w:rPr>
          <w:rFonts w:ascii="Times New Roman" w:hAnsi="Times New Roman" w:cs="Times New Roman"/>
        </w:rPr>
        <w:t xml:space="preserve"> group</w:t>
      </w:r>
      <w:r w:rsidRPr="00D320D5" w:rsidR="00A44261">
        <w:rPr>
          <w:rFonts w:ascii="Times New Roman" w:hAnsi="Times New Roman" w:cs="Times New Roman"/>
        </w:rPr>
        <w:t xml:space="preserve">. </w:t>
      </w:r>
      <w:r w:rsidRPr="00D320D5" w:rsidR="001E6DF3">
        <w:rPr>
          <w:rFonts w:ascii="Times New Roman" w:hAnsi="Times New Roman" w:cs="Times New Roman"/>
        </w:rPr>
        <w:t xml:space="preserve">An </w:t>
      </w:r>
      <w:r w:rsidR="00055686">
        <w:rPr>
          <w:rFonts w:ascii="Times New Roman" w:hAnsi="Times New Roman" w:cs="Times New Roman"/>
        </w:rPr>
        <w:t>e</w:t>
      </w:r>
      <w:r w:rsidRPr="00D320D5" w:rsidR="001E6DF3">
        <w:rPr>
          <w:rFonts w:ascii="Times New Roman" w:hAnsi="Times New Roman" w:cs="Times New Roman"/>
        </w:rPr>
        <w:t xml:space="preserve">vent </w:t>
      </w:r>
      <w:r w:rsidR="00055686">
        <w:rPr>
          <w:rFonts w:ascii="Times New Roman" w:hAnsi="Times New Roman" w:cs="Times New Roman"/>
        </w:rPr>
        <w:t>s</w:t>
      </w:r>
      <w:r w:rsidRPr="00D320D5" w:rsidR="001E6DF3">
        <w:rPr>
          <w:rFonts w:ascii="Times New Roman" w:hAnsi="Times New Roman" w:cs="Times New Roman"/>
        </w:rPr>
        <w:t xml:space="preserve">equence </w:t>
      </w:r>
      <w:r w:rsidR="00055686">
        <w:rPr>
          <w:rFonts w:ascii="Times New Roman" w:hAnsi="Times New Roman" w:cs="Times New Roman"/>
        </w:rPr>
        <w:t>d</w:t>
      </w:r>
      <w:r w:rsidRPr="00D320D5" w:rsidR="001E6DF3">
        <w:rPr>
          <w:rFonts w:ascii="Times New Roman" w:hAnsi="Times New Roman" w:cs="Times New Roman"/>
        </w:rPr>
        <w:t>iagram is</w:t>
      </w:r>
      <w:r w:rsidRPr="00D320D5" w:rsidR="00A44261">
        <w:rPr>
          <w:rFonts w:ascii="Times New Roman" w:hAnsi="Times New Roman" w:cs="Times New Roman"/>
        </w:rPr>
        <w:t xml:space="preserve"> </w:t>
      </w:r>
      <w:r w:rsidRPr="00D320D5">
        <w:rPr>
          <w:rFonts w:ascii="Times New Roman" w:hAnsi="Times New Roman" w:cs="Times New Roman"/>
        </w:rPr>
        <w:t xml:space="preserve">a graphical tool </w:t>
      </w:r>
      <w:r w:rsidRPr="00D320D5" w:rsidR="001E6DF3">
        <w:rPr>
          <w:rFonts w:ascii="Times New Roman" w:hAnsi="Times New Roman" w:cs="Times New Roman"/>
        </w:rPr>
        <w:t xml:space="preserve">used </w:t>
      </w:r>
      <w:r w:rsidRPr="00D320D5" w:rsidR="00A44261">
        <w:rPr>
          <w:rFonts w:ascii="Times New Roman" w:hAnsi="Times New Roman" w:cs="Times New Roman"/>
        </w:rPr>
        <w:t xml:space="preserve">to </w:t>
      </w:r>
      <w:r w:rsidRPr="00D320D5">
        <w:rPr>
          <w:rFonts w:ascii="Times New Roman" w:hAnsi="Times New Roman" w:cs="Times New Roman"/>
        </w:rPr>
        <w:t>illustrate possible success paths from a particular initiating event to a safe</w:t>
      </w:r>
      <w:r w:rsidRPr="00D320D5" w:rsidR="00721254">
        <w:rPr>
          <w:rFonts w:ascii="Times New Roman" w:hAnsi="Times New Roman" w:cs="Times New Roman"/>
        </w:rPr>
        <w:t xml:space="preserve"> </w:t>
      </w:r>
      <w:r w:rsidRPr="00D320D5">
        <w:rPr>
          <w:rFonts w:ascii="Times New Roman" w:hAnsi="Times New Roman" w:cs="Times New Roman"/>
        </w:rPr>
        <w:t>shutdown condition.</w:t>
      </w:r>
    </w:p>
    <w:p w:rsidR="00237921" w:rsidP="002F3C90" w14:paraId="3A174491" w14:textId="655577E5">
      <w:pPr>
        <w:autoSpaceDE w:val="0"/>
        <w:autoSpaceDN w:val="0"/>
        <w:adjustRightInd w:val="0"/>
        <w:spacing w:after="0" w:line="240" w:lineRule="auto"/>
        <w:rPr>
          <w:rFonts w:ascii="Times New Roman" w:hAnsi="Times New Roman" w:cs="Times New Roman"/>
          <w:highlight w:val="lightGray"/>
        </w:rPr>
      </w:pPr>
    </w:p>
    <w:p w:rsidR="001A1B4E" w:rsidRPr="00D320D5" w:rsidP="002F3C90" w14:paraId="727E20BD" w14:textId="24D59172">
      <w:pPr>
        <w:pStyle w:val="Heading2"/>
        <w:spacing w:line="240" w:lineRule="auto"/>
      </w:pPr>
      <w:r w:rsidRPr="00D320D5">
        <w:t xml:space="preserve">Initiating </w:t>
      </w:r>
      <w:r w:rsidRPr="00D320D5" w:rsidR="00CF3145">
        <w:t>Event Analysis</w:t>
      </w:r>
    </w:p>
    <w:p w:rsidR="00CF3145" w:rsidP="002F3C90" w14:paraId="7C090C1B" w14:textId="77777777">
      <w:pPr>
        <w:spacing w:after="0" w:line="240" w:lineRule="auto"/>
        <w:rPr>
          <w:rFonts w:ascii="Times New Roman" w:hAnsi="Times New Roman" w:cs="Times New Roman"/>
          <w:b/>
          <w:bCs/>
        </w:rPr>
      </w:pPr>
    </w:p>
    <w:p w:rsidR="003F1A32" w:rsidRPr="00446BFA" w:rsidP="002F3C90" w14:paraId="0EAD2EAC" w14:textId="3AE3BEB5">
      <w:pPr>
        <w:pStyle w:val="Heading3"/>
        <w:spacing w:line="240" w:lineRule="auto"/>
      </w:pPr>
      <w:r w:rsidRPr="00D320D5">
        <w:rPr>
          <w:i/>
          <w:iCs/>
        </w:rPr>
        <w:t xml:space="preserve">Apply </w:t>
      </w:r>
      <w:r w:rsidRPr="00D320D5" w:rsidR="001647FC">
        <w:rPr>
          <w:i/>
          <w:iCs/>
        </w:rPr>
        <w:t xml:space="preserve">Initiating Event Identification Methods </w:t>
      </w:r>
      <w:r w:rsidRPr="00D320D5" w:rsidR="00F85810">
        <w:rPr>
          <w:i/>
          <w:iCs/>
        </w:rPr>
        <w:t>(Box</w:t>
      </w:r>
      <w:r w:rsidR="00055686">
        <w:rPr>
          <w:i/>
          <w:iCs/>
        </w:rPr>
        <w:t> </w:t>
      </w:r>
      <w:r w:rsidRPr="00D320D5" w:rsidR="00AD673E">
        <w:rPr>
          <w:i/>
          <w:iCs/>
        </w:rPr>
        <w:t>1</w:t>
      </w:r>
      <w:r w:rsidRPr="00D320D5" w:rsidR="007B506D">
        <w:rPr>
          <w:i/>
          <w:iCs/>
        </w:rPr>
        <w:t>1</w:t>
      </w:r>
      <w:r w:rsidRPr="00D320D5" w:rsidR="00F85810">
        <w:rPr>
          <w:i/>
          <w:iCs/>
        </w:rPr>
        <w:t>, Principle #2)</w:t>
      </w:r>
    </w:p>
    <w:p w:rsidR="00DD337E" w:rsidP="002F3C90" w14:paraId="65AF7499" w14:textId="1718F41E">
      <w:pPr>
        <w:spacing w:after="0" w:line="240" w:lineRule="auto"/>
        <w:rPr>
          <w:rFonts w:ascii="Times New Roman" w:hAnsi="Times New Roman" w:cs="Times New Roman"/>
        </w:rPr>
      </w:pPr>
    </w:p>
    <w:p w:rsidR="0036424E" w:rsidRPr="00D320D5" w:rsidP="002F3C90" w14:paraId="4B9703F1" w14:textId="7172605A">
      <w:pPr>
        <w:pStyle w:val="ListParagraph"/>
        <w:numPr>
          <w:ilvl w:val="0"/>
          <w:numId w:val="56"/>
        </w:numPr>
        <w:spacing w:after="0" w:line="240" w:lineRule="auto"/>
        <w:ind w:left="720" w:hanging="720"/>
        <w:rPr>
          <w:rFonts w:ascii="Times New Roman" w:hAnsi="Times New Roman" w:cs="Times New Roman"/>
          <w:color w:val="000000"/>
        </w:rPr>
      </w:pPr>
      <w:r w:rsidRPr="00D320D5">
        <w:rPr>
          <w:rFonts w:ascii="Times New Roman" w:hAnsi="Times New Roman" w:cs="Times New Roman"/>
          <w:color w:val="000000"/>
        </w:rPr>
        <w:t xml:space="preserve">The objectives of the initiating event analysis are to identify and characterize events that challenge plant operation during any </w:t>
      </w:r>
      <w:r w:rsidRPr="00D320D5" w:rsidR="000744A4">
        <w:rPr>
          <w:rFonts w:ascii="Times New Roman" w:hAnsi="Times New Roman" w:cs="Times New Roman"/>
          <w:color w:val="000000"/>
        </w:rPr>
        <w:t>plant operating state</w:t>
      </w:r>
      <w:r w:rsidRPr="00D320D5" w:rsidR="00B554A2">
        <w:rPr>
          <w:rFonts w:ascii="Times New Roman" w:hAnsi="Times New Roman" w:cs="Times New Roman"/>
          <w:color w:val="000000"/>
        </w:rPr>
        <w:t>,</w:t>
      </w:r>
      <w:r w:rsidRPr="00D320D5">
        <w:rPr>
          <w:rFonts w:ascii="Times New Roman" w:hAnsi="Times New Roman" w:cs="Times New Roman"/>
          <w:color w:val="000000"/>
        </w:rPr>
        <w:t xml:space="preserve"> that require successful mitigation by plant equipment</w:t>
      </w:r>
      <w:r w:rsidRPr="00D320D5" w:rsidR="00B554A2">
        <w:rPr>
          <w:rFonts w:ascii="Times New Roman" w:hAnsi="Times New Roman" w:cs="Times New Roman"/>
          <w:color w:val="000000"/>
        </w:rPr>
        <w:t>,</w:t>
      </w:r>
      <w:r w:rsidRPr="00D320D5">
        <w:rPr>
          <w:rFonts w:ascii="Times New Roman" w:hAnsi="Times New Roman" w:cs="Times New Roman"/>
          <w:color w:val="000000"/>
        </w:rPr>
        <w:t xml:space="preserve"> and </w:t>
      </w:r>
      <w:r w:rsidRPr="00D320D5" w:rsidR="00B554A2">
        <w:rPr>
          <w:rFonts w:ascii="Times New Roman" w:hAnsi="Times New Roman" w:cs="Times New Roman"/>
          <w:color w:val="000000"/>
        </w:rPr>
        <w:t>that require</w:t>
      </w:r>
      <w:r w:rsidRPr="00D320D5">
        <w:rPr>
          <w:rFonts w:ascii="Times New Roman" w:hAnsi="Times New Roman" w:cs="Times New Roman"/>
          <w:color w:val="000000"/>
        </w:rPr>
        <w:t xml:space="preserve"> personnel to prevent or to mitigate </w:t>
      </w:r>
      <w:r w:rsidRPr="00D320D5">
        <w:rPr>
          <w:rFonts w:ascii="Times New Roman" w:hAnsi="Times New Roman" w:cs="Times New Roman"/>
          <w:color w:val="000000"/>
        </w:rPr>
        <w:t>a release</w:t>
      </w:r>
      <w:r w:rsidRPr="00D320D5">
        <w:rPr>
          <w:rFonts w:ascii="Times New Roman" w:hAnsi="Times New Roman" w:cs="Times New Roman"/>
          <w:color w:val="000000"/>
        </w:rPr>
        <w:t xml:space="preserve"> of radiological </w:t>
      </w:r>
      <w:r w:rsidRPr="00D320D5">
        <w:rPr>
          <w:rFonts w:ascii="Times New Roman" w:hAnsi="Times New Roman" w:cs="Times New Roman"/>
          <w:color w:val="000000"/>
        </w:rPr>
        <w:t>material.</w:t>
      </w:r>
      <w:r w:rsidRPr="00D320D5" w:rsidR="00A218DD">
        <w:rPr>
          <w:rFonts w:ascii="Times New Roman" w:hAnsi="Times New Roman" w:cs="Times New Roman"/>
          <w:color w:val="000000"/>
        </w:rPr>
        <w:t xml:space="preserve"> </w:t>
      </w:r>
      <w:r w:rsidRPr="00D320D5">
        <w:rPr>
          <w:rFonts w:ascii="Times New Roman" w:hAnsi="Times New Roman" w:cs="Times New Roman"/>
          <w:color w:val="000000"/>
        </w:rPr>
        <w:t xml:space="preserve">The characteristics and attributes needed to achieve the objectives of </w:t>
      </w:r>
      <w:r w:rsidRPr="00D320D5">
        <w:rPr>
          <w:rFonts w:ascii="Times New Roman" w:hAnsi="Times New Roman" w:cs="Times New Roman"/>
          <w:color w:val="000000"/>
        </w:rPr>
        <w:t>an initiating</w:t>
      </w:r>
      <w:r w:rsidRPr="00D320D5">
        <w:rPr>
          <w:rFonts w:ascii="Times New Roman" w:hAnsi="Times New Roman" w:cs="Times New Roman"/>
          <w:color w:val="000000"/>
        </w:rPr>
        <w:t xml:space="preserve"> event analysis are as follows: </w:t>
      </w:r>
    </w:p>
    <w:p w:rsidR="00E83483" w:rsidRPr="0036424E" w:rsidP="002F3C90" w14:paraId="3169B2EB" w14:textId="77777777">
      <w:pPr>
        <w:spacing w:after="0" w:line="240" w:lineRule="auto"/>
        <w:ind w:firstLine="720"/>
        <w:rPr>
          <w:rFonts w:ascii="Times New Roman" w:hAnsi="Times New Roman" w:cs="Times New Roman"/>
          <w:color w:val="000000"/>
        </w:rPr>
      </w:pPr>
    </w:p>
    <w:p w:rsidR="0036424E" w:rsidRPr="00690130" w:rsidP="002F3C90" w14:paraId="7B7F0D0A" w14:textId="54366F6A">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The analysis includes sufficiently detailed identification and characterization of initiating events. </w:t>
      </w:r>
    </w:p>
    <w:p w:rsidR="00577CBF" w:rsidRPr="0036424E" w:rsidP="002F3C90" w14:paraId="5C0A0366" w14:textId="77777777">
      <w:pPr>
        <w:pStyle w:val="ListParagraph"/>
        <w:autoSpaceDE w:val="0"/>
        <w:autoSpaceDN w:val="0"/>
        <w:adjustRightInd w:val="0"/>
        <w:spacing w:after="0" w:line="240" w:lineRule="auto"/>
        <w:ind w:left="1440" w:hanging="720"/>
        <w:rPr>
          <w:rFonts w:ascii="Times New Roman" w:hAnsi="Times New Roman" w:cs="Times New Roman"/>
          <w:color w:val="000000"/>
        </w:rPr>
      </w:pPr>
    </w:p>
    <w:p w:rsidR="0036424E" w:rsidRPr="00690130" w:rsidP="002F3C90" w14:paraId="54242654" w14:textId="48493378">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Initiating events are grouped so that events in the same group have similar requirements for mitigation. </w:t>
      </w:r>
    </w:p>
    <w:p w:rsidR="00D87D2A" w:rsidRPr="00D87D2A" w:rsidP="00D87D2A" w14:paraId="65191D86" w14:textId="77777777">
      <w:pPr>
        <w:autoSpaceDE w:val="0"/>
        <w:autoSpaceDN w:val="0"/>
        <w:adjustRightInd w:val="0"/>
        <w:spacing w:after="0" w:line="240" w:lineRule="auto"/>
        <w:rPr>
          <w:rFonts w:ascii="Times New Roman" w:hAnsi="Times New Roman" w:cs="Times New Roman"/>
          <w:color w:val="000000"/>
        </w:rPr>
      </w:pPr>
    </w:p>
    <w:p w:rsidR="0036424E" w:rsidRPr="00690130" w:rsidP="002F3C90" w14:paraId="09DF3B5C" w14:textId="04704800">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Any individual or </w:t>
      </w:r>
      <w:r w:rsidRPr="00690130">
        <w:rPr>
          <w:rFonts w:ascii="Times New Roman" w:hAnsi="Times New Roman" w:cs="Times New Roman"/>
          <w:color w:val="000000"/>
        </w:rPr>
        <w:t>grouped</w:t>
      </w:r>
      <w:r w:rsidRPr="00690130">
        <w:rPr>
          <w:rFonts w:ascii="Times New Roman" w:hAnsi="Times New Roman" w:cs="Times New Roman"/>
          <w:color w:val="000000"/>
        </w:rPr>
        <w:t xml:space="preserve"> initiating events are properly screened. </w:t>
      </w:r>
    </w:p>
    <w:p w:rsidR="002539AC" w:rsidP="002F3C90" w14:paraId="3BC8A821" w14:textId="145F86D2">
      <w:pPr>
        <w:spacing w:after="0" w:line="240" w:lineRule="auto"/>
        <w:ind w:firstLine="720"/>
        <w:rPr>
          <w:rFonts w:ascii="Times New Roman" w:hAnsi="Times New Roman" w:cs="Times New Roman"/>
          <w:color w:val="000000"/>
        </w:rPr>
      </w:pPr>
    </w:p>
    <w:p w:rsidR="00FA446A" w:rsidRPr="00D320D5" w:rsidP="002F3C90" w14:paraId="4E13C5AA" w14:textId="36354AB6">
      <w:pPr>
        <w:pStyle w:val="ListParagraph"/>
        <w:numPr>
          <w:ilvl w:val="0"/>
          <w:numId w:val="56"/>
        </w:numPr>
        <w:spacing w:after="0" w:line="240" w:lineRule="auto"/>
        <w:ind w:left="720" w:hanging="720"/>
        <w:rPr>
          <w:rFonts w:ascii="Times New Roman" w:hAnsi="Times New Roman" w:cs="Times New Roman"/>
          <w:color w:val="000000"/>
        </w:rPr>
      </w:pPr>
      <w:r w:rsidRPr="00D320D5">
        <w:rPr>
          <w:rFonts w:ascii="Times New Roman" w:hAnsi="Times New Roman" w:cs="Times New Roman"/>
          <w:color w:val="000000" w:themeColor="text1"/>
        </w:rPr>
        <w:t>The initiating event analysis necessitates a structured, systematic process and account</w:t>
      </w:r>
      <w:r w:rsidRPr="00D320D5" w:rsidR="4156D43A">
        <w:rPr>
          <w:rFonts w:ascii="Times New Roman" w:hAnsi="Times New Roman" w:cs="Times New Roman"/>
          <w:color w:val="000000" w:themeColor="text1"/>
        </w:rPr>
        <w:t>s</w:t>
      </w:r>
      <w:r w:rsidRPr="00D320D5">
        <w:rPr>
          <w:rFonts w:ascii="Times New Roman" w:hAnsi="Times New Roman" w:cs="Times New Roman"/>
          <w:color w:val="000000" w:themeColor="text1"/>
        </w:rPr>
        <w:t xml:space="preserve"> for plant</w:t>
      </w:r>
      <w:r w:rsidR="00590C64">
        <w:rPr>
          <w:rFonts w:ascii="Times New Roman" w:hAnsi="Times New Roman" w:cs="Times New Roman"/>
          <w:color w:val="000000" w:themeColor="text1"/>
        </w:rPr>
        <w:noBreakHyphen/>
      </w:r>
      <w:r w:rsidRPr="00D320D5">
        <w:rPr>
          <w:rFonts w:ascii="Times New Roman" w:hAnsi="Times New Roman" w:cs="Times New Roman"/>
          <w:color w:val="000000" w:themeColor="text1"/>
        </w:rPr>
        <w:t xml:space="preserve"> or design</w:t>
      </w:r>
      <w:r w:rsidR="00EC699C">
        <w:rPr>
          <w:rFonts w:ascii="Times New Roman" w:hAnsi="Times New Roman" w:cs="Times New Roman"/>
          <w:color w:val="000000" w:themeColor="text1"/>
        </w:rPr>
        <w:noBreakHyphen/>
      </w:r>
      <w:r w:rsidRPr="00D320D5">
        <w:rPr>
          <w:rFonts w:ascii="Times New Roman" w:hAnsi="Times New Roman" w:cs="Times New Roman"/>
          <w:color w:val="000000" w:themeColor="text1"/>
        </w:rPr>
        <w:t xml:space="preserve">specific features. </w:t>
      </w:r>
      <w:r w:rsidRPr="00D320D5" w:rsidR="677FF31E">
        <w:rPr>
          <w:rFonts w:ascii="Times New Roman" w:hAnsi="Times New Roman" w:cs="Times New Roman"/>
          <w:color w:val="000000" w:themeColor="text1"/>
        </w:rPr>
        <w:t xml:space="preserve">The methods </w:t>
      </w:r>
      <w:r w:rsidRPr="00D320D5" w:rsidR="3247A322">
        <w:rPr>
          <w:rFonts w:ascii="Times New Roman" w:hAnsi="Times New Roman" w:cs="Times New Roman"/>
          <w:color w:val="000000" w:themeColor="text1"/>
        </w:rPr>
        <w:t xml:space="preserve">identified in </w:t>
      </w:r>
      <w:r w:rsidR="0039525A">
        <w:rPr>
          <w:rFonts w:ascii="Times New Roman" w:hAnsi="Times New Roman" w:cs="Times New Roman"/>
          <w:color w:val="000000" w:themeColor="text1"/>
        </w:rPr>
        <w:t>paragraphs</w:t>
      </w:r>
      <w:r w:rsidR="00577CBF">
        <w:rPr>
          <w:rFonts w:ascii="Times New Roman" w:hAnsi="Times New Roman" w:cs="Times New Roman"/>
          <w:color w:val="000000" w:themeColor="text1"/>
        </w:rPr>
        <w:t> </w:t>
      </w:r>
      <w:r w:rsidR="0039525A">
        <w:rPr>
          <w:rFonts w:ascii="Times New Roman" w:hAnsi="Times New Roman" w:cs="Times New Roman"/>
          <w:color w:val="000000" w:themeColor="text1"/>
        </w:rPr>
        <w:t>19 through</w:t>
      </w:r>
      <w:r w:rsidR="00577CBF">
        <w:rPr>
          <w:rFonts w:ascii="Times New Roman" w:hAnsi="Times New Roman" w:cs="Times New Roman"/>
          <w:color w:val="000000" w:themeColor="text1"/>
        </w:rPr>
        <w:t> </w:t>
      </w:r>
      <w:r w:rsidR="0039525A">
        <w:rPr>
          <w:rFonts w:ascii="Times New Roman" w:hAnsi="Times New Roman" w:cs="Times New Roman"/>
          <w:color w:val="000000" w:themeColor="text1"/>
        </w:rPr>
        <w:t>21</w:t>
      </w:r>
      <w:r w:rsidRPr="00D320D5" w:rsidR="441DD20E">
        <w:rPr>
          <w:rFonts w:ascii="Times New Roman" w:hAnsi="Times New Roman" w:cs="Times New Roman"/>
          <w:color w:val="000000" w:themeColor="text1"/>
        </w:rPr>
        <w:t xml:space="preserve"> above</w:t>
      </w:r>
      <w:r w:rsidRPr="00D320D5" w:rsidR="677FF31E">
        <w:rPr>
          <w:rFonts w:ascii="Times New Roman" w:hAnsi="Times New Roman" w:cs="Times New Roman"/>
          <w:color w:val="000000" w:themeColor="text1"/>
        </w:rPr>
        <w:t xml:space="preserve"> should be applied to </w:t>
      </w:r>
      <w:r w:rsidRPr="00D320D5" w:rsidR="5B2C9420">
        <w:rPr>
          <w:rFonts w:ascii="Times New Roman" w:hAnsi="Times New Roman" w:cs="Times New Roman"/>
          <w:color w:val="000000" w:themeColor="text1"/>
        </w:rPr>
        <w:t xml:space="preserve">identify </w:t>
      </w:r>
      <w:r w:rsidRPr="00D320D5" w:rsidR="00EB4151">
        <w:rPr>
          <w:rFonts w:ascii="Times New Roman" w:hAnsi="Times New Roman" w:cs="Times New Roman"/>
          <w:color w:val="000000" w:themeColor="text1"/>
        </w:rPr>
        <w:t xml:space="preserve">the list of </w:t>
      </w:r>
      <w:r w:rsidRPr="00D320D5" w:rsidR="5B2C9420">
        <w:rPr>
          <w:rFonts w:ascii="Times New Roman" w:hAnsi="Times New Roman" w:cs="Times New Roman"/>
          <w:color w:val="000000" w:themeColor="text1"/>
        </w:rPr>
        <w:t>initiating events</w:t>
      </w:r>
      <w:r w:rsidRPr="00D320D5" w:rsidR="3709FB62">
        <w:rPr>
          <w:rFonts w:ascii="Times New Roman" w:hAnsi="Times New Roman" w:cs="Times New Roman"/>
          <w:color w:val="000000" w:themeColor="text1"/>
        </w:rPr>
        <w:t>.</w:t>
      </w:r>
      <w:r w:rsidRPr="00D320D5" w:rsidR="5B2C9420">
        <w:rPr>
          <w:rFonts w:ascii="Times New Roman" w:hAnsi="Times New Roman" w:cs="Times New Roman"/>
          <w:color w:val="000000" w:themeColor="text1"/>
        </w:rPr>
        <w:t xml:space="preserve"> </w:t>
      </w:r>
      <w:r w:rsidRPr="00D320D5" w:rsidR="00176043">
        <w:rPr>
          <w:rFonts w:ascii="Times New Roman" w:eastAsia="Arial" w:hAnsi="Times New Roman" w:cs="Times New Roman"/>
          <w:lang w:val="en-GB"/>
        </w:rPr>
        <w:t>T</w:t>
      </w:r>
      <w:r w:rsidRPr="00D320D5" w:rsidR="7D6C5DD9">
        <w:rPr>
          <w:rFonts w:ascii="Times New Roman" w:eastAsia="Arial" w:hAnsi="Times New Roman" w:cs="Times New Roman"/>
          <w:lang w:val="en-GB"/>
        </w:rPr>
        <w:t>he initiating event analysis</w:t>
      </w:r>
      <w:r w:rsidRPr="00D320D5" w:rsidR="314D81BA">
        <w:rPr>
          <w:rFonts w:ascii="Times New Roman" w:eastAsia="Arial" w:hAnsi="Times New Roman" w:cs="Times New Roman"/>
          <w:lang w:val="en-GB"/>
        </w:rPr>
        <w:t xml:space="preserve"> should include both </w:t>
      </w:r>
      <w:r w:rsidRPr="00D320D5" w:rsidR="314D81BA">
        <w:rPr>
          <w:rFonts w:ascii="Times New Roman" w:hAnsi="Times New Roman" w:cs="Times New Roman"/>
          <w:color w:val="000000" w:themeColor="text1"/>
        </w:rPr>
        <w:t>internal</w:t>
      </w:r>
      <w:r w:rsidRPr="00D320D5" w:rsidR="00914B11">
        <w:rPr>
          <w:rFonts w:ascii="Times New Roman" w:hAnsi="Times New Roman" w:cs="Times New Roman"/>
          <w:color w:val="000000" w:themeColor="text1"/>
        </w:rPr>
        <w:t xml:space="preserve"> hazards</w:t>
      </w:r>
      <w:r w:rsidRPr="00D320D5" w:rsidR="314D81BA">
        <w:rPr>
          <w:rFonts w:ascii="Times New Roman" w:hAnsi="Times New Roman" w:cs="Times New Roman"/>
          <w:color w:val="000000" w:themeColor="text1"/>
        </w:rPr>
        <w:t xml:space="preserve"> </w:t>
      </w:r>
      <w:r w:rsidRPr="00D320D5" w:rsidR="00251CA8">
        <w:rPr>
          <w:rFonts w:ascii="Times New Roman" w:hAnsi="Times New Roman" w:cs="Times New Roman"/>
          <w:color w:val="000000" w:themeColor="text1"/>
        </w:rPr>
        <w:t>(e.g.</w:t>
      </w:r>
      <w:r w:rsidR="00577CBF">
        <w:rPr>
          <w:rFonts w:ascii="Times New Roman" w:hAnsi="Times New Roman" w:cs="Times New Roman"/>
          <w:color w:val="000000" w:themeColor="text1"/>
        </w:rPr>
        <w:t>, </w:t>
      </w:r>
      <w:r w:rsidRPr="00D320D5" w:rsidR="00251CA8">
        <w:rPr>
          <w:rFonts w:ascii="Times New Roman" w:hAnsi="Times New Roman" w:cs="Times New Roman"/>
          <w:color w:val="000000" w:themeColor="text1"/>
        </w:rPr>
        <w:t xml:space="preserve">internal events, internal flooding, internal fires) </w:t>
      </w:r>
      <w:r w:rsidRPr="00D320D5" w:rsidR="314D81BA">
        <w:rPr>
          <w:rFonts w:ascii="Times New Roman" w:hAnsi="Times New Roman" w:cs="Times New Roman"/>
          <w:color w:val="000000" w:themeColor="text1"/>
        </w:rPr>
        <w:t>and external hazards</w:t>
      </w:r>
      <w:r w:rsidRPr="00D320D5" w:rsidR="00251CA8">
        <w:rPr>
          <w:rFonts w:ascii="Times New Roman" w:hAnsi="Times New Roman" w:cs="Times New Roman"/>
          <w:color w:val="000000" w:themeColor="text1"/>
        </w:rPr>
        <w:t xml:space="preserve"> (</w:t>
      </w:r>
      <w:r w:rsidRPr="00D320D5" w:rsidR="00466001">
        <w:rPr>
          <w:rFonts w:ascii="Times New Roman" w:hAnsi="Times New Roman" w:cs="Times New Roman"/>
          <w:color w:val="000000" w:themeColor="text1"/>
        </w:rPr>
        <w:t>e.g.</w:t>
      </w:r>
      <w:r w:rsidR="00577CBF">
        <w:rPr>
          <w:rFonts w:ascii="Times New Roman" w:hAnsi="Times New Roman" w:cs="Times New Roman"/>
          <w:color w:val="000000" w:themeColor="text1"/>
        </w:rPr>
        <w:t>, </w:t>
      </w:r>
      <w:r w:rsidRPr="00D320D5" w:rsidR="00466001">
        <w:rPr>
          <w:rFonts w:ascii="Times New Roman" w:hAnsi="Times New Roman" w:cs="Times New Roman"/>
          <w:color w:val="000000" w:themeColor="text1"/>
        </w:rPr>
        <w:t xml:space="preserve">seismic events, high winds, external floods, </w:t>
      </w:r>
      <w:r w:rsidR="004660D4">
        <w:rPr>
          <w:rFonts w:ascii="Times New Roman" w:hAnsi="Times New Roman" w:cs="Times New Roman"/>
          <w:color w:val="000000" w:themeColor="text1"/>
        </w:rPr>
        <w:t>industrial accidents, transportation accidents</w:t>
      </w:r>
      <w:r w:rsidRPr="00D320D5" w:rsidR="003B6C4B">
        <w:rPr>
          <w:rFonts w:ascii="Times New Roman" w:hAnsi="Times New Roman" w:cs="Times New Roman"/>
          <w:color w:val="000000" w:themeColor="text1"/>
        </w:rPr>
        <w:t>)</w:t>
      </w:r>
      <w:r w:rsidR="00403A11">
        <w:rPr>
          <w:rFonts w:ascii="Times New Roman" w:hAnsi="Times New Roman" w:cs="Times New Roman"/>
          <w:color w:val="000000" w:themeColor="text1"/>
        </w:rPr>
        <w:t>,</w:t>
      </w:r>
      <w:r w:rsidRPr="00D320D5" w:rsidR="00C12A4B">
        <w:rPr>
          <w:rFonts w:ascii="Times New Roman" w:hAnsi="Times New Roman" w:cs="Times New Roman"/>
          <w:color w:val="000000" w:themeColor="text1"/>
        </w:rPr>
        <w:t xml:space="preserve"> </w:t>
      </w:r>
      <w:r w:rsidRPr="00D320D5" w:rsidR="00AF785F">
        <w:rPr>
          <w:rFonts w:ascii="Times New Roman" w:eastAsia="Arial" w:hAnsi="Times New Roman" w:cs="Times New Roman"/>
          <w:lang w:val="en-GB"/>
        </w:rPr>
        <w:t>considering the</w:t>
      </w:r>
      <w:r w:rsidRPr="00D320D5" w:rsidR="314D81BA">
        <w:rPr>
          <w:rFonts w:ascii="Times New Roman" w:eastAsia="Arial" w:hAnsi="Times New Roman" w:cs="Times New Roman"/>
          <w:lang w:val="en-GB"/>
        </w:rPr>
        <w:t xml:space="preserve"> radiological sources and </w:t>
      </w:r>
      <w:r w:rsidRPr="00D320D5" w:rsidR="00AF785F">
        <w:rPr>
          <w:rFonts w:ascii="Times New Roman" w:eastAsia="Arial" w:hAnsi="Times New Roman" w:cs="Times New Roman"/>
          <w:lang w:val="en-GB"/>
        </w:rPr>
        <w:t>the plant</w:t>
      </w:r>
      <w:r w:rsidRPr="00D320D5" w:rsidR="314D81BA">
        <w:rPr>
          <w:rFonts w:ascii="Times New Roman" w:eastAsia="Arial" w:hAnsi="Times New Roman" w:cs="Times New Roman"/>
          <w:lang w:val="en-GB"/>
        </w:rPr>
        <w:t xml:space="preserve"> operating modes.</w:t>
      </w:r>
      <w:r w:rsidRPr="00D320D5" w:rsidR="00A218DD">
        <w:rPr>
          <w:rFonts w:ascii="Times New Roman" w:eastAsia="Arial" w:hAnsi="Times New Roman" w:cs="Times New Roman"/>
          <w:lang w:val="en-GB"/>
        </w:rPr>
        <w:t xml:space="preserve"> </w:t>
      </w:r>
      <w:r w:rsidRPr="00D320D5" w:rsidR="0B0DA987">
        <w:rPr>
          <w:rFonts w:ascii="Times New Roman" w:hAnsi="Times New Roman" w:cs="Times New Roman"/>
        </w:rPr>
        <w:t xml:space="preserve">Additionally, </w:t>
      </w:r>
      <w:r w:rsidRPr="00D320D5" w:rsidR="7D6C5DD9">
        <w:rPr>
          <w:rFonts w:ascii="Times New Roman" w:hAnsi="Times New Roman" w:cs="Times New Roman"/>
        </w:rPr>
        <w:t>the analysis</w:t>
      </w:r>
      <w:r w:rsidRPr="00D320D5" w:rsidR="153BF54A">
        <w:rPr>
          <w:rFonts w:ascii="Times New Roman" w:hAnsi="Times New Roman" w:cs="Times New Roman"/>
        </w:rPr>
        <w:t xml:space="preserve"> should consider scenarios that simultaneously affect multiple reactor modules or radiological sources at the plant</w:t>
      </w:r>
      <w:r w:rsidRPr="00D320D5" w:rsidR="000805BD">
        <w:rPr>
          <w:rFonts w:ascii="Times New Roman" w:hAnsi="Times New Roman" w:cs="Times New Roman"/>
        </w:rPr>
        <w:t>.</w:t>
      </w:r>
      <w:r w:rsidRPr="00D320D5" w:rsidR="007642B7">
        <w:rPr>
          <w:rFonts w:ascii="Times New Roman" w:hAnsi="Times New Roman" w:cs="Times New Roman"/>
        </w:rPr>
        <w:t xml:space="preserve"> If </w:t>
      </w:r>
      <w:r w:rsidRPr="00D320D5" w:rsidR="00F529DE">
        <w:rPr>
          <w:rFonts w:ascii="Times New Roman" w:hAnsi="Times New Roman" w:cs="Times New Roman"/>
        </w:rPr>
        <w:t>multiple</w:t>
      </w:r>
      <w:r w:rsidRPr="00D320D5" w:rsidR="007642B7">
        <w:rPr>
          <w:rFonts w:ascii="Times New Roman" w:hAnsi="Times New Roman" w:cs="Times New Roman"/>
        </w:rPr>
        <w:t xml:space="preserve"> reactor modules are</w:t>
      </w:r>
      <w:r w:rsidRPr="00D320D5" w:rsidR="00F529DE">
        <w:rPr>
          <w:rFonts w:ascii="Times New Roman" w:hAnsi="Times New Roman" w:cs="Times New Roman"/>
        </w:rPr>
        <w:t xml:space="preserve"> located</w:t>
      </w:r>
      <w:r w:rsidRPr="00D320D5" w:rsidR="007642B7">
        <w:rPr>
          <w:rFonts w:ascii="Times New Roman" w:hAnsi="Times New Roman" w:cs="Times New Roman"/>
        </w:rPr>
        <w:t xml:space="preserve"> on the same site, t</w:t>
      </w:r>
      <w:r w:rsidRPr="00D320D5" w:rsidR="000805BD">
        <w:rPr>
          <w:rFonts w:ascii="Times New Roman" w:hAnsi="Times New Roman" w:cs="Times New Roman"/>
        </w:rPr>
        <w:t>he analysis should also consider those</w:t>
      </w:r>
      <w:r w:rsidRPr="00D320D5" w:rsidR="00902D15">
        <w:rPr>
          <w:rFonts w:ascii="Times New Roman" w:hAnsi="Times New Roman" w:cs="Times New Roman"/>
        </w:rPr>
        <w:t xml:space="preserve"> initiating events that are</w:t>
      </w:r>
      <w:r w:rsidRPr="00D320D5" w:rsidR="00902D15">
        <w:rPr>
          <w:rFonts w:ascii="Times New Roman" w:hAnsi="Times New Roman" w:cs="Times New Roman"/>
          <w:color w:val="000000" w:themeColor="text1"/>
        </w:rPr>
        <w:t xml:space="preserve"> caused by interactions with the other units or by an accident at one or more of the other units</w:t>
      </w:r>
      <w:r w:rsidRPr="00D320D5" w:rsidR="008751C0">
        <w:rPr>
          <w:rFonts w:ascii="Times New Roman" w:hAnsi="Times New Roman" w:cs="Times New Roman"/>
        </w:rPr>
        <w:t xml:space="preserve">. </w:t>
      </w:r>
    </w:p>
    <w:p w:rsidR="00161BC0" w:rsidP="002F3C90" w14:paraId="644AB4A6" w14:textId="6792DB3B">
      <w:pPr>
        <w:spacing w:after="0" w:line="240" w:lineRule="auto"/>
        <w:ind w:left="720" w:hanging="720"/>
        <w:rPr>
          <w:rFonts w:ascii="Times New Roman" w:hAnsi="Times New Roman" w:cs="Times New Roman"/>
        </w:rPr>
      </w:pPr>
    </w:p>
    <w:p w:rsidR="00B36F19" w:rsidRPr="00D320D5" w:rsidP="0021002A" w14:paraId="7DFFFBF3" w14:textId="2A5A5DE1">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 xml:space="preserve">When screening out </w:t>
      </w:r>
      <w:r w:rsidRPr="00D320D5" w:rsidR="00E7122A">
        <w:rPr>
          <w:rFonts w:ascii="Times New Roman" w:hAnsi="Times New Roman" w:cs="Times New Roman"/>
        </w:rPr>
        <w:t xml:space="preserve">initiating events </w:t>
      </w:r>
      <w:r w:rsidRPr="00D320D5" w:rsidR="00E7122A">
        <w:rPr>
          <w:rFonts w:ascii="Times New Roman" w:hAnsi="Times New Roman" w:cs="Times New Roman"/>
        </w:rPr>
        <w:t>from</w:t>
      </w:r>
      <w:r w:rsidRPr="00D320D5" w:rsidR="00E7122A">
        <w:rPr>
          <w:rFonts w:ascii="Times New Roman" w:hAnsi="Times New Roman" w:cs="Times New Roman"/>
        </w:rPr>
        <w:t xml:space="preserve"> further consideration, </w:t>
      </w:r>
      <w:r w:rsidRPr="00D320D5">
        <w:rPr>
          <w:rFonts w:ascii="Times New Roman" w:hAnsi="Times New Roman" w:cs="Times New Roman"/>
        </w:rPr>
        <w:t xml:space="preserve">a technical basis </w:t>
      </w:r>
      <w:r w:rsidRPr="00D320D5" w:rsidR="002E73EA">
        <w:rPr>
          <w:rFonts w:ascii="Times New Roman" w:hAnsi="Times New Roman" w:cs="Times New Roman"/>
        </w:rPr>
        <w:t xml:space="preserve">should be </w:t>
      </w:r>
      <w:r w:rsidRPr="00D320D5" w:rsidR="002E73EA">
        <w:rPr>
          <w:rFonts w:ascii="Times New Roman" w:hAnsi="Times New Roman" w:cs="Times New Roman"/>
          <w:color w:val="000000"/>
        </w:rPr>
        <w:t>provided</w:t>
      </w:r>
      <w:r w:rsidRPr="00D320D5">
        <w:rPr>
          <w:rFonts w:ascii="Times New Roman" w:hAnsi="Times New Roman" w:cs="Times New Roman"/>
        </w:rPr>
        <w:t xml:space="preserve"> </w:t>
      </w:r>
      <w:r w:rsidRPr="00D320D5" w:rsidR="00BD5A68">
        <w:rPr>
          <w:rFonts w:ascii="Times New Roman" w:hAnsi="Times New Roman" w:cs="Times New Roman"/>
        </w:rPr>
        <w:t>that</w:t>
      </w:r>
      <w:r w:rsidRPr="00D320D5" w:rsidR="00BD5A68">
        <w:rPr>
          <w:rFonts w:ascii="Times New Roman" w:hAnsi="Times New Roman" w:cs="Times New Roman"/>
        </w:rPr>
        <w:t xml:space="preserve"> </w:t>
      </w:r>
      <w:r w:rsidRPr="00D320D5">
        <w:rPr>
          <w:rFonts w:ascii="Times New Roman" w:hAnsi="Times New Roman" w:cs="Times New Roman"/>
        </w:rPr>
        <w:t>account</w:t>
      </w:r>
      <w:r w:rsidRPr="00D320D5" w:rsidR="00BD5A68">
        <w:rPr>
          <w:rFonts w:ascii="Times New Roman" w:hAnsi="Times New Roman" w:cs="Times New Roman"/>
        </w:rPr>
        <w:t>s</w:t>
      </w:r>
      <w:r w:rsidRPr="00D320D5">
        <w:rPr>
          <w:rFonts w:ascii="Times New Roman" w:hAnsi="Times New Roman" w:cs="Times New Roman"/>
        </w:rPr>
        <w:t xml:space="preserve"> for design and operational uncertainties. </w:t>
      </w:r>
    </w:p>
    <w:p w:rsidR="007E6878" w:rsidP="002F3C90" w14:paraId="5B28828A" w14:textId="77777777">
      <w:pPr>
        <w:spacing w:after="0" w:line="240" w:lineRule="auto"/>
        <w:ind w:left="720" w:hanging="720"/>
        <w:rPr>
          <w:rFonts w:ascii="Times New Roman" w:hAnsi="Times New Roman" w:cs="Times New Roman"/>
        </w:rPr>
      </w:pPr>
    </w:p>
    <w:p w:rsidR="009872CC" w:rsidRPr="00D320D5" w:rsidP="002F3C90" w14:paraId="69B7314E" w14:textId="400EDEB4">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If a PRA is being developed and peer reviewed in accordance with RG</w:t>
      </w:r>
      <w:r w:rsidR="00577CBF">
        <w:rPr>
          <w:rFonts w:ascii="Times New Roman" w:hAnsi="Times New Roman" w:cs="Times New Roman"/>
        </w:rPr>
        <w:t> </w:t>
      </w:r>
      <w:r w:rsidRPr="00D320D5">
        <w:rPr>
          <w:rFonts w:ascii="Times New Roman" w:hAnsi="Times New Roman" w:cs="Times New Roman"/>
        </w:rPr>
        <w:t xml:space="preserve">1.200 </w:t>
      </w:r>
      <w:r w:rsidRPr="00D320D5" w:rsidR="00A6397E">
        <w:rPr>
          <w:rFonts w:ascii="Times New Roman" w:hAnsi="Times New Roman" w:cs="Times New Roman"/>
        </w:rPr>
        <w:t>and DC/COL</w:t>
      </w:r>
      <w:r w:rsidR="00577CBF">
        <w:rPr>
          <w:rFonts w:ascii="Times New Roman" w:hAnsi="Times New Roman" w:cs="Times New Roman"/>
        </w:rPr>
        <w:noBreakHyphen/>
      </w:r>
      <w:r w:rsidRPr="00D320D5" w:rsidR="00A6397E">
        <w:rPr>
          <w:rFonts w:ascii="Times New Roman" w:hAnsi="Times New Roman" w:cs="Times New Roman"/>
        </w:rPr>
        <w:t>ISG</w:t>
      </w:r>
      <w:r w:rsidR="00577CBF">
        <w:rPr>
          <w:rFonts w:ascii="Times New Roman" w:hAnsi="Times New Roman" w:cs="Times New Roman"/>
        </w:rPr>
        <w:noBreakHyphen/>
      </w:r>
      <w:r w:rsidRPr="00D320D5" w:rsidR="00A6397E">
        <w:rPr>
          <w:rFonts w:ascii="Times New Roman" w:hAnsi="Times New Roman" w:cs="Times New Roman"/>
        </w:rPr>
        <w:t xml:space="preserve">028 </w:t>
      </w:r>
      <w:r w:rsidRPr="00D320D5">
        <w:rPr>
          <w:rFonts w:ascii="Times New Roman" w:hAnsi="Times New Roman" w:cs="Times New Roman"/>
        </w:rPr>
        <w:t>(for LWRs)</w:t>
      </w:r>
      <w:r w:rsidR="00CA2192">
        <w:rPr>
          <w:rFonts w:ascii="Times New Roman" w:hAnsi="Times New Roman" w:cs="Times New Roman"/>
        </w:rPr>
        <w:t xml:space="preserve"> </w:t>
      </w:r>
      <w:r w:rsidRPr="00D320D5">
        <w:rPr>
          <w:rFonts w:ascii="Times New Roman" w:hAnsi="Times New Roman" w:cs="Times New Roman"/>
        </w:rPr>
        <w:t>or RG</w:t>
      </w:r>
      <w:r w:rsidR="00577CBF">
        <w:rPr>
          <w:rFonts w:ascii="Times New Roman" w:hAnsi="Times New Roman" w:cs="Times New Roman"/>
        </w:rPr>
        <w:t> </w:t>
      </w:r>
      <w:r w:rsidRPr="00D320D5">
        <w:rPr>
          <w:rFonts w:ascii="Times New Roman" w:hAnsi="Times New Roman" w:cs="Times New Roman"/>
        </w:rPr>
        <w:t xml:space="preserve">1.247 (for </w:t>
      </w:r>
      <w:r w:rsidRPr="00D320D5" w:rsidR="00713C74">
        <w:rPr>
          <w:rFonts w:ascii="Times New Roman" w:hAnsi="Times New Roman" w:cs="Times New Roman"/>
        </w:rPr>
        <w:t>non-</w:t>
      </w:r>
      <w:r w:rsidRPr="00D320D5">
        <w:rPr>
          <w:rFonts w:ascii="Times New Roman" w:hAnsi="Times New Roman" w:cs="Times New Roman"/>
        </w:rPr>
        <w:t>LWRs),</w:t>
      </w:r>
      <w:r w:rsidRPr="00D320D5" w:rsidR="009165B9">
        <w:rPr>
          <w:rFonts w:ascii="Times New Roman" w:hAnsi="Times New Roman" w:cs="Times New Roman"/>
        </w:rPr>
        <w:t xml:space="preserve"> the guidance on</w:t>
      </w:r>
      <w:r w:rsidRPr="00D320D5">
        <w:rPr>
          <w:rFonts w:ascii="Times New Roman" w:hAnsi="Times New Roman" w:cs="Times New Roman"/>
        </w:rPr>
        <w:t xml:space="preserve"> identification of initiating events </w:t>
      </w:r>
      <w:r w:rsidRPr="00D320D5" w:rsidR="0099598B">
        <w:rPr>
          <w:rFonts w:ascii="Times New Roman" w:hAnsi="Times New Roman" w:cs="Times New Roman"/>
        </w:rPr>
        <w:t>for a PRA</w:t>
      </w:r>
      <w:r w:rsidRPr="00D320D5">
        <w:rPr>
          <w:rFonts w:ascii="Times New Roman" w:hAnsi="Times New Roman" w:cs="Times New Roman"/>
        </w:rPr>
        <w:t xml:space="preserve"> in the corresponding </w:t>
      </w:r>
      <w:r w:rsidRPr="00D320D5" w:rsidR="002A3584">
        <w:rPr>
          <w:rFonts w:ascii="Times New Roman" w:hAnsi="Times New Roman" w:cs="Times New Roman"/>
        </w:rPr>
        <w:t xml:space="preserve">RG and associated </w:t>
      </w:r>
      <w:r w:rsidRPr="00D320D5">
        <w:rPr>
          <w:rFonts w:ascii="Times New Roman" w:hAnsi="Times New Roman" w:cs="Times New Roman"/>
        </w:rPr>
        <w:t>PRA standard</w:t>
      </w:r>
      <w:r w:rsidRPr="00D320D5" w:rsidR="009165B9">
        <w:rPr>
          <w:rFonts w:ascii="Times New Roman" w:hAnsi="Times New Roman" w:cs="Times New Roman"/>
        </w:rPr>
        <w:t xml:space="preserve"> should be followed</w:t>
      </w:r>
      <w:r w:rsidRPr="00D320D5">
        <w:rPr>
          <w:rFonts w:ascii="Times New Roman" w:hAnsi="Times New Roman" w:cs="Times New Roman"/>
        </w:rPr>
        <w:t>.</w:t>
      </w:r>
    </w:p>
    <w:p w:rsidR="009872CC" w:rsidP="002F3C90" w14:paraId="6F2E992C" w14:textId="77777777">
      <w:pPr>
        <w:spacing w:after="0" w:line="240" w:lineRule="auto"/>
        <w:rPr>
          <w:rFonts w:ascii="Times New Roman" w:hAnsi="Times New Roman" w:cs="Times New Roman"/>
        </w:rPr>
      </w:pPr>
    </w:p>
    <w:p w:rsidR="00DD337E" w:rsidRPr="00D320D5" w:rsidP="002F3C90" w14:paraId="3359D0E8" w14:textId="3936A11E">
      <w:pPr>
        <w:pStyle w:val="Heading3"/>
        <w:spacing w:line="240" w:lineRule="auto"/>
        <w:rPr>
          <w:i/>
          <w:iCs/>
        </w:rPr>
      </w:pPr>
      <w:r w:rsidRPr="00D320D5">
        <w:rPr>
          <w:i/>
          <w:iCs/>
        </w:rPr>
        <w:t xml:space="preserve">Apply </w:t>
      </w:r>
      <w:r w:rsidRPr="00D320D5" w:rsidR="0008110E">
        <w:rPr>
          <w:i/>
          <w:iCs/>
        </w:rPr>
        <w:t xml:space="preserve">Initiating Event Grouping Strategy </w:t>
      </w:r>
      <w:r w:rsidRPr="00D320D5" w:rsidR="00F85810">
        <w:rPr>
          <w:i/>
          <w:iCs/>
        </w:rPr>
        <w:t>(Box 1</w:t>
      </w:r>
      <w:r w:rsidRPr="00D320D5" w:rsidR="007B506D">
        <w:rPr>
          <w:i/>
          <w:iCs/>
        </w:rPr>
        <w:t>2</w:t>
      </w:r>
      <w:r w:rsidRPr="00D320D5" w:rsidR="00F85810">
        <w:rPr>
          <w:i/>
          <w:iCs/>
        </w:rPr>
        <w:t>, Principle #2)</w:t>
      </w:r>
    </w:p>
    <w:p w:rsidR="00DD337E" w:rsidP="002F3C90" w14:paraId="2F2D392B" w14:textId="74F6F465">
      <w:pPr>
        <w:spacing w:after="0" w:line="240" w:lineRule="auto"/>
        <w:rPr>
          <w:rFonts w:ascii="Times New Roman" w:hAnsi="Times New Roman" w:cs="Times New Roman"/>
        </w:rPr>
      </w:pPr>
    </w:p>
    <w:p w:rsidR="00F2190B" w:rsidRPr="00586982" w:rsidP="002F3C90" w14:paraId="64E69369" w14:textId="5DD5B8B4">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 xml:space="preserve">After </w:t>
      </w:r>
      <w:r w:rsidRPr="00D320D5" w:rsidR="009621E9">
        <w:rPr>
          <w:rFonts w:ascii="Times New Roman" w:hAnsi="Times New Roman" w:cs="Times New Roman"/>
        </w:rPr>
        <w:t xml:space="preserve">identifying initiating events, the </w:t>
      </w:r>
      <w:r w:rsidRPr="00D320D5" w:rsidR="00DC435C">
        <w:rPr>
          <w:rFonts w:ascii="Times New Roman" w:hAnsi="Times New Roman" w:cs="Times New Roman"/>
        </w:rPr>
        <w:t>initiating</w:t>
      </w:r>
      <w:r w:rsidRPr="00D320D5" w:rsidR="009621E9">
        <w:rPr>
          <w:rFonts w:ascii="Times New Roman" w:hAnsi="Times New Roman" w:cs="Times New Roman"/>
        </w:rPr>
        <w:t xml:space="preserve"> event</w:t>
      </w:r>
      <w:r w:rsidRPr="00D320D5" w:rsidR="00B84B20">
        <w:rPr>
          <w:rFonts w:ascii="Times New Roman" w:hAnsi="Times New Roman" w:cs="Times New Roman"/>
        </w:rPr>
        <w:t xml:space="preserve"> grouping</w:t>
      </w:r>
      <w:r w:rsidRPr="00D320D5" w:rsidR="003314B4">
        <w:rPr>
          <w:rFonts w:ascii="Times New Roman" w:hAnsi="Times New Roman" w:cs="Times New Roman"/>
        </w:rPr>
        <w:t xml:space="preserve"> </w:t>
      </w:r>
      <w:r w:rsidRPr="00D320D5" w:rsidR="009621E9">
        <w:rPr>
          <w:rFonts w:ascii="Times New Roman" w:hAnsi="Times New Roman" w:cs="Times New Roman"/>
        </w:rPr>
        <w:t xml:space="preserve">should </w:t>
      </w:r>
      <w:r w:rsidRPr="00D320D5" w:rsidR="00DD0715">
        <w:rPr>
          <w:rFonts w:ascii="Times New Roman" w:hAnsi="Times New Roman" w:cs="Times New Roman"/>
        </w:rPr>
        <w:t>us</w:t>
      </w:r>
      <w:r w:rsidR="00577CBF">
        <w:rPr>
          <w:rFonts w:ascii="Times New Roman" w:hAnsi="Times New Roman" w:cs="Times New Roman"/>
        </w:rPr>
        <w:t>e</w:t>
      </w:r>
      <w:r w:rsidRPr="00D320D5" w:rsidR="00DD0715">
        <w:rPr>
          <w:rFonts w:ascii="Times New Roman" w:hAnsi="Times New Roman" w:cs="Times New Roman"/>
        </w:rPr>
        <w:t xml:space="preserve"> </w:t>
      </w:r>
      <w:r w:rsidRPr="00D320D5" w:rsidR="00727B2B">
        <w:rPr>
          <w:rFonts w:ascii="Times New Roman" w:hAnsi="Times New Roman" w:cs="Times New Roman"/>
        </w:rPr>
        <w:t xml:space="preserve">the process and criteria established in </w:t>
      </w:r>
      <w:r w:rsidR="0001288B">
        <w:rPr>
          <w:rFonts w:ascii="Times New Roman" w:hAnsi="Times New Roman" w:cs="Times New Roman"/>
        </w:rPr>
        <w:t>paragraph</w:t>
      </w:r>
      <w:r w:rsidR="00577CBF">
        <w:rPr>
          <w:rFonts w:ascii="Times New Roman" w:hAnsi="Times New Roman" w:cs="Times New Roman"/>
        </w:rPr>
        <w:t> </w:t>
      </w:r>
      <w:r w:rsidR="0001288B">
        <w:rPr>
          <w:rFonts w:ascii="Times New Roman" w:hAnsi="Times New Roman" w:cs="Times New Roman"/>
        </w:rPr>
        <w:t>22 above</w:t>
      </w:r>
      <w:r w:rsidRPr="00586982" w:rsidR="00DD0715">
        <w:rPr>
          <w:rFonts w:ascii="Times New Roman" w:hAnsi="Times New Roman" w:cs="Times New Roman"/>
        </w:rPr>
        <w:t xml:space="preserve">. Grouping should </w:t>
      </w:r>
      <w:r w:rsidR="00577CBF">
        <w:rPr>
          <w:rFonts w:ascii="Times New Roman" w:hAnsi="Times New Roman" w:cs="Times New Roman"/>
        </w:rPr>
        <w:t>ensure</w:t>
      </w:r>
      <w:r w:rsidRPr="00586982">
        <w:rPr>
          <w:rFonts w:ascii="Times New Roman" w:hAnsi="Times New Roman" w:cs="Times New Roman"/>
        </w:rPr>
        <w:t xml:space="preserve"> that e</w:t>
      </w:r>
      <w:r w:rsidRPr="00586982" w:rsidR="009621E9">
        <w:rPr>
          <w:rFonts w:ascii="Times New Roman" w:hAnsi="Times New Roman" w:cs="Times New Roman"/>
        </w:rPr>
        <w:t>vents in the same group have similar mitigation requirements</w:t>
      </w:r>
      <w:r w:rsidRPr="00586982">
        <w:rPr>
          <w:rFonts w:ascii="Times New Roman" w:hAnsi="Times New Roman" w:cs="Times New Roman"/>
        </w:rPr>
        <w:t xml:space="preserve"> </w:t>
      </w:r>
      <w:r w:rsidRPr="00586982" w:rsidR="009D5B30">
        <w:rPr>
          <w:rFonts w:ascii="Times New Roman" w:hAnsi="Times New Roman" w:cs="Times New Roman"/>
        </w:rPr>
        <w:t xml:space="preserve">to facilitate an efficient analysis of event sequences and the subsequent derivation of </w:t>
      </w:r>
      <w:r w:rsidRPr="00586982" w:rsidR="00DC435C">
        <w:rPr>
          <w:rFonts w:ascii="Times New Roman" w:hAnsi="Times New Roman" w:cs="Times New Roman"/>
        </w:rPr>
        <w:t>licensing events</w:t>
      </w:r>
      <w:r w:rsidRPr="00586982" w:rsidR="008751C0">
        <w:rPr>
          <w:rFonts w:ascii="Times New Roman" w:hAnsi="Times New Roman" w:cs="Times New Roman"/>
        </w:rPr>
        <w:t xml:space="preserve">. </w:t>
      </w:r>
    </w:p>
    <w:p w:rsidR="00016484" w:rsidRPr="003E2482" w:rsidP="002F3C90" w14:paraId="5690855E" w14:textId="77777777">
      <w:pPr>
        <w:autoSpaceDE w:val="0"/>
        <w:autoSpaceDN w:val="0"/>
        <w:adjustRightInd w:val="0"/>
        <w:spacing w:after="0" w:line="240" w:lineRule="auto"/>
        <w:ind w:left="720" w:hanging="720"/>
        <w:rPr>
          <w:rFonts w:ascii="Times New Roman" w:hAnsi="Times New Roman" w:cs="Times New Roman"/>
        </w:rPr>
      </w:pPr>
    </w:p>
    <w:p w:rsidR="00016484" w:rsidRPr="00586982" w:rsidP="002F3C90" w14:paraId="76B2EA7C" w14:textId="56DC7060">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If a PRA is being developed and peer reviewed in accordance with RG</w:t>
      </w:r>
      <w:r w:rsidR="00577CBF">
        <w:rPr>
          <w:rFonts w:ascii="Times New Roman" w:hAnsi="Times New Roman" w:cs="Times New Roman"/>
        </w:rPr>
        <w:t> </w:t>
      </w:r>
      <w:r w:rsidRPr="00586982">
        <w:rPr>
          <w:rFonts w:ascii="Times New Roman" w:hAnsi="Times New Roman" w:cs="Times New Roman"/>
        </w:rPr>
        <w:t>1.200</w:t>
      </w:r>
      <w:r w:rsidRPr="00586982" w:rsidR="00A6397E">
        <w:rPr>
          <w:rFonts w:ascii="Times New Roman" w:hAnsi="Times New Roman" w:cs="Times New Roman"/>
        </w:rPr>
        <w:t xml:space="preserve"> and DC/COL</w:t>
      </w:r>
      <w:r w:rsidR="00577CBF">
        <w:rPr>
          <w:rFonts w:ascii="Times New Roman" w:hAnsi="Times New Roman" w:cs="Times New Roman"/>
        </w:rPr>
        <w:noBreakHyphen/>
      </w:r>
      <w:r w:rsidRPr="00586982" w:rsidR="00A6397E">
        <w:rPr>
          <w:rFonts w:ascii="Times New Roman" w:hAnsi="Times New Roman" w:cs="Times New Roman"/>
        </w:rPr>
        <w:t>ISG</w:t>
      </w:r>
      <w:r w:rsidR="00577CBF">
        <w:rPr>
          <w:rFonts w:ascii="Times New Roman" w:hAnsi="Times New Roman" w:cs="Times New Roman"/>
        </w:rPr>
        <w:noBreakHyphen/>
      </w:r>
      <w:r w:rsidRPr="00586982" w:rsidR="00A6397E">
        <w:rPr>
          <w:rFonts w:ascii="Times New Roman" w:hAnsi="Times New Roman" w:cs="Times New Roman"/>
        </w:rPr>
        <w:t>028</w:t>
      </w:r>
      <w:r w:rsidRPr="00586982">
        <w:rPr>
          <w:rFonts w:ascii="Times New Roman" w:hAnsi="Times New Roman" w:cs="Times New Roman"/>
        </w:rPr>
        <w:t xml:space="preserve"> (for LWRs) or RG</w:t>
      </w:r>
      <w:r w:rsidR="00577CBF">
        <w:rPr>
          <w:rFonts w:ascii="Times New Roman" w:hAnsi="Times New Roman" w:cs="Times New Roman"/>
        </w:rPr>
        <w:t> </w:t>
      </w:r>
      <w:r w:rsidRPr="00586982">
        <w:rPr>
          <w:rFonts w:ascii="Times New Roman" w:hAnsi="Times New Roman" w:cs="Times New Roman"/>
        </w:rPr>
        <w:t xml:space="preserve">1.247 (for </w:t>
      </w:r>
      <w:r w:rsidRPr="00586982" w:rsidR="00713C74">
        <w:rPr>
          <w:rFonts w:ascii="Times New Roman" w:hAnsi="Times New Roman" w:cs="Times New Roman"/>
        </w:rPr>
        <w:t>non-</w:t>
      </w:r>
      <w:r w:rsidRPr="00586982">
        <w:rPr>
          <w:rFonts w:ascii="Times New Roman" w:hAnsi="Times New Roman" w:cs="Times New Roman"/>
        </w:rPr>
        <w:t xml:space="preserve">LWRs), </w:t>
      </w:r>
      <w:r w:rsidRPr="00586982" w:rsidR="001B5E0A">
        <w:rPr>
          <w:rFonts w:ascii="Times New Roman" w:hAnsi="Times New Roman" w:cs="Times New Roman"/>
        </w:rPr>
        <w:t xml:space="preserve">the guidance on </w:t>
      </w:r>
      <w:r w:rsidRPr="00586982" w:rsidR="007E2137">
        <w:rPr>
          <w:rFonts w:ascii="Times New Roman" w:hAnsi="Times New Roman" w:cs="Times New Roman"/>
        </w:rPr>
        <w:t>initiating events</w:t>
      </w:r>
      <w:r w:rsidRPr="00586982" w:rsidR="001B5E0A">
        <w:rPr>
          <w:rFonts w:ascii="Times New Roman" w:hAnsi="Times New Roman" w:cs="Times New Roman"/>
        </w:rPr>
        <w:t xml:space="preserve"> grouping</w:t>
      </w:r>
      <w:r w:rsidRPr="00586982">
        <w:rPr>
          <w:rFonts w:ascii="Times New Roman" w:hAnsi="Times New Roman" w:cs="Times New Roman"/>
        </w:rPr>
        <w:t xml:space="preserve"> in the corresponding</w:t>
      </w:r>
      <w:r w:rsidRPr="00586982" w:rsidR="002A3584">
        <w:rPr>
          <w:rFonts w:ascii="Times New Roman" w:hAnsi="Times New Roman" w:cs="Times New Roman"/>
        </w:rPr>
        <w:t xml:space="preserve"> RG and associated</w:t>
      </w:r>
      <w:r w:rsidRPr="00586982">
        <w:rPr>
          <w:rFonts w:ascii="Times New Roman" w:hAnsi="Times New Roman" w:cs="Times New Roman"/>
        </w:rPr>
        <w:t xml:space="preserve"> PRA standard</w:t>
      </w:r>
      <w:r w:rsidRPr="00586982" w:rsidR="001B5E0A">
        <w:rPr>
          <w:rFonts w:ascii="Times New Roman" w:hAnsi="Times New Roman" w:cs="Times New Roman"/>
        </w:rPr>
        <w:t xml:space="preserve"> should be followed</w:t>
      </w:r>
      <w:r w:rsidRPr="00586982">
        <w:rPr>
          <w:rFonts w:ascii="Times New Roman" w:hAnsi="Times New Roman" w:cs="Times New Roman"/>
        </w:rPr>
        <w:t>.</w:t>
      </w:r>
    </w:p>
    <w:p w:rsidR="008B47AA" w:rsidP="002F3C90" w14:paraId="539FF089" w14:textId="77777777">
      <w:pPr>
        <w:spacing w:after="0" w:line="240" w:lineRule="auto"/>
        <w:rPr>
          <w:rFonts w:ascii="Times New Roman" w:hAnsi="Times New Roman" w:cs="Times New Roman"/>
        </w:rPr>
      </w:pPr>
    </w:p>
    <w:p w:rsidR="00DD337E" w:rsidRPr="009F1596" w:rsidP="002F3C90" w14:paraId="410AB55C" w14:textId="10C9271C">
      <w:pPr>
        <w:pStyle w:val="Heading3"/>
        <w:spacing w:line="240" w:lineRule="auto"/>
        <w:ind w:left="0" w:firstLine="0"/>
      </w:pPr>
      <w:r w:rsidRPr="00586982">
        <w:rPr>
          <w:i/>
          <w:iCs/>
        </w:rPr>
        <w:t xml:space="preserve">Account </w:t>
      </w:r>
      <w:r w:rsidRPr="00586982" w:rsidR="0008110E">
        <w:rPr>
          <w:i/>
          <w:iCs/>
        </w:rPr>
        <w:t xml:space="preserve">for Relevant Operating Experience and Insights from Earlier </w:t>
      </w:r>
      <w:r w:rsidRPr="00586982" w:rsidR="002E64F2">
        <w:rPr>
          <w:i/>
          <w:iCs/>
        </w:rPr>
        <w:t xml:space="preserve">Relevant </w:t>
      </w:r>
      <w:r w:rsidRPr="00586982" w:rsidR="0008110E">
        <w:rPr>
          <w:i/>
          <w:iCs/>
        </w:rPr>
        <w:t>Analyses in the Initiating Event Search (</w:t>
      </w:r>
      <w:r w:rsidRPr="00586982" w:rsidR="00F85810">
        <w:rPr>
          <w:i/>
          <w:iCs/>
        </w:rPr>
        <w:t xml:space="preserve">Box </w:t>
      </w:r>
      <w:r w:rsidRPr="00586982" w:rsidR="0008110E">
        <w:rPr>
          <w:i/>
          <w:iCs/>
        </w:rPr>
        <w:t>1</w:t>
      </w:r>
      <w:r w:rsidRPr="00586982" w:rsidR="007B506D">
        <w:rPr>
          <w:i/>
          <w:iCs/>
        </w:rPr>
        <w:t>3</w:t>
      </w:r>
      <w:r w:rsidRPr="00586982" w:rsidR="0008110E">
        <w:rPr>
          <w:i/>
          <w:iCs/>
        </w:rPr>
        <w:t xml:space="preserve">, </w:t>
      </w:r>
      <w:r w:rsidRPr="00586982" w:rsidR="00F85810">
        <w:rPr>
          <w:i/>
          <w:iCs/>
        </w:rPr>
        <w:t xml:space="preserve">Principle </w:t>
      </w:r>
      <w:r w:rsidRPr="00586982" w:rsidR="0008110E">
        <w:rPr>
          <w:i/>
          <w:iCs/>
        </w:rPr>
        <w:t>#5)</w:t>
      </w:r>
    </w:p>
    <w:p w:rsidR="00222028" w:rsidP="002F3C90" w14:paraId="2EAAC292" w14:textId="67F7364D">
      <w:pPr>
        <w:spacing w:after="0" w:line="240" w:lineRule="auto"/>
        <w:rPr>
          <w:rFonts w:ascii="Times New Roman" w:hAnsi="Times New Roman" w:cs="Times New Roman"/>
        </w:rPr>
      </w:pPr>
    </w:p>
    <w:p w:rsidR="0030567F" w:rsidRPr="00EE2F0F" w:rsidP="002F3C90" w14:paraId="3135B12B" w14:textId="78937E42">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To ensure that the final list of initiating events is comprehensive, </w:t>
      </w:r>
      <w:r w:rsidRPr="00586982" w:rsidR="005D682C">
        <w:rPr>
          <w:rFonts w:ascii="Times New Roman" w:hAnsi="Times New Roman" w:cs="Times New Roman"/>
        </w:rPr>
        <w:t xml:space="preserve">any relevant </w:t>
      </w:r>
      <w:r w:rsidRPr="00586982">
        <w:rPr>
          <w:rFonts w:ascii="Times New Roman" w:hAnsi="Times New Roman" w:cs="Times New Roman"/>
        </w:rPr>
        <w:t>operating experience</w:t>
      </w:r>
      <w:r w:rsidRPr="00586982" w:rsidR="006A6F8E">
        <w:rPr>
          <w:rFonts w:ascii="Times New Roman" w:hAnsi="Times New Roman" w:cs="Times New Roman"/>
        </w:rPr>
        <w:t xml:space="preserve"> </w:t>
      </w:r>
      <w:r w:rsidRPr="00586982">
        <w:rPr>
          <w:rFonts w:ascii="Times New Roman" w:hAnsi="Times New Roman" w:cs="Times New Roman"/>
        </w:rPr>
        <w:t xml:space="preserve">should be </w:t>
      </w:r>
      <w:r w:rsidR="00577CBF">
        <w:rPr>
          <w:rFonts w:ascii="Times New Roman" w:hAnsi="Times New Roman" w:cs="Times New Roman"/>
        </w:rPr>
        <w:t>reviewed</w:t>
      </w:r>
      <w:r w:rsidRPr="00586982" w:rsidR="00577CBF">
        <w:rPr>
          <w:rFonts w:ascii="Times New Roman" w:hAnsi="Times New Roman" w:cs="Times New Roman"/>
        </w:rPr>
        <w:t xml:space="preserve"> </w:t>
      </w:r>
      <w:r w:rsidRPr="00586982">
        <w:rPr>
          <w:rFonts w:ascii="Times New Roman" w:hAnsi="Times New Roman" w:cs="Times New Roman"/>
        </w:rPr>
        <w:t xml:space="preserve">to ensure that </w:t>
      </w:r>
      <w:r w:rsidR="00403A11">
        <w:rPr>
          <w:rFonts w:ascii="Times New Roman" w:hAnsi="Times New Roman" w:cs="Times New Roman"/>
        </w:rPr>
        <w:t xml:space="preserve">the list includes </w:t>
      </w:r>
      <w:r w:rsidRPr="00586982">
        <w:rPr>
          <w:rFonts w:ascii="Times New Roman" w:hAnsi="Times New Roman" w:cs="Times New Roman"/>
        </w:rPr>
        <w:t xml:space="preserve">any initiating events that have occurred. </w:t>
      </w:r>
      <w:r w:rsidRPr="00586982" w:rsidR="000F063F">
        <w:rPr>
          <w:rFonts w:ascii="Times New Roman" w:hAnsi="Times New Roman" w:cs="Times New Roman"/>
        </w:rPr>
        <w:t>A</w:t>
      </w:r>
      <w:r w:rsidRPr="00586982" w:rsidR="000B0B38">
        <w:rPr>
          <w:rFonts w:ascii="Times New Roman" w:hAnsi="Times New Roman" w:cs="Times New Roman"/>
        </w:rPr>
        <w:t xml:space="preserve">dditionally, a review of </w:t>
      </w:r>
      <w:r w:rsidRPr="00586982" w:rsidR="00790E46">
        <w:rPr>
          <w:rFonts w:ascii="Times New Roman" w:hAnsi="Times New Roman" w:cs="Times New Roman"/>
        </w:rPr>
        <w:t>any</w:t>
      </w:r>
      <w:r w:rsidRPr="00586982" w:rsidR="0061137D">
        <w:rPr>
          <w:rFonts w:ascii="Times New Roman" w:hAnsi="Times New Roman" w:cs="Times New Roman"/>
        </w:rPr>
        <w:t xml:space="preserve"> </w:t>
      </w:r>
      <w:r w:rsidRPr="00586982" w:rsidR="00FB34CA">
        <w:rPr>
          <w:rFonts w:ascii="Times New Roman" w:hAnsi="Times New Roman" w:cs="Times New Roman"/>
        </w:rPr>
        <w:t xml:space="preserve">prior relevant </w:t>
      </w:r>
      <w:r w:rsidRPr="00586982" w:rsidR="0061137D">
        <w:rPr>
          <w:rFonts w:ascii="Times New Roman" w:hAnsi="Times New Roman" w:cs="Times New Roman"/>
        </w:rPr>
        <w:t>initiating event analys</w:t>
      </w:r>
      <w:r w:rsidRPr="00586982" w:rsidR="0061018E">
        <w:rPr>
          <w:rFonts w:ascii="Times New Roman" w:hAnsi="Times New Roman" w:cs="Times New Roman"/>
        </w:rPr>
        <w:t xml:space="preserve">es performed for </w:t>
      </w:r>
      <w:r w:rsidRPr="00586982" w:rsidR="00FB34CA">
        <w:rPr>
          <w:rFonts w:ascii="Times New Roman" w:hAnsi="Times New Roman" w:cs="Times New Roman"/>
        </w:rPr>
        <w:t xml:space="preserve">other </w:t>
      </w:r>
      <w:r w:rsidRPr="00586982" w:rsidR="00790E46">
        <w:rPr>
          <w:rFonts w:ascii="Times New Roman" w:hAnsi="Times New Roman" w:cs="Times New Roman"/>
        </w:rPr>
        <w:t>designs should be conducted</w:t>
      </w:r>
      <w:r w:rsidRPr="00586982" w:rsidR="000F063F">
        <w:rPr>
          <w:rFonts w:ascii="Times New Roman" w:hAnsi="Times New Roman" w:cs="Times New Roman"/>
        </w:rPr>
        <w:t xml:space="preserve"> to ensure that </w:t>
      </w:r>
      <w:r w:rsidRPr="00586982" w:rsidR="00B868D3">
        <w:rPr>
          <w:rFonts w:ascii="Times New Roman" w:hAnsi="Times New Roman" w:cs="Times New Roman"/>
        </w:rPr>
        <w:t>any possible insights</w:t>
      </w:r>
      <w:r w:rsidRPr="00586982" w:rsidR="00EE1F51">
        <w:rPr>
          <w:rFonts w:ascii="Times New Roman" w:hAnsi="Times New Roman" w:cs="Times New Roman"/>
        </w:rPr>
        <w:t xml:space="preserve"> are </w:t>
      </w:r>
      <w:r w:rsidRPr="00586982" w:rsidR="00B62342">
        <w:rPr>
          <w:rFonts w:ascii="Times New Roman" w:hAnsi="Times New Roman" w:cs="Times New Roman"/>
        </w:rPr>
        <w:t>considered and captured in the initiating event list.</w:t>
      </w:r>
    </w:p>
    <w:p w:rsidR="005B66E5" w:rsidP="002F3C90" w14:paraId="4848646D" w14:textId="77777777">
      <w:pPr>
        <w:spacing w:after="0" w:line="240" w:lineRule="auto"/>
        <w:rPr>
          <w:i/>
          <w:iCs/>
        </w:rPr>
      </w:pPr>
    </w:p>
    <w:p w:rsidR="00222028" w:rsidRPr="007D1F69" w:rsidP="002F3C90" w14:paraId="11EB0AF5" w14:textId="6B2B9CC1">
      <w:pPr>
        <w:pStyle w:val="Heading3"/>
        <w:spacing w:line="240" w:lineRule="auto"/>
        <w:ind w:left="0" w:firstLine="0"/>
      </w:pPr>
      <w:r w:rsidRPr="00586982">
        <w:rPr>
          <w:i/>
          <w:iCs/>
        </w:rPr>
        <w:t xml:space="preserve">Conduct </w:t>
      </w:r>
      <w:r w:rsidRPr="00586982" w:rsidR="0008110E">
        <w:rPr>
          <w:i/>
          <w:iCs/>
        </w:rPr>
        <w:t xml:space="preserve">an Independent Review and Complete Quality </w:t>
      </w:r>
      <w:r w:rsidR="00CB07CD">
        <w:rPr>
          <w:i/>
          <w:iCs/>
        </w:rPr>
        <w:t>Control</w:t>
      </w:r>
      <w:r w:rsidRPr="00586982" w:rsidR="00CB07CD">
        <w:rPr>
          <w:i/>
          <w:iCs/>
        </w:rPr>
        <w:t xml:space="preserve"> </w:t>
      </w:r>
      <w:r w:rsidRPr="00586982" w:rsidR="0008110E">
        <w:rPr>
          <w:i/>
          <w:iCs/>
        </w:rPr>
        <w:t>Activities for the Initiating Event Search (</w:t>
      </w:r>
      <w:r w:rsidRPr="00586982">
        <w:rPr>
          <w:i/>
          <w:iCs/>
        </w:rPr>
        <w:t>Box</w:t>
      </w:r>
      <w:r w:rsidR="0083597E">
        <w:rPr>
          <w:i/>
          <w:iCs/>
        </w:rPr>
        <w:t> </w:t>
      </w:r>
      <w:r w:rsidRPr="00586982" w:rsidR="0008110E">
        <w:rPr>
          <w:i/>
          <w:iCs/>
        </w:rPr>
        <w:t>1</w:t>
      </w:r>
      <w:r w:rsidRPr="00586982" w:rsidR="007B506D">
        <w:rPr>
          <w:i/>
          <w:iCs/>
        </w:rPr>
        <w:t>4</w:t>
      </w:r>
      <w:r w:rsidRPr="00586982" w:rsidR="0008110E">
        <w:rPr>
          <w:i/>
          <w:iCs/>
        </w:rPr>
        <w:t xml:space="preserve">, </w:t>
      </w:r>
      <w:r w:rsidRPr="00586982">
        <w:rPr>
          <w:i/>
          <w:iCs/>
        </w:rPr>
        <w:t xml:space="preserve">Principle </w:t>
      </w:r>
      <w:r w:rsidRPr="00586982" w:rsidR="0008110E">
        <w:rPr>
          <w:i/>
          <w:iCs/>
        </w:rPr>
        <w:t>#5)</w:t>
      </w:r>
    </w:p>
    <w:p w:rsidR="00222028" w:rsidP="002F3C90" w14:paraId="657EAB77" w14:textId="6C703271">
      <w:pPr>
        <w:keepNext/>
        <w:spacing w:after="0" w:line="240" w:lineRule="auto"/>
        <w:rPr>
          <w:rFonts w:ascii="Times New Roman" w:hAnsi="Times New Roman" w:cs="Times New Roman"/>
        </w:rPr>
      </w:pPr>
    </w:p>
    <w:p w:rsidR="004E6A9A" w:rsidRPr="00586982" w:rsidP="0021002A" w14:paraId="274C0D57" w14:textId="4E9AD980">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The process and results of the initiating event search should be independently reviewed</w:t>
      </w:r>
      <w:r w:rsidRPr="00586982" w:rsidR="002F28D7">
        <w:rPr>
          <w:rFonts w:ascii="Times New Roman" w:hAnsi="Times New Roman" w:cs="Times New Roman"/>
        </w:rPr>
        <w:t xml:space="preserve"> to help assure that the list of initiating events is </w:t>
      </w:r>
      <w:r w:rsidRPr="00586982" w:rsidR="00C3478A">
        <w:rPr>
          <w:rFonts w:ascii="Times New Roman" w:hAnsi="Times New Roman" w:cs="Times New Roman"/>
          <w:color w:val="000000"/>
        </w:rPr>
        <w:t>comprehensive</w:t>
      </w:r>
      <w:r w:rsidRPr="00586982" w:rsidR="002F28D7">
        <w:rPr>
          <w:rFonts w:ascii="Times New Roman" w:hAnsi="Times New Roman" w:cs="Times New Roman"/>
        </w:rPr>
        <w:t xml:space="preserve">. </w:t>
      </w:r>
      <w:r w:rsidRPr="00586982" w:rsidR="004C5AC9">
        <w:rPr>
          <w:rFonts w:ascii="Times New Roman" w:hAnsi="Times New Roman" w:cs="Times New Roman"/>
        </w:rPr>
        <w:t>If a PRA is developed</w:t>
      </w:r>
      <w:r w:rsidRPr="00586982" w:rsidR="007F6271">
        <w:rPr>
          <w:rFonts w:ascii="Times New Roman" w:hAnsi="Times New Roman" w:cs="Times New Roman"/>
        </w:rPr>
        <w:t xml:space="preserve"> and peer reviewed in</w:t>
      </w:r>
      <w:r w:rsidRPr="00586982" w:rsidR="00741C1D">
        <w:rPr>
          <w:rFonts w:ascii="Times New Roman" w:hAnsi="Times New Roman" w:cs="Times New Roman"/>
        </w:rPr>
        <w:t xml:space="preserve"> </w:t>
      </w:r>
      <w:r w:rsidRPr="00586982" w:rsidR="007F6271">
        <w:rPr>
          <w:rFonts w:ascii="Times New Roman" w:hAnsi="Times New Roman" w:cs="Times New Roman"/>
        </w:rPr>
        <w:t>accord</w:t>
      </w:r>
      <w:r w:rsidRPr="00586982" w:rsidR="00464DC9">
        <w:rPr>
          <w:rFonts w:ascii="Times New Roman" w:hAnsi="Times New Roman" w:cs="Times New Roman"/>
        </w:rPr>
        <w:t>a</w:t>
      </w:r>
      <w:r w:rsidRPr="00586982" w:rsidR="007F6271">
        <w:rPr>
          <w:rFonts w:ascii="Times New Roman" w:hAnsi="Times New Roman" w:cs="Times New Roman"/>
        </w:rPr>
        <w:t>nce with</w:t>
      </w:r>
      <w:r w:rsidRPr="00586982" w:rsidR="00741C1D">
        <w:rPr>
          <w:rFonts w:ascii="Times New Roman" w:hAnsi="Times New Roman" w:cs="Times New Roman"/>
        </w:rPr>
        <w:t xml:space="preserve"> </w:t>
      </w:r>
      <w:r w:rsidRPr="00586982" w:rsidR="00464DC9">
        <w:rPr>
          <w:rFonts w:ascii="Times New Roman" w:hAnsi="Times New Roman" w:cs="Times New Roman"/>
        </w:rPr>
        <w:t>RG</w:t>
      </w:r>
      <w:r w:rsidR="00D244DD">
        <w:rPr>
          <w:rFonts w:ascii="Times New Roman" w:hAnsi="Times New Roman" w:cs="Times New Roman"/>
        </w:rPr>
        <w:t> </w:t>
      </w:r>
      <w:r w:rsidRPr="00586982" w:rsidR="00464DC9">
        <w:rPr>
          <w:rFonts w:ascii="Times New Roman" w:hAnsi="Times New Roman" w:cs="Times New Roman"/>
        </w:rPr>
        <w:t>1.200</w:t>
      </w:r>
      <w:r w:rsidRPr="00586982" w:rsidR="00A2794A">
        <w:rPr>
          <w:rFonts w:ascii="Times New Roman" w:hAnsi="Times New Roman" w:cs="Times New Roman"/>
        </w:rPr>
        <w:t xml:space="preserve"> and DC/COL</w:t>
      </w:r>
      <w:r w:rsidR="00D244DD">
        <w:rPr>
          <w:rFonts w:ascii="Times New Roman" w:hAnsi="Times New Roman" w:cs="Times New Roman"/>
        </w:rPr>
        <w:noBreakHyphen/>
      </w:r>
      <w:r w:rsidRPr="00586982" w:rsidR="00A2794A">
        <w:rPr>
          <w:rFonts w:ascii="Times New Roman" w:hAnsi="Times New Roman" w:cs="Times New Roman"/>
        </w:rPr>
        <w:t>ISG</w:t>
      </w:r>
      <w:r w:rsidR="00D244DD">
        <w:rPr>
          <w:rFonts w:ascii="Times New Roman" w:hAnsi="Times New Roman" w:cs="Times New Roman"/>
        </w:rPr>
        <w:noBreakHyphen/>
      </w:r>
      <w:r w:rsidRPr="00586982" w:rsidR="00A2794A">
        <w:rPr>
          <w:rFonts w:ascii="Times New Roman" w:hAnsi="Times New Roman" w:cs="Times New Roman"/>
        </w:rPr>
        <w:t>028</w:t>
      </w:r>
      <w:r w:rsidRPr="00586982" w:rsidR="00464DC9">
        <w:rPr>
          <w:rFonts w:ascii="Times New Roman" w:hAnsi="Times New Roman" w:cs="Times New Roman"/>
        </w:rPr>
        <w:t xml:space="preserve"> </w:t>
      </w:r>
      <w:r w:rsidRPr="00586982" w:rsidR="002D5D12">
        <w:rPr>
          <w:rFonts w:ascii="Times New Roman" w:hAnsi="Times New Roman" w:cs="Times New Roman"/>
        </w:rPr>
        <w:t xml:space="preserve">(for LWRs) </w:t>
      </w:r>
      <w:r w:rsidRPr="00586982" w:rsidR="00464DC9">
        <w:rPr>
          <w:rFonts w:ascii="Times New Roman" w:hAnsi="Times New Roman" w:cs="Times New Roman"/>
        </w:rPr>
        <w:t>o</w:t>
      </w:r>
      <w:r w:rsidRPr="00586982" w:rsidR="00A67067">
        <w:rPr>
          <w:rFonts w:ascii="Times New Roman" w:hAnsi="Times New Roman" w:cs="Times New Roman"/>
        </w:rPr>
        <w:t>r</w:t>
      </w:r>
      <w:r w:rsidRPr="00586982" w:rsidR="00464DC9">
        <w:rPr>
          <w:rFonts w:ascii="Times New Roman" w:hAnsi="Times New Roman" w:cs="Times New Roman"/>
        </w:rPr>
        <w:t xml:space="preserve"> RG</w:t>
      </w:r>
      <w:r w:rsidR="00D244DD">
        <w:rPr>
          <w:rFonts w:ascii="Times New Roman" w:hAnsi="Times New Roman" w:cs="Times New Roman"/>
        </w:rPr>
        <w:t> </w:t>
      </w:r>
      <w:r w:rsidRPr="00586982" w:rsidR="00464DC9">
        <w:rPr>
          <w:rFonts w:ascii="Times New Roman" w:hAnsi="Times New Roman" w:cs="Times New Roman"/>
        </w:rPr>
        <w:t>1.247</w:t>
      </w:r>
      <w:r w:rsidRPr="00586982" w:rsidR="002D5D12">
        <w:rPr>
          <w:rFonts w:ascii="Times New Roman" w:hAnsi="Times New Roman" w:cs="Times New Roman"/>
        </w:rPr>
        <w:t xml:space="preserve"> (for </w:t>
      </w:r>
      <w:r w:rsidRPr="00586982" w:rsidR="00713C74">
        <w:rPr>
          <w:rFonts w:ascii="Times New Roman" w:hAnsi="Times New Roman" w:cs="Times New Roman"/>
        </w:rPr>
        <w:t>non-</w:t>
      </w:r>
      <w:r w:rsidRPr="00586982" w:rsidR="002D5D12">
        <w:rPr>
          <w:rFonts w:ascii="Times New Roman" w:hAnsi="Times New Roman" w:cs="Times New Roman"/>
        </w:rPr>
        <w:t>LWRs)</w:t>
      </w:r>
      <w:r w:rsidRPr="00586982" w:rsidR="00464DC9">
        <w:rPr>
          <w:rFonts w:ascii="Times New Roman" w:hAnsi="Times New Roman" w:cs="Times New Roman"/>
        </w:rPr>
        <w:t xml:space="preserve">, then </w:t>
      </w:r>
      <w:r w:rsidRPr="00586982" w:rsidR="00A30D58">
        <w:rPr>
          <w:rFonts w:ascii="Times New Roman" w:hAnsi="Times New Roman" w:cs="Times New Roman"/>
        </w:rPr>
        <w:t xml:space="preserve">completion of </w:t>
      </w:r>
      <w:r w:rsidRPr="00586982" w:rsidR="0050261D">
        <w:rPr>
          <w:rFonts w:ascii="Times New Roman" w:hAnsi="Times New Roman" w:cs="Times New Roman"/>
        </w:rPr>
        <w:t>a</w:t>
      </w:r>
      <w:r w:rsidRPr="00586982" w:rsidR="00464DC9">
        <w:rPr>
          <w:rFonts w:ascii="Times New Roman" w:hAnsi="Times New Roman" w:cs="Times New Roman"/>
        </w:rPr>
        <w:t xml:space="preserve"> peer review </w:t>
      </w:r>
      <w:r w:rsidRPr="00586982" w:rsidR="00A30D58">
        <w:rPr>
          <w:rFonts w:ascii="Times New Roman" w:hAnsi="Times New Roman" w:cs="Times New Roman"/>
        </w:rPr>
        <w:t xml:space="preserve">and disposition of its F&amp;Os </w:t>
      </w:r>
      <w:r w:rsidRPr="00586982" w:rsidR="00701377">
        <w:rPr>
          <w:rFonts w:ascii="Times New Roman" w:hAnsi="Times New Roman" w:cs="Times New Roman"/>
        </w:rPr>
        <w:t xml:space="preserve">will </w:t>
      </w:r>
      <w:r w:rsidRPr="00586982" w:rsidR="007D5061">
        <w:rPr>
          <w:rFonts w:ascii="Times New Roman" w:hAnsi="Times New Roman" w:cs="Times New Roman"/>
        </w:rPr>
        <w:t>satisf</w:t>
      </w:r>
      <w:r w:rsidRPr="00586982" w:rsidR="00701377">
        <w:rPr>
          <w:rFonts w:ascii="Times New Roman" w:hAnsi="Times New Roman" w:cs="Times New Roman"/>
        </w:rPr>
        <w:t>y</w:t>
      </w:r>
      <w:r w:rsidRPr="00586982" w:rsidR="007D5061">
        <w:rPr>
          <w:rFonts w:ascii="Times New Roman" w:hAnsi="Times New Roman" w:cs="Times New Roman"/>
        </w:rPr>
        <w:t xml:space="preserve"> the </w:t>
      </w:r>
      <w:r w:rsidRPr="00586982" w:rsidR="00085073">
        <w:rPr>
          <w:rFonts w:ascii="Times New Roman" w:hAnsi="Times New Roman" w:cs="Times New Roman"/>
        </w:rPr>
        <w:t>staff’s expectations</w:t>
      </w:r>
      <w:r w:rsidRPr="00586982" w:rsidR="007D5061">
        <w:rPr>
          <w:rFonts w:ascii="Times New Roman" w:hAnsi="Times New Roman" w:cs="Times New Roman"/>
        </w:rPr>
        <w:t xml:space="preserve"> </w:t>
      </w:r>
      <w:r w:rsidRPr="00586982" w:rsidR="00085073">
        <w:rPr>
          <w:rFonts w:ascii="Times New Roman" w:hAnsi="Times New Roman" w:cs="Times New Roman"/>
        </w:rPr>
        <w:t>concerning</w:t>
      </w:r>
      <w:r w:rsidRPr="00586982" w:rsidR="007D5061">
        <w:rPr>
          <w:rFonts w:ascii="Times New Roman" w:hAnsi="Times New Roman" w:cs="Times New Roman"/>
        </w:rPr>
        <w:t xml:space="preserve"> the independent review.</w:t>
      </w:r>
    </w:p>
    <w:p w:rsidR="00404F53" w:rsidP="002F3C90" w14:paraId="28B02554" w14:textId="0894CBEE">
      <w:pPr>
        <w:spacing w:after="0" w:line="240" w:lineRule="auto"/>
        <w:ind w:firstLine="720"/>
        <w:rPr>
          <w:rFonts w:ascii="Times New Roman" w:hAnsi="Times New Roman" w:cs="Times New Roman"/>
        </w:rPr>
      </w:pPr>
    </w:p>
    <w:p w:rsidR="00404F53" w:rsidRPr="00586982" w:rsidP="002F3C90" w14:paraId="4F6016B8" w14:textId="07E4FB47">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Since the </w:t>
      </w:r>
      <w:r w:rsidRPr="00586982" w:rsidR="006D23BF">
        <w:rPr>
          <w:rFonts w:ascii="Times New Roman" w:hAnsi="Times New Roman" w:cs="Times New Roman"/>
        </w:rPr>
        <w:t xml:space="preserve">systematic and comprehensive search for initiating </w:t>
      </w:r>
      <w:r w:rsidRPr="00586982" w:rsidR="007B34DD">
        <w:rPr>
          <w:rFonts w:ascii="Times New Roman" w:hAnsi="Times New Roman" w:cs="Times New Roman"/>
        </w:rPr>
        <w:t xml:space="preserve">events </w:t>
      </w:r>
      <w:r w:rsidRPr="00586982" w:rsidR="006D23BF">
        <w:rPr>
          <w:rFonts w:ascii="Times New Roman" w:hAnsi="Times New Roman" w:cs="Times New Roman"/>
        </w:rPr>
        <w:t xml:space="preserve">is used, in part, to inform the selection of licensing events, </w:t>
      </w:r>
      <w:r w:rsidRPr="002E73B9" w:rsidR="002C7F3F">
        <w:rPr>
          <w:rFonts w:ascii="Times New Roman" w:hAnsi="Times New Roman" w:cs="Times New Roman"/>
        </w:rPr>
        <w:t xml:space="preserve">it should be developed under the </w:t>
      </w:r>
      <w:r w:rsidRPr="00830EB6" w:rsidR="00035390">
        <w:rPr>
          <w:rFonts w:ascii="Times New Roman" w:hAnsi="Times New Roman" w:cs="Times New Roman"/>
        </w:rPr>
        <w:t xml:space="preserve">established </w:t>
      </w:r>
      <w:r w:rsidR="00D244DD">
        <w:rPr>
          <w:rFonts w:ascii="Times New Roman" w:hAnsi="Times New Roman" w:cs="Times New Roman"/>
        </w:rPr>
        <w:t>q</w:t>
      </w:r>
      <w:r w:rsidRPr="00830EB6" w:rsidR="00035390">
        <w:rPr>
          <w:rFonts w:ascii="Times New Roman" w:hAnsi="Times New Roman" w:cs="Times New Roman"/>
        </w:rPr>
        <w:t xml:space="preserve">uality </w:t>
      </w:r>
      <w:r w:rsidR="00D244DD">
        <w:rPr>
          <w:rFonts w:ascii="Times New Roman" w:hAnsi="Times New Roman" w:cs="Times New Roman"/>
        </w:rPr>
        <w:t>c</w:t>
      </w:r>
      <w:r w:rsidRPr="00830EB6" w:rsidR="00035390">
        <w:rPr>
          <w:rFonts w:ascii="Times New Roman" w:hAnsi="Times New Roman" w:cs="Times New Roman"/>
        </w:rPr>
        <w:t xml:space="preserve">ontrol </w:t>
      </w:r>
      <w:r w:rsidRPr="00830EB6" w:rsidR="00DF7E7F">
        <w:rPr>
          <w:rFonts w:ascii="Times New Roman" w:hAnsi="Times New Roman" w:cs="Times New Roman"/>
        </w:rPr>
        <w:t>process</w:t>
      </w:r>
      <w:r w:rsidRPr="002E73B9" w:rsidR="00BB3DC8">
        <w:rPr>
          <w:rFonts w:ascii="Times New Roman" w:hAnsi="Times New Roman" w:cs="Times New Roman"/>
        </w:rPr>
        <w:t>.</w:t>
      </w:r>
    </w:p>
    <w:p w:rsidR="0008110E" w:rsidP="002F3C90" w14:paraId="7B78064E" w14:textId="77777777">
      <w:pPr>
        <w:spacing w:after="0" w:line="240" w:lineRule="auto"/>
        <w:ind w:firstLine="720"/>
        <w:rPr>
          <w:rFonts w:ascii="Times New Roman" w:hAnsi="Times New Roman" w:cs="Times New Roman"/>
        </w:rPr>
      </w:pPr>
    </w:p>
    <w:p w:rsidR="004A601B" w:rsidRPr="00586982" w:rsidP="002F3C90" w14:paraId="284B358B" w14:textId="6B747A58">
      <w:pPr>
        <w:pStyle w:val="Heading2"/>
        <w:spacing w:line="240" w:lineRule="auto"/>
      </w:pPr>
      <w:r w:rsidRPr="00586982">
        <w:t>Event Sequence</w:t>
      </w:r>
      <w:r w:rsidRPr="00586982">
        <w:t xml:space="preserve"> </w:t>
      </w:r>
      <w:r w:rsidRPr="00586982" w:rsidR="00C853E0">
        <w:t>Selection</w:t>
      </w:r>
    </w:p>
    <w:p w:rsidR="009F78A2" w:rsidP="002F3C90" w14:paraId="573CFD05" w14:textId="77777777">
      <w:pPr>
        <w:spacing w:after="0" w:line="240" w:lineRule="auto"/>
        <w:rPr>
          <w:rFonts w:ascii="Times New Roman" w:hAnsi="Times New Roman" w:cs="Times New Roman"/>
          <w:b/>
          <w:bCs/>
        </w:rPr>
      </w:pPr>
    </w:p>
    <w:p w:rsidR="00462184" w:rsidRPr="00E75EB5" w:rsidP="002F3C90" w14:paraId="3DE264A0" w14:textId="7157AA81">
      <w:pPr>
        <w:pStyle w:val="Heading3"/>
        <w:spacing w:line="240" w:lineRule="auto"/>
      </w:pPr>
      <w:r w:rsidRPr="00586982">
        <w:rPr>
          <w:i/>
          <w:iCs/>
        </w:rPr>
        <w:t xml:space="preserve">Apply </w:t>
      </w:r>
      <w:r w:rsidRPr="00586982" w:rsidR="00874205">
        <w:rPr>
          <w:i/>
          <w:iCs/>
        </w:rPr>
        <w:t xml:space="preserve">Selected Event Sequence Delineation Analytical Methods </w:t>
      </w:r>
      <w:r w:rsidRPr="00586982">
        <w:rPr>
          <w:i/>
          <w:iCs/>
        </w:rPr>
        <w:t>(</w:t>
      </w:r>
      <w:r w:rsidRPr="00586982" w:rsidR="00604333">
        <w:rPr>
          <w:i/>
          <w:iCs/>
        </w:rPr>
        <w:t>Box</w:t>
      </w:r>
      <w:r w:rsidR="00DC62BB">
        <w:rPr>
          <w:i/>
          <w:iCs/>
        </w:rPr>
        <w:t> </w:t>
      </w:r>
      <w:r w:rsidRPr="00586982" w:rsidR="00604333">
        <w:rPr>
          <w:i/>
          <w:iCs/>
        </w:rPr>
        <w:t>1</w:t>
      </w:r>
      <w:r w:rsidRPr="00586982" w:rsidR="007F194F">
        <w:rPr>
          <w:i/>
          <w:iCs/>
        </w:rPr>
        <w:t>5</w:t>
      </w:r>
      <w:r w:rsidRPr="00586982" w:rsidR="00604333">
        <w:rPr>
          <w:i/>
          <w:iCs/>
        </w:rPr>
        <w:t>, Principle #3)</w:t>
      </w:r>
    </w:p>
    <w:p w:rsidR="007A3978" w:rsidP="002F3C90" w14:paraId="054B452A" w14:textId="33A9113C">
      <w:pPr>
        <w:spacing w:after="0" w:line="240" w:lineRule="auto"/>
        <w:rPr>
          <w:rFonts w:ascii="Times New Roman" w:hAnsi="Times New Roman" w:cs="Times New Roman"/>
        </w:rPr>
      </w:pPr>
    </w:p>
    <w:p w:rsidR="00F94DB7" w:rsidRPr="00072F75" w:rsidP="002F3C90" w14:paraId="2E3CBAB6" w14:textId="06AE2700">
      <w:pPr>
        <w:pStyle w:val="ListParagraph"/>
        <w:numPr>
          <w:ilvl w:val="0"/>
          <w:numId w:val="56"/>
        </w:numPr>
        <w:spacing w:after="0" w:line="240" w:lineRule="auto"/>
        <w:ind w:left="720" w:hanging="720"/>
        <w:rPr>
          <w:rFonts w:ascii="Times New Roman" w:hAnsi="Times New Roman" w:cs="Times New Roman"/>
          <w:color w:val="000000"/>
        </w:rPr>
      </w:pPr>
      <w:r w:rsidRPr="00072F75">
        <w:rPr>
          <w:rFonts w:ascii="Times New Roman" w:hAnsi="Times New Roman" w:cs="Times New Roman"/>
          <w:color w:val="000000"/>
        </w:rPr>
        <w:t>Similar to</w:t>
      </w:r>
      <w:r w:rsidRPr="00072F75">
        <w:rPr>
          <w:rFonts w:ascii="Times New Roman" w:hAnsi="Times New Roman" w:cs="Times New Roman"/>
          <w:color w:val="000000"/>
        </w:rPr>
        <w:t xml:space="preserve"> the initiating event search and grouping, the event sequence analysis </w:t>
      </w:r>
      <w:r w:rsidRPr="00072F75" w:rsidR="00663004">
        <w:rPr>
          <w:rFonts w:ascii="Times New Roman" w:hAnsi="Times New Roman" w:cs="Times New Roman"/>
          <w:color w:val="000000"/>
        </w:rPr>
        <w:t xml:space="preserve">should follow </w:t>
      </w:r>
      <w:r w:rsidRPr="00072F75">
        <w:rPr>
          <w:rFonts w:ascii="Times New Roman" w:hAnsi="Times New Roman" w:cs="Times New Roman"/>
          <w:color w:val="000000"/>
        </w:rPr>
        <w:t>a structured, systematic process.</w:t>
      </w:r>
      <w:r w:rsidRPr="00072F75" w:rsidR="00A218DD">
        <w:rPr>
          <w:rFonts w:ascii="Times New Roman" w:hAnsi="Times New Roman" w:cs="Times New Roman"/>
          <w:color w:val="000000"/>
        </w:rPr>
        <w:t xml:space="preserve"> </w:t>
      </w:r>
      <w:r w:rsidRPr="00072F75" w:rsidR="009F2847">
        <w:rPr>
          <w:rFonts w:ascii="Times New Roman" w:hAnsi="Times New Roman" w:cs="Times New Roman"/>
          <w:color w:val="000000"/>
        </w:rPr>
        <w:t xml:space="preserve">The event sequence analysis </w:t>
      </w:r>
      <w:r w:rsidRPr="00072F75" w:rsidR="00D07AD2">
        <w:rPr>
          <w:rFonts w:ascii="Times New Roman" w:hAnsi="Times New Roman" w:cs="Times New Roman"/>
          <w:color w:val="000000"/>
        </w:rPr>
        <w:t>should</w:t>
      </w:r>
      <w:r w:rsidRPr="00072F75" w:rsidR="009F2847">
        <w:rPr>
          <w:rFonts w:ascii="Times New Roman" w:hAnsi="Times New Roman" w:cs="Times New Roman"/>
          <w:color w:val="000000"/>
        </w:rPr>
        <w:t xml:space="preserve"> describe the scenarios that can lead to the release of radioactive material following each </w:t>
      </w:r>
      <w:r w:rsidRPr="00072F75" w:rsidR="00866A57">
        <w:rPr>
          <w:rFonts w:ascii="Times New Roman" w:hAnsi="Times New Roman" w:cs="Times New Roman"/>
          <w:color w:val="000000"/>
        </w:rPr>
        <w:t xml:space="preserve">identified </w:t>
      </w:r>
      <w:r w:rsidRPr="00072F75" w:rsidR="009F2847">
        <w:rPr>
          <w:rFonts w:ascii="Times New Roman" w:hAnsi="Times New Roman" w:cs="Times New Roman"/>
          <w:color w:val="000000"/>
        </w:rPr>
        <w:t xml:space="preserve">initiating event for all plant operating states and sources of radioactive material. These scenarios </w:t>
      </w:r>
      <w:r w:rsidRPr="00072F75" w:rsidR="00D07AD2">
        <w:rPr>
          <w:rFonts w:ascii="Times New Roman" w:hAnsi="Times New Roman" w:cs="Times New Roman"/>
          <w:color w:val="000000"/>
        </w:rPr>
        <w:t>should</w:t>
      </w:r>
      <w:r w:rsidRPr="00072F75" w:rsidR="009F2847">
        <w:rPr>
          <w:rFonts w:ascii="Times New Roman" w:hAnsi="Times New Roman" w:cs="Times New Roman"/>
          <w:color w:val="000000"/>
        </w:rPr>
        <w:t xml:space="preserve"> address system responses and operator actions</w:t>
      </w:r>
      <w:r w:rsidRPr="00072F75" w:rsidR="00A52012">
        <w:rPr>
          <w:rFonts w:ascii="Times New Roman" w:hAnsi="Times New Roman" w:cs="Times New Roman"/>
          <w:color w:val="000000"/>
        </w:rPr>
        <w:t xml:space="preserve"> </w:t>
      </w:r>
      <w:r w:rsidRPr="00072F75" w:rsidR="009F2847">
        <w:rPr>
          <w:rFonts w:ascii="Times New Roman" w:hAnsi="Times New Roman" w:cs="Times New Roman"/>
          <w:color w:val="000000"/>
        </w:rPr>
        <w:t>that support the key safety functions necessary to protect</w:t>
      </w:r>
      <w:r w:rsidRPr="00072F75" w:rsidR="00A52012">
        <w:rPr>
          <w:rFonts w:ascii="Times New Roman" w:hAnsi="Times New Roman" w:cs="Times New Roman"/>
          <w:color w:val="000000"/>
        </w:rPr>
        <w:t xml:space="preserve"> the</w:t>
      </w:r>
      <w:r w:rsidRPr="00072F75" w:rsidR="009F2847">
        <w:rPr>
          <w:rFonts w:ascii="Times New Roman" w:hAnsi="Times New Roman" w:cs="Times New Roman"/>
          <w:color w:val="000000"/>
        </w:rPr>
        <w:t xml:space="preserve"> radionuclide barriers and to prevent or mitigate the release of radioactive material</w:t>
      </w:r>
      <w:r w:rsidRPr="00072F75">
        <w:rPr>
          <w:rFonts w:ascii="Times New Roman" w:hAnsi="Times New Roman" w:cs="Times New Roman"/>
          <w:color w:val="000000"/>
        </w:rPr>
        <w:t>.</w:t>
      </w:r>
      <w:r w:rsidRPr="00072F75" w:rsidR="00A218DD">
        <w:rPr>
          <w:rFonts w:ascii="Times New Roman" w:hAnsi="Times New Roman" w:cs="Times New Roman"/>
          <w:color w:val="000000"/>
        </w:rPr>
        <w:t xml:space="preserve"> </w:t>
      </w:r>
      <w:r w:rsidRPr="00072F75">
        <w:rPr>
          <w:rFonts w:ascii="Times New Roman" w:hAnsi="Times New Roman" w:cs="Times New Roman"/>
          <w:color w:val="000000"/>
        </w:rPr>
        <w:t>The event sequences</w:t>
      </w:r>
      <w:r w:rsidRPr="00072F75" w:rsidR="005E752D">
        <w:rPr>
          <w:rFonts w:ascii="Times New Roman" w:hAnsi="Times New Roman" w:cs="Times New Roman"/>
          <w:color w:val="000000"/>
        </w:rPr>
        <w:t xml:space="preserve"> should </w:t>
      </w:r>
      <w:r w:rsidRPr="00072F75">
        <w:rPr>
          <w:rFonts w:ascii="Times New Roman" w:hAnsi="Times New Roman" w:cs="Times New Roman"/>
          <w:color w:val="000000"/>
        </w:rPr>
        <w:t>account for the systems that are used (and available) and operator actions performed to mitigate the initiator, based on the defined success criteria, plant operating procedures</w:t>
      </w:r>
      <w:r w:rsidRPr="00072F75" w:rsidR="00516EA7">
        <w:rPr>
          <w:rFonts w:ascii="Times New Roman" w:hAnsi="Times New Roman" w:cs="Times New Roman"/>
          <w:color w:val="000000"/>
        </w:rPr>
        <w:t>,</w:t>
      </w:r>
      <w:r w:rsidRPr="00072F75">
        <w:rPr>
          <w:rFonts w:ascii="Times New Roman" w:hAnsi="Times New Roman" w:cs="Times New Roman"/>
          <w:color w:val="000000"/>
        </w:rPr>
        <w:t xml:space="preserve"> and training. The availability of a system includes consideration of the functional, phenomenological, and operational dependencies and interfac</w:t>
      </w:r>
      <w:r w:rsidRPr="00072F75" w:rsidR="00625BA1">
        <w:rPr>
          <w:rFonts w:ascii="Times New Roman" w:hAnsi="Times New Roman" w:cs="Times New Roman"/>
          <w:color w:val="000000"/>
        </w:rPr>
        <w:t>es</w:t>
      </w:r>
      <w:r w:rsidRPr="00072F75">
        <w:rPr>
          <w:rFonts w:ascii="Times New Roman" w:hAnsi="Times New Roman" w:cs="Times New Roman"/>
          <w:color w:val="000000"/>
        </w:rPr>
        <w:t xml:space="preserve"> </w:t>
      </w:r>
      <w:r w:rsidRPr="00072F75" w:rsidR="00DC62BB">
        <w:rPr>
          <w:rFonts w:ascii="Times New Roman" w:hAnsi="Times New Roman" w:cs="Times New Roman"/>
          <w:color w:val="000000"/>
        </w:rPr>
        <w:t xml:space="preserve">among </w:t>
      </w:r>
      <w:r w:rsidRPr="00072F75">
        <w:rPr>
          <w:rFonts w:ascii="Times New Roman" w:hAnsi="Times New Roman" w:cs="Times New Roman"/>
          <w:color w:val="000000"/>
        </w:rPr>
        <w:t xml:space="preserve">the various systems and operator actions during the accident progression. </w:t>
      </w:r>
      <w:r w:rsidRPr="00072F75" w:rsidR="00FD0915">
        <w:rPr>
          <w:rFonts w:ascii="Times New Roman" w:hAnsi="Times New Roman" w:cs="Times New Roman"/>
          <w:color w:val="000000"/>
        </w:rPr>
        <w:t>In addition, the event sequence analysis should consider</w:t>
      </w:r>
      <w:r w:rsidRPr="00072F75" w:rsidR="001C560E">
        <w:rPr>
          <w:rFonts w:ascii="Times New Roman" w:hAnsi="Times New Roman" w:cs="Times New Roman"/>
          <w:color w:val="000000"/>
        </w:rPr>
        <w:t xml:space="preserve"> secondary hazards </w:t>
      </w:r>
      <w:r w:rsidRPr="00072F75" w:rsidR="00BA6A79">
        <w:rPr>
          <w:rFonts w:ascii="Times New Roman" w:hAnsi="Times New Roman" w:cs="Times New Roman"/>
          <w:color w:val="000000"/>
        </w:rPr>
        <w:t xml:space="preserve">(e.g., </w:t>
      </w:r>
      <w:r w:rsidRPr="00072F75" w:rsidR="001C560E">
        <w:rPr>
          <w:rFonts w:ascii="Times New Roman" w:hAnsi="Times New Roman" w:cs="Times New Roman"/>
          <w:color w:val="000000"/>
        </w:rPr>
        <w:t xml:space="preserve">seismically induced internal floods and </w:t>
      </w:r>
      <w:r w:rsidRPr="00072F75" w:rsidR="00BA6A79">
        <w:rPr>
          <w:rFonts w:ascii="Times New Roman" w:hAnsi="Times New Roman" w:cs="Times New Roman"/>
          <w:color w:val="000000"/>
        </w:rPr>
        <w:t xml:space="preserve">internal </w:t>
      </w:r>
      <w:r w:rsidRPr="00072F75" w:rsidR="001C560E">
        <w:rPr>
          <w:rFonts w:ascii="Times New Roman" w:hAnsi="Times New Roman" w:cs="Times New Roman"/>
          <w:color w:val="000000"/>
        </w:rPr>
        <w:t>fires</w:t>
      </w:r>
      <w:r w:rsidRPr="00072F75" w:rsidR="00BA6A79">
        <w:rPr>
          <w:rFonts w:ascii="Times New Roman" w:hAnsi="Times New Roman" w:cs="Times New Roman"/>
          <w:color w:val="000000"/>
        </w:rPr>
        <w:t xml:space="preserve">) and coexistent hazards (e.g., </w:t>
      </w:r>
      <w:r w:rsidRPr="00072F75" w:rsidR="00153286">
        <w:rPr>
          <w:rFonts w:ascii="Times New Roman" w:hAnsi="Times New Roman" w:cs="Times New Roman"/>
          <w:color w:val="000000"/>
        </w:rPr>
        <w:t xml:space="preserve">wind-driven rain, </w:t>
      </w:r>
      <w:r w:rsidR="00DD7BE8">
        <w:rPr>
          <w:rFonts w:ascii="Times New Roman" w:hAnsi="Times New Roman" w:cs="Times New Roman"/>
          <w:color w:val="000000"/>
        </w:rPr>
        <w:t xml:space="preserve">external flooding </w:t>
      </w:r>
      <w:r w:rsidR="00314C1B">
        <w:rPr>
          <w:rFonts w:ascii="Times New Roman" w:hAnsi="Times New Roman" w:cs="Times New Roman"/>
          <w:color w:val="000000"/>
        </w:rPr>
        <w:t xml:space="preserve">caused by </w:t>
      </w:r>
      <w:r w:rsidRPr="00072F75" w:rsidR="00072F75">
        <w:rPr>
          <w:rFonts w:ascii="Times New Roman" w:hAnsi="Times New Roman" w:cs="Times New Roman"/>
          <w:color w:val="000000"/>
        </w:rPr>
        <w:t xml:space="preserve">a dam failure </w:t>
      </w:r>
      <w:r w:rsidR="00314C1B">
        <w:rPr>
          <w:rFonts w:ascii="Times New Roman" w:hAnsi="Times New Roman" w:cs="Times New Roman"/>
          <w:color w:val="000000"/>
        </w:rPr>
        <w:t xml:space="preserve">or </w:t>
      </w:r>
      <w:r w:rsidR="00F139B5">
        <w:rPr>
          <w:rFonts w:ascii="Times New Roman" w:hAnsi="Times New Roman" w:cs="Times New Roman"/>
          <w:color w:val="000000"/>
        </w:rPr>
        <w:t xml:space="preserve">a </w:t>
      </w:r>
      <w:r w:rsidR="00314C1B">
        <w:rPr>
          <w:rFonts w:ascii="Times New Roman" w:hAnsi="Times New Roman" w:cs="Times New Roman"/>
          <w:color w:val="000000"/>
        </w:rPr>
        <w:t xml:space="preserve">tsunami </w:t>
      </w:r>
      <w:r w:rsidRPr="00072F75" w:rsidR="00072F75">
        <w:rPr>
          <w:rFonts w:ascii="Times New Roman" w:hAnsi="Times New Roman" w:cs="Times New Roman"/>
          <w:color w:val="000000"/>
        </w:rPr>
        <w:t>following a seismic event)</w:t>
      </w:r>
      <w:r w:rsidR="00314C1B">
        <w:rPr>
          <w:rFonts w:ascii="Times New Roman" w:hAnsi="Times New Roman" w:cs="Times New Roman"/>
          <w:color w:val="000000"/>
        </w:rPr>
        <w:t>.</w:t>
      </w:r>
      <w:r w:rsidR="00792ACB">
        <w:rPr>
          <w:rFonts w:ascii="Times New Roman" w:hAnsi="Times New Roman" w:cs="Times New Roman"/>
          <w:color w:val="000000"/>
        </w:rPr>
        <w:t xml:space="preserve"> </w:t>
      </w:r>
      <w:r w:rsidR="00C65305">
        <w:rPr>
          <w:rFonts w:ascii="Times New Roman" w:hAnsi="Times New Roman" w:cs="Times New Roman"/>
          <w:color w:val="000000"/>
        </w:rPr>
        <w:t xml:space="preserve">The NRC staff has reviewed </w:t>
      </w:r>
      <w:r w:rsidR="00CE1D0E">
        <w:rPr>
          <w:rFonts w:ascii="Times New Roman" w:hAnsi="Times New Roman" w:cs="Times New Roman"/>
          <w:color w:val="000000"/>
        </w:rPr>
        <w:t>EPRI Report 3002012980, “</w:t>
      </w:r>
      <w:r w:rsidRPr="00CE1D0E" w:rsidR="00CE1D0E">
        <w:rPr>
          <w:rFonts w:ascii="Times New Roman" w:hAnsi="Times New Roman" w:cs="Times New Roman"/>
          <w:color w:val="000000"/>
        </w:rPr>
        <w:t xml:space="preserve">Methodology for Seismically Induced Internal Fire and Flood Probabilistic Risk Assessment,” (Ref. </w:t>
      </w:r>
      <w:r w:rsidR="006112DD">
        <w:rPr>
          <w:rFonts w:ascii="Times New Roman" w:hAnsi="Times New Roman" w:cs="Times New Roman"/>
          <w:color w:val="000000"/>
        </w:rPr>
        <w:t>2</w:t>
      </w:r>
      <w:r w:rsidR="00D85969">
        <w:rPr>
          <w:rFonts w:ascii="Times New Roman" w:hAnsi="Times New Roman" w:cs="Times New Roman"/>
          <w:color w:val="000000"/>
        </w:rPr>
        <w:t>7</w:t>
      </w:r>
      <w:r w:rsidRPr="00CE1D0E" w:rsidR="00CE1D0E">
        <w:rPr>
          <w:rFonts w:ascii="Times New Roman" w:hAnsi="Times New Roman" w:cs="Times New Roman"/>
          <w:color w:val="000000"/>
        </w:rPr>
        <w:t>)</w:t>
      </w:r>
      <w:r w:rsidR="00CE1D0E">
        <w:rPr>
          <w:rFonts w:ascii="Times New Roman" w:hAnsi="Times New Roman" w:cs="Times New Roman"/>
          <w:color w:val="000000"/>
        </w:rPr>
        <w:t xml:space="preserve"> and found that it</w:t>
      </w:r>
      <w:r w:rsidR="00DF4C6A">
        <w:rPr>
          <w:rFonts w:ascii="Times New Roman" w:hAnsi="Times New Roman" w:cs="Times New Roman"/>
          <w:color w:val="000000"/>
        </w:rPr>
        <w:t xml:space="preserve"> provides guidance that applicants and licensees may find useful. However, the NRC staff does not endorse EPRI Report 300</w:t>
      </w:r>
      <w:r w:rsidR="009C5E82">
        <w:rPr>
          <w:rFonts w:ascii="Times New Roman" w:hAnsi="Times New Roman" w:cs="Times New Roman"/>
          <w:color w:val="000000"/>
        </w:rPr>
        <w:t>2012980 in this revision of RG 1.254.</w:t>
      </w:r>
    </w:p>
    <w:p w:rsidR="00F94DB7" w:rsidRPr="00857A95" w:rsidP="002F3C90" w14:paraId="6AD3A2F8" w14:textId="77777777">
      <w:pPr>
        <w:autoSpaceDE w:val="0"/>
        <w:autoSpaceDN w:val="0"/>
        <w:adjustRightInd w:val="0"/>
        <w:spacing w:after="0" w:line="240" w:lineRule="auto"/>
        <w:rPr>
          <w:rFonts w:ascii="Times New Roman" w:hAnsi="Times New Roman" w:cs="Times New Roman"/>
          <w:color w:val="000000"/>
        </w:rPr>
      </w:pPr>
    </w:p>
    <w:p w:rsidR="008061F3" w:rsidRPr="00586982" w:rsidP="002F3C90" w14:paraId="66EB92A5" w14:textId="19A8261C">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If a PRA is being developed and peer reviewed in accordance with RG</w:t>
      </w:r>
      <w:r w:rsidR="00DC62BB">
        <w:rPr>
          <w:rFonts w:ascii="Times New Roman" w:hAnsi="Times New Roman" w:cs="Times New Roman"/>
        </w:rPr>
        <w:t> </w:t>
      </w:r>
      <w:r w:rsidRPr="00586982">
        <w:rPr>
          <w:rFonts w:ascii="Times New Roman" w:hAnsi="Times New Roman" w:cs="Times New Roman"/>
        </w:rPr>
        <w:t>1.200</w:t>
      </w:r>
      <w:r w:rsidRPr="00586982" w:rsidR="00A2794A">
        <w:rPr>
          <w:rFonts w:ascii="Times New Roman" w:hAnsi="Times New Roman" w:cs="Times New Roman"/>
        </w:rPr>
        <w:t xml:space="preserve"> and DC/COL</w:t>
      </w:r>
      <w:r w:rsidR="00DC62BB">
        <w:rPr>
          <w:rFonts w:ascii="Times New Roman" w:hAnsi="Times New Roman" w:cs="Times New Roman"/>
        </w:rPr>
        <w:noBreakHyphen/>
      </w:r>
      <w:r w:rsidRPr="00586982" w:rsidR="00A2794A">
        <w:rPr>
          <w:rFonts w:ascii="Times New Roman" w:hAnsi="Times New Roman" w:cs="Times New Roman"/>
        </w:rPr>
        <w:t>ISG</w:t>
      </w:r>
      <w:r w:rsidR="00DC62BB">
        <w:rPr>
          <w:rFonts w:ascii="Times New Roman" w:hAnsi="Times New Roman" w:cs="Times New Roman"/>
        </w:rPr>
        <w:noBreakHyphen/>
      </w:r>
      <w:r w:rsidRPr="00586982" w:rsidR="00A2794A">
        <w:rPr>
          <w:rFonts w:ascii="Times New Roman" w:hAnsi="Times New Roman" w:cs="Times New Roman"/>
        </w:rPr>
        <w:t xml:space="preserve">028 </w:t>
      </w:r>
      <w:r w:rsidRPr="00586982">
        <w:rPr>
          <w:rFonts w:ascii="Times New Roman" w:hAnsi="Times New Roman" w:cs="Times New Roman"/>
        </w:rPr>
        <w:t>(for LWRs) or RG</w:t>
      </w:r>
      <w:r w:rsidR="00DC62BB">
        <w:rPr>
          <w:rFonts w:ascii="Times New Roman" w:hAnsi="Times New Roman" w:cs="Times New Roman"/>
        </w:rPr>
        <w:t> </w:t>
      </w:r>
      <w:r w:rsidRPr="00586982">
        <w:rPr>
          <w:rFonts w:ascii="Times New Roman" w:hAnsi="Times New Roman" w:cs="Times New Roman"/>
        </w:rPr>
        <w:t xml:space="preserve">1.247 (for </w:t>
      </w:r>
      <w:r w:rsidRPr="00586982" w:rsidR="00713C74">
        <w:rPr>
          <w:rFonts w:ascii="Times New Roman" w:hAnsi="Times New Roman" w:cs="Times New Roman"/>
        </w:rPr>
        <w:t>non-</w:t>
      </w:r>
      <w:r w:rsidRPr="00586982">
        <w:rPr>
          <w:rFonts w:ascii="Times New Roman" w:hAnsi="Times New Roman" w:cs="Times New Roman"/>
        </w:rPr>
        <w:t xml:space="preserve">LWRs), </w:t>
      </w:r>
      <w:r w:rsidRPr="00586982" w:rsidR="00F71591">
        <w:rPr>
          <w:rFonts w:ascii="Times New Roman" w:hAnsi="Times New Roman" w:cs="Times New Roman"/>
        </w:rPr>
        <w:t xml:space="preserve">the </w:t>
      </w:r>
      <w:r w:rsidRPr="00586982" w:rsidR="00566757">
        <w:rPr>
          <w:rFonts w:ascii="Times New Roman" w:hAnsi="Times New Roman" w:cs="Times New Roman"/>
        </w:rPr>
        <w:t xml:space="preserve">guidance on </w:t>
      </w:r>
      <w:r w:rsidRPr="00586982" w:rsidR="00F71591">
        <w:rPr>
          <w:rFonts w:ascii="Times New Roman" w:hAnsi="Times New Roman" w:cs="Times New Roman"/>
        </w:rPr>
        <w:t>event sequence analysis</w:t>
      </w:r>
      <w:r w:rsidRPr="00586982">
        <w:rPr>
          <w:rFonts w:ascii="Times New Roman" w:hAnsi="Times New Roman" w:cs="Times New Roman"/>
        </w:rPr>
        <w:t xml:space="preserve"> </w:t>
      </w:r>
      <w:r w:rsidRPr="00586982" w:rsidR="0099598B">
        <w:rPr>
          <w:rFonts w:ascii="Times New Roman" w:hAnsi="Times New Roman" w:cs="Times New Roman"/>
        </w:rPr>
        <w:t>for a PRA</w:t>
      </w:r>
      <w:r w:rsidRPr="00586982">
        <w:rPr>
          <w:rFonts w:ascii="Times New Roman" w:hAnsi="Times New Roman" w:cs="Times New Roman"/>
        </w:rPr>
        <w:t xml:space="preserve"> in the corresponding</w:t>
      </w:r>
      <w:r w:rsidRPr="00586982" w:rsidR="002A3584">
        <w:rPr>
          <w:rFonts w:ascii="Times New Roman" w:hAnsi="Times New Roman" w:cs="Times New Roman"/>
        </w:rPr>
        <w:t xml:space="preserve"> RG and associated</w:t>
      </w:r>
      <w:r w:rsidRPr="00586982">
        <w:rPr>
          <w:rFonts w:ascii="Times New Roman" w:hAnsi="Times New Roman" w:cs="Times New Roman"/>
        </w:rPr>
        <w:t xml:space="preserve"> PRA standard</w:t>
      </w:r>
      <w:r w:rsidRPr="00586982" w:rsidR="00566757">
        <w:rPr>
          <w:rFonts w:ascii="Times New Roman" w:hAnsi="Times New Roman" w:cs="Times New Roman"/>
        </w:rPr>
        <w:t xml:space="preserve"> should be followed</w:t>
      </w:r>
      <w:r w:rsidRPr="00586982">
        <w:rPr>
          <w:rFonts w:ascii="Times New Roman" w:hAnsi="Times New Roman" w:cs="Times New Roman"/>
        </w:rPr>
        <w:t>.</w:t>
      </w:r>
    </w:p>
    <w:p w:rsidR="00237921" w:rsidP="002F3C90" w14:paraId="4F24FC79" w14:textId="4F39F8DB">
      <w:pPr>
        <w:autoSpaceDE w:val="0"/>
        <w:autoSpaceDN w:val="0"/>
        <w:adjustRightInd w:val="0"/>
        <w:spacing w:after="0" w:line="240" w:lineRule="auto"/>
        <w:rPr>
          <w:rFonts w:ascii="Times New Roman" w:hAnsi="Times New Roman" w:cs="Times New Roman"/>
          <w:color w:val="000000"/>
        </w:rPr>
      </w:pPr>
    </w:p>
    <w:p w:rsidR="007A3978" w:rsidRPr="00586982" w:rsidP="002F3C90" w14:paraId="7806EE61" w14:textId="37FD329D">
      <w:pPr>
        <w:pStyle w:val="Heading3"/>
        <w:spacing w:line="240" w:lineRule="auto"/>
        <w:ind w:left="0" w:firstLine="0"/>
        <w:rPr>
          <w:i/>
          <w:iCs/>
        </w:rPr>
      </w:pPr>
      <w:r w:rsidRPr="00586982">
        <w:rPr>
          <w:i/>
          <w:iCs/>
        </w:rPr>
        <w:t xml:space="preserve">Account </w:t>
      </w:r>
      <w:r w:rsidRPr="00586982" w:rsidR="00874205">
        <w:rPr>
          <w:i/>
          <w:iCs/>
        </w:rPr>
        <w:t xml:space="preserve">for Relevant Operating Experience </w:t>
      </w:r>
      <w:r w:rsidRPr="00586982" w:rsidR="00EB5EC8">
        <w:rPr>
          <w:i/>
          <w:iCs/>
        </w:rPr>
        <w:t>and</w:t>
      </w:r>
      <w:r w:rsidRPr="00586982" w:rsidR="00874205">
        <w:rPr>
          <w:i/>
          <w:iCs/>
        </w:rPr>
        <w:t xml:space="preserve"> for Insights </w:t>
      </w:r>
      <w:r w:rsidRPr="00586982" w:rsidR="00EB5EC8">
        <w:rPr>
          <w:i/>
          <w:iCs/>
        </w:rPr>
        <w:t>f</w:t>
      </w:r>
      <w:r w:rsidRPr="00586982" w:rsidR="00874205">
        <w:rPr>
          <w:i/>
          <w:iCs/>
        </w:rPr>
        <w:t xml:space="preserve">rom Earlier </w:t>
      </w:r>
      <w:r w:rsidRPr="00586982" w:rsidR="00C65DE5">
        <w:rPr>
          <w:i/>
          <w:iCs/>
        </w:rPr>
        <w:t xml:space="preserve">Relevant </w:t>
      </w:r>
      <w:r w:rsidRPr="00586982" w:rsidR="00874205">
        <w:rPr>
          <w:i/>
          <w:iCs/>
        </w:rPr>
        <w:t xml:space="preserve">Analyses in the Event Sequence Delineation </w:t>
      </w:r>
      <w:r w:rsidRPr="00586982" w:rsidR="00604333">
        <w:rPr>
          <w:i/>
          <w:iCs/>
        </w:rPr>
        <w:t>(Box</w:t>
      </w:r>
      <w:r w:rsidR="00DC62BB">
        <w:rPr>
          <w:i/>
          <w:iCs/>
        </w:rPr>
        <w:t> </w:t>
      </w:r>
      <w:r w:rsidRPr="00586982" w:rsidR="00604333">
        <w:rPr>
          <w:i/>
          <w:iCs/>
        </w:rPr>
        <w:t>1</w:t>
      </w:r>
      <w:r w:rsidRPr="00586982" w:rsidR="00936797">
        <w:rPr>
          <w:i/>
          <w:iCs/>
        </w:rPr>
        <w:t>6</w:t>
      </w:r>
      <w:r w:rsidRPr="00586982" w:rsidR="00604333">
        <w:rPr>
          <w:i/>
          <w:iCs/>
        </w:rPr>
        <w:t>, Principle #5)</w:t>
      </w:r>
    </w:p>
    <w:p w:rsidR="006F4ABF" w:rsidP="002F3C90" w14:paraId="45C87BB8" w14:textId="77777777">
      <w:pPr>
        <w:spacing w:after="0" w:line="240" w:lineRule="auto"/>
        <w:ind w:firstLine="720"/>
        <w:rPr>
          <w:rFonts w:ascii="Times New Roman" w:hAnsi="Times New Roman" w:cs="Times New Roman"/>
        </w:rPr>
      </w:pPr>
    </w:p>
    <w:p w:rsidR="006F4ABF" w:rsidRPr="00586982" w:rsidP="002F3C90" w14:paraId="40A999CA" w14:textId="2C66E1E1">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A</w:t>
      </w:r>
      <w:r w:rsidRPr="00586982">
        <w:rPr>
          <w:rFonts w:ascii="Times New Roman" w:hAnsi="Times New Roman" w:cs="Times New Roman"/>
        </w:rPr>
        <w:t xml:space="preserve"> review of the operating experience of similar plant designs, if any, </w:t>
      </w:r>
      <w:r w:rsidRPr="00586982" w:rsidR="00E7691E">
        <w:rPr>
          <w:rFonts w:ascii="Times New Roman" w:hAnsi="Times New Roman" w:cs="Times New Roman"/>
        </w:rPr>
        <w:t xml:space="preserve">and </w:t>
      </w:r>
      <w:r w:rsidRPr="00586982">
        <w:rPr>
          <w:rFonts w:ascii="Times New Roman" w:hAnsi="Times New Roman" w:cs="Times New Roman"/>
        </w:rPr>
        <w:t xml:space="preserve">any </w:t>
      </w:r>
      <w:r w:rsidRPr="00586982" w:rsidR="00BE183A">
        <w:rPr>
          <w:rFonts w:ascii="Times New Roman" w:hAnsi="Times New Roman" w:cs="Times New Roman"/>
        </w:rPr>
        <w:t>event sequence</w:t>
      </w:r>
      <w:r w:rsidRPr="00586982">
        <w:rPr>
          <w:rFonts w:ascii="Times New Roman" w:hAnsi="Times New Roman" w:cs="Times New Roman"/>
        </w:rPr>
        <w:t xml:space="preserve"> analyses performed for similar designs should be conducted to ensure that any possible insights are considered </w:t>
      </w:r>
      <w:r w:rsidRPr="00586982">
        <w:rPr>
          <w:rFonts w:ascii="Times New Roman" w:hAnsi="Times New Roman" w:cs="Times New Roman"/>
        </w:rPr>
        <w:t>in the event sequence delineation</w:t>
      </w:r>
      <w:r w:rsidRPr="00586982">
        <w:rPr>
          <w:rFonts w:ascii="Times New Roman" w:hAnsi="Times New Roman" w:cs="Times New Roman"/>
        </w:rPr>
        <w:t>.</w:t>
      </w:r>
    </w:p>
    <w:p w:rsidR="00770E56" w:rsidP="002F3C90" w14:paraId="656B77AA" w14:textId="66DA9830">
      <w:pPr>
        <w:spacing w:after="0" w:line="240" w:lineRule="auto"/>
        <w:rPr>
          <w:rFonts w:ascii="Times New Roman" w:hAnsi="Times New Roman" w:cs="Times New Roman"/>
        </w:rPr>
      </w:pPr>
    </w:p>
    <w:p w:rsidR="00770E56" w:rsidRPr="007B34DD" w:rsidP="002F3C90" w14:paraId="6B0D44B3" w14:textId="165E7EF1">
      <w:pPr>
        <w:pStyle w:val="Heading3"/>
        <w:spacing w:line="240" w:lineRule="auto"/>
        <w:ind w:left="0" w:firstLine="0"/>
      </w:pPr>
      <w:r w:rsidRPr="00586982">
        <w:rPr>
          <w:i/>
          <w:iCs/>
        </w:rPr>
        <w:t xml:space="preserve">Conduct </w:t>
      </w:r>
      <w:r w:rsidRPr="00586982" w:rsidR="00C5748B">
        <w:rPr>
          <w:i/>
          <w:iCs/>
        </w:rPr>
        <w:t xml:space="preserve">an Independent Review and Complete </w:t>
      </w:r>
      <w:r w:rsidR="00CB07CD">
        <w:rPr>
          <w:i/>
          <w:iCs/>
        </w:rPr>
        <w:t>Quality Control</w:t>
      </w:r>
      <w:r w:rsidRPr="00586982" w:rsidR="00CB07CD">
        <w:rPr>
          <w:i/>
          <w:iCs/>
        </w:rPr>
        <w:t xml:space="preserve"> </w:t>
      </w:r>
      <w:r w:rsidRPr="00586982" w:rsidR="00C5748B">
        <w:rPr>
          <w:i/>
          <w:iCs/>
        </w:rPr>
        <w:t>Activities for the Event Sequence Delineation (</w:t>
      </w:r>
      <w:r w:rsidRPr="00586982">
        <w:rPr>
          <w:i/>
          <w:iCs/>
        </w:rPr>
        <w:t>Box</w:t>
      </w:r>
      <w:r w:rsidR="00DC62BB">
        <w:rPr>
          <w:i/>
          <w:iCs/>
        </w:rPr>
        <w:t> </w:t>
      </w:r>
      <w:r w:rsidRPr="00586982" w:rsidR="00C5748B">
        <w:rPr>
          <w:i/>
          <w:iCs/>
        </w:rPr>
        <w:t>1</w:t>
      </w:r>
      <w:r w:rsidRPr="00586982" w:rsidR="00936797">
        <w:rPr>
          <w:i/>
          <w:iCs/>
        </w:rPr>
        <w:t>7</w:t>
      </w:r>
      <w:r w:rsidRPr="00586982" w:rsidR="00C5748B">
        <w:rPr>
          <w:i/>
          <w:iCs/>
        </w:rPr>
        <w:t xml:space="preserve">, </w:t>
      </w:r>
      <w:r w:rsidRPr="00586982">
        <w:rPr>
          <w:i/>
          <w:iCs/>
        </w:rPr>
        <w:t xml:space="preserve">Principle </w:t>
      </w:r>
      <w:r w:rsidRPr="00586982" w:rsidR="00C5748B">
        <w:rPr>
          <w:i/>
          <w:iCs/>
        </w:rPr>
        <w:t>#5)</w:t>
      </w:r>
    </w:p>
    <w:p w:rsidR="00747C83" w:rsidP="002F3C90" w14:paraId="6B06B584" w14:textId="1BACF028">
      <w:pPr>
        <w:spacing w:after="0" w:line="240" w:lineRule="auto"/>
        <w:rPr>
          <w:rFonts w:ascii="Times New Roman" w:hAnsi="Times New Roman" w:cs="Times New Roman"/>
        </w:rPr>
      </w:pPr>
    </w:p>
    <w:p w:rsidR="00163216" w:rsidRPr="00586982" w:rsidP="002F3C90" w14:paraId="1DD667E4" w14:textId="1D8818FA">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The process and results of the event sequence delineation should be independently reviewed to help </w:t>
      </w:r>
      <w:r w:rsidR="009630EE">
        <w:rPr>
          <w:rFonts w:ascii="Times New Roman" w:hAnsi="Times New Roman" w:cs="Times New Roman"/>
        </w:rPr>
        <w:t>en</w:t>
      </w:r>
      <w:r w:rsidRPr="00586982">
        <w:rPr>
          <w:rFonts w:ascii="Times New Roman" w:hAnsi="Times New Roman" w:cs="Times New Roman"/>
        </w:rPr>
        <w:t xml:space="preserve">sure that the list of </w:t>
      </w:r>
      <w:r w:rsidRPr="00586982">
        <w:rPr>
          <w:rFonts w:ascii="Times New Roman" w:hAnsi="Times New Roman" w:cs="Times New Roman"/>
        </w:rPr>
        <w:t>initiating events</w:t>
      </w:r>
      <w:r w:rsidRPr="00586982">
        <w:rPr>
          <w:rFonts w:ascii="Times New Roman" w:hAnsi="Times New Roman" w:cs="Times New Roman"/>
        </w:rPr>
        <w:t xml:space="preserve"> is </w:t>
      </w:r>
      <w:r w:rsidRPr="00586982" w:rsidR="004F3B71">
        <w:rPr>
          <w:rFonts w:ascii="Times New Roman" w:hAnsi="Times New Roman" w:cs="Times New Roman"/>
          <w:color w:val="000000"/>
        </w:rPr>
        <w:t>comprehensive</w:t>
      </w:r>
      <w:r w:rsidRPr="00586982">
        <w:rPr>
          <w:rFonts w:ascii="Times New Roman" w:hAnsi="Times New Roman" w:cs="Times New Roman"/>
        </w:rPr>
        <w:t>. If a PRA is being developed and peer reviewed in accordance with RG</w:t>
      </w:r>
      <w:r w:rsidR="00DC62BB">
        <w:rPr>
          <w:rFonts w:ascii="Times New Roman" w:hAnsi="Times New Roman" w:cs="Times New Roman"/>
        </w:rPr>
        <w:t> </w:t>
      </w:r>
      <w:r w:rsidRPr="00586982">
        <w:rPr>
          <w:rFonts w:ascii="Times New Roman" w:hAnsi="Times New Roman" w:cs="Times New Roman"/>
        </w:rPr>
        <w:t xml:space="preserve">1.200 </w:t>
      </w:r>
      <w:r w:rsidRPr="00586982" w:rsidR="00A2794A">
        <w:rPr>
          <w:rFonts w:ascii="Times New Roman" w:hAnsi="Times New Roman" w:cs="Times New Roman"/>
        </w:rPr>
        <w:t>and DC/COL</w:t>
      </w:r>
      <w:r w:rsidR="00DC62BB">
        <w:rPr>
          <w:rFonts w:ascii="Times New Roman" w:hAnsi="Times New Roman" w:cs="Times New Roman"/>
        </w:rPr>
        <w:noBreakHyphen/>
      </w:r>
      <w:r w:rsidRPr="00586982" w:rsidR="00A2794A">
        <w:rPr>
          <w:rFonts w:ascii="Times New Roman" w:hAnsi="Times New Roman" w:cs="Times New Roman"/>
        </w:rPr>
        <w:t>ISG</w:t>
      </w:r>
      <w:r w:rsidR="00DC62BB">
        <w:rPr>
          <w:rFonts w:ascii="Times New Roman" w:hAnsi="Times New Roman" w:cs="Times New Roman"/>
        </w:rPr>
        <w:noBreakHyphen/>
      </w:r>
      <w:r w:rsidRPr="00586982" w:rsidR="00A2794A">
        <w:rPr>
          <w:rFonts w:ascii="Times New Roman" w:hAnsi="Times New Roman" w:cs="Times New Roman"/>
        </w:rPr>
        <w:t xml:space="preserve">028 </w:t>
      </w:r>
      <w:r w:rsidRPr="00586982">
        <w:rPr>
          <w:rFonts w:ascii="Times New Roman" w:hAnsi="Times New Roman" w:cs="Times New Roman"/>
        </w:rPr>
        <w:t>(for LWRs) or RG</w:t>
      </w:r>
      <w:r w:rsidR="00DC62BB">
        <w:rPr>
          <w:rFonts w:ascii="Times New Roman" w:hAnsi="Times New Roman" w:cs="Times New Roman"/>
        </w:rPr>
        <w:t> </w:t>
      </w:r>
      <w:r w:rsidRPr="00586982">
        <w:rPr>
          <w:rFonts w:ascii="Times New Roman" w:hAnsi="Times New Roman" w:cs="Times New Roman"/>
        </w:rPr>
        <w:t xml:space="preserve">1.247 (for </w:t>
      </w:r>
      <w:r w:rsidRPr="00586982" w:rsidR="002F72A1">
        <w:rPr>
          <w:rFonts w:ascii="Times New Roman" w:hAnsi="Times New Roman" w:cs="Times New Roman"/>
        </w:rPr>
        <w:t>non</w:t>
      </w:r>
      <w:r w:rsidR="00DC62BB">
        <w:rPr>
          <w:rFonts w:ascii="Times New Roman" w:hAnsi="Times New Roman" w:cs="Times New Roman"/>
        </w:rPr>
        <w:noBreakHyphen/>
      </w:r>
      <w:r w:rsidRPr="00586982">
        <w:rPr>
          <w:rFonts w:ascii="Times New Roman" w:hAnsi="Times New Roman" w:cs="Times New Roman"/>
        </w:rPr>
        <w:t xml:space="preserve">LWRs), then completion of a peer review and disposition of its </w:t>
      </w:r>
      <w:r w:rsidRPr="00586982" w:rsidR="00171E9D">
        <w:rPr>
          <w:rFonts w:ascii="Times New Roman" w:hAnsi="Times New Roman" w:cs="Times New Roman"/>
        </w:rPr>
        <w:t>F&amp;Os</w:t>
      </w:r>
      <w:r w:rsidRPr="00586982">
        <w:rPr>
          <w:rFonts w:ascii="Times New Roman" w:hAnsi="Times New Roman" w:cs="Times New Roman"/>
        </w:rPr>
        <w:t xml:space="preserve"> will satisfy the staff’s expectations concerning the independent review.</w:t>
      </w:r>
    </w:p>
    <w:p w:rsidR="00163216" w:rsidP="002F3C90" w14:paraId="455C57B1" w14:textId="77777777">
      <w:pPr>
        <w:spacing w:after="0" w:line="240" w:lineRule="auto"/>
        <w:ind w:left="720" w:hanging="720"/>
        <w:rPr>
          <w:rFonts w:ascii="Times New Roman" w:hAnsi="Times New Roman" w:cs="Times New Roman"/>
        </w:rPr>
      </w:pPr>
    </w:p>
    <w:p w:rsidR="00163216" w:rsidRPr="00830EB6" w:rsidP="002F3C90" w14:paraId="029CEE2E" w14:textId="20676611">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Since the systematic and comprehensive </w:t>
      </w:r>
      <w:r w:rsidRPr="00586982" w:rsidR="006E4769">
        <w:rPr>
          <w:rFonts w:ascii="Times New Roman" w:hAnsi="Times New Roman" w:cs="Times New Roman"/>
        </w:rPr>
        <w:t>event sequence delineation</w:t>
      </w:r>
      <w:r w:rsidRPr="00586982">
        <w:rPr>
          <w:rFonts w:ascii="Times New Roman" w:hAnsi="Times New Roman" w:cs="Times New Roman"/>
        </w:rPr>
        <w:t xml:space="preserve"> is used, in part, to inform the selection of licensing events, </w:t>
      </w:r>
      <w:r w:rsidRPr="00830EB6">
        <w:rPr>
          <w:rFonts w:ascii="Times New Roman" w:hAnsi="Times New Roman" w:cs="Times New Roman"/>
        </w:rPr>
        <w:t xml:space="preserve">it should be developed under the </w:t>
      </w:r>
      <w:r w:rsidRPr="00830EB6" w:rsidR="00DF7E7F">
        <w:rPr>
          <w:rFonts w:ascii="Times New Roman" w:hAnsi="Times New Roman" w:cs="Times New Roman"/>
        </w:rPr>
        <w:t xml:space="preserve">established </w:t>
      </w:r>
      <w:r w:rsidR="00DC62BB">
        <w:rPr>
          <w:rFonts w:ascii="Times New Roman" w:hAnsi="Times New Roman" w:cs="Times New Roman"/>
        </w:rPr>
        <w:t>q</w:t>
      </w:r>
      <w:r w:rsidRPr="00830EB6" w:rsidR="00DF7E7F">
        <w:rPr>
          <w:rFonts w:ascii="Times New Roman" w:hAnsi="Times New Roman" w:cs="Times New Roman"/>
        </w:rPr>
        <w:t xml:space="preserve">uality </w:t>
      </w:r>
      <w:r w:rsidR="00DC62BB">
        <w:rPr>
          <w:rFonts w:ascii="Times New Roman" w:hAnsi="Times New Roman" w:cs="Times New Roman"/>
        </w:rPr>
        <w:t>c</w:t>
      </w:r>
      <w:r w:rsidRPr="00830EB6" w:rsidR="00DF7E7F">
        <w:rPr>
          <w:rFonts w:ascii="Times New Roman" w:hAnsi="Times New Roman" w:cs="Times New Roman"/>
        </w:rPr>
        <w:t>ontrol process</w:t>
      </w:r>
      <w:r w:rsidRPr="00830EB6">
        <w:rPr>
          <w:rFonts w:ascii="Times New Roman" w:hAnsi="Times New Roman" w:cs="Times New Roman"/>
        </w:rPr>
        <w:t>.</w:t>
      </w:r>
    </w:p>
    <w:p w:rsidR="00056734" w:rsidRPr="001036BF" w:rsidP="002F3C90" w14:paraId="770076D7" w14:textId="77777777">
      <w:pPr>
        <w:spacing w:after="0" w:line="240" w:lineRule="auto"/>
        <w:rPr>
          <w:rFonts w:ascii="Times New Roman" w:hAnsi="Times New Roman" w:cs="Times New Roman"/>
        </w:rPr>
      </w:pPr>
    </w:p>
    <w:p w:rsidR="00665440" w:rsidRPr="00586982" w:rsidP="002F3C90" w14:paraId="437B0FBA" w14:textId="4135CCF4">
      <w:pPr>
        <w:pStyle w:val="Heading2"/>
        <w:spacing w:line="240" w:lineRule="auto"/>
      </w:pPr>
      <w:r w:rsidRPr="00586982">
        <w:t>Defining</w:t>
      </w:r>
      <w:r w:rsidRPr="00586982">
        <w:t xml:space="preserve"> </w:t>
      </w:r>
      <w:r w:rsidRPr="00586982">
        <w:t>L</w:t>
      </w:r>
      <w:r w:rsidRPr="00586982">
        <w:t xml:space="preserve">icensing </w:t>
      </w:r>
      <w:r w:rsidRPr="00586982">
        <w:t>E</w:t>
      </w:r>
      <w:r w:rsidRPr="00586982">
        <w:t>vents</w:t>
      </w:r>
    </w:p>
    <w:p w:rsidR="00665440" w:rsidP="002F3C90" w14:paraId="0CF5B91F" w14:textId="77777777">
      <w:pPr>
        <w:spacing w:after="0" w:line="240" w:lineRule="auto"/>
        <w:rPr>
          <w:rFonts w:ascii="Times New Roman" w:hAnsi="Times New Roman" w:cs="Times New Roman"/>
        </w:rPr>
      </w:pPr>
    </w:p>
    <w:p w:rsidR="00747C83" w:rsidRPr="00586982" w:rsidP="002F3C90" w14:paraId="577CF8B6" w14:textId="1F7C0873">
      <w:pPr>
        <w:pStyle w:val="Heading3"/>
        <w:spacing w:line="240" w:lineRule="auto"/>
        <w:ind w:left="0" w:firstLine="0"/>
        <w:rPr>
          <w:i/>
          <w:iCs/>
        </w:rPr>
      </w:pPr>
      <w:r w:rsidRPr="00586982">
        <w:rPr>
          <w:i/>
          <w:iCs/>
        </w:rPr>
        <w:t xml:space="preserve">If </w:t>
      </w:r>
      <w:r w:rsidRPr="00586982" w:rsidR="00D96730">
        <w:rPr>
          <w:i/>
          <w:iCs/>
        </w:rPr>
        <w:t>a</w:t>
      </w:r>
      <w:r w:rsidRPr="00586982" w:rsidR="008713F4">
        <w:rPr>
          <w:i/>
          <w:iCs/>
        </w:rPr>
        <w:t xml:space="preserve"> </w:t>
      </w:r>
      <w:r w:rsidRPr="00586982">
        <w:rPr>
          <w:i/>
          <w:iCs/>
        </w:rPr>
        <w:t xml:space="preserve">PRA </w:t>
      </w:r>
      <w:r w:rsidRPr="00586982" w:rsidR="008713F4">
        <w:rPr>
          <w:i/>
          <w:iCs/>
        </w:rPr>
        <w:t xml:space="preserve">Is Being Developed, Provide the List of Initiating Events </w:t>
      </w:r>
      <w:r w:rsidRPr="00586982" w:rsidR="000D6655">
        <w:rPr>
          <w:i/>
          <w:iCs/>
        </w:rPr>
        <w:t>and</w:t>
      </w:r>
      <w:r w:rsidRPr="00586982" w:rsidR="008713F4">
        <w:rPr>
          <w:i/>
          <w:iCs/>
        </w:rPr>
        <w:t xml:space="preserve"> Event Sequences </w:t>
      </w:r>
      <w:r w:rsidRPr="00586982" w:rsidR="000D6655">
        <w:rPr>
          <w:i/>
          <w:iCs/>
        </w:rPr>
        <w:t>to the</w:t>
      </w:r>
      <w:r w:rsidRPr="00586982" w:rsidR="008713F4">
        <w:rPr>
          <w:i/>
          <w:iCs/>
        </w:rPr>
        <w:t xml:space="preserve"> </w:t>
      </w:r>
      <w:r w:rsidRPr="00586982">
        <w:rPr>
          <w:i/>
          <w:iCs/>
        </w:rPr>
        <w:t xml:space="preserve">PRA </w:t>
      </w:r>
      <w:r w:rsidRPr="00586982" w:rsidR="008713F4">
        <w:rPr>
          <w:i/>
          <w:iCs/>
        </w:rPr>
        <w:t>(</w:t>
      </w:r>
      <w:r w:rsidRPr="00586982">
        <w:rPr>
          <w:i/>
          <w:iCs/>
        </w:rPr>
        <w:t>Boxes</w:t>
      </w:r>
      <w:r w:rsidR="00DC62BB">
        <w:rPr>
          <w:i/>
          <w:iCs/>
        </w:rPr>
        <w:t> </w:t>
      </w:r>
      <w:r w:rsidRPr="00586982" w:rsidR="008713F4">
        <w:rPr>
          <w:i/>
          <w:iCs/>
        </w:rPr>
        <w:t>1</w:t>
      </w:r>
      <w:r w:rsidRPr="00586982" w:rsidR="0010299F">
        <w:rPr>
          <w:i/>
          <w:iCs/>
        </w:rPr>
        <w:t>8</w:t>
      </w:r>
      <w:r w:rsidRPr="00586982" w:rsidR="008713F4">
        <w:rPr>
          <w:i/>
          <w:iCs/>
        </w:rPr>
        <w:t xml:space="preserve"> </w:t>
      </w:r>
      <w:r w:rsidRPr="00586982" w:rsidR="00500BA2">
        <w:rPr>
          <w:i/>
          <w:iCs/>
        </w:rPr>
        <w:t>a</w:t>
      </w:r>
      <w:r w:rsidRPr="00586982" w:rsidR="008713F4">
        <w:rPr>
          <w:i/>
          <w:iCs/>
        </w:rPr>
        <w:t>nd</w:t>
      </w:r>
      <w:r w:rsidR="00DC62BB">
        <w:rPr>
          <w:i/>
          <w:iCs/>
        </w:rPr>
        <w:t> </w:t>
      </w:r>
      <w:r w:rsidRPr="00586982" w:rsidR="0010299F">
        <w:rPr>
          <w:i/>
          <w:iCs/>
        </w:rPr>
        <w:t>19</w:t>
      </w:r>
      <w:r w:rsidRPr="00586982" w:rsidR="008713F4">
        <w:rPr>
          <w:i/>
          <w:iCs/>
        </w:rPr>
        <w:t xml:space="preserve">, </w:t>
      </w:r>
      <w:r w:rsidRPr="00586982">
        <w:rPr>
          <w:i/>
          <w:iCs/>
        </w:rPr>
        <w:t xml:space="preserve">Principle </w:t>
      </w:r>
      <w:r w:rsidRPr="00586982" w:rsidR="008713F4">
        <w:rPr>
          <w:i/>
          <w:iCs/>
        </w:rPr>
        <w:t>#1)</w:t>
      </w:r>
    </w:p>
    <w:p w:rsidR="00E34D78" w:rsidP="002F3C90" w14:paraId="332854DE" w14:textId="2D4C9E5E">
      <w:pPr>
        <w:spacing w:after="0" w:line="240" w:lineRule="auto"/>
        <w:rPr>
          <w:rFonts w:ascii="Times New Roman" w:hAnsi="Times New Roman" w:cs="Times New Roman"/>
        </w:rPr>
      </w:pPr>
    </w:p>
    <w:p w:rsidR="00455FD7" w:rsidRPr="00586982" w:rsidP="002F3C90" w14:paraId="59ECA833" w14:textId="136CBD25">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If </w:t>
      </w:r>
      <w:r w:rsidRPr="00586982" w:rsidR="004D098F">
        <w:rPr>
          <w:rFonts w:ascii="Times New Roman" w:hAnsi="Times New Roman" w:cs="Times New Roman"/>
        </w:rPr>
        <w:t>the designe</w:t>
      </w:r>
      <w:r w:rsidRPr="00586982" w:rsidR="006A553C">
        <w:rPr>
          <w:rFonts w:ascii="Times New Roman" w:hAnsi="Times New Roman" w:cs="Times New Roman"/>
        </w:rPr>
        <w:t>r</w:t>
      </w:r>
      <w:r w:rsidRPr="00586982" w:rsidR="004D098F">
        <w:rPr>
          <w:rFonts w:ascii="Times New Roman" w:hAnsi="Times New Roman" w:cs="Times New Roman"/>
        </w:rPr>
        <w:t xml:space="preserve"> or applicant develop</w:t>
      </w:r>
      <w:r w:rsidRPr="00586982" w:rsidR="00355DC3">
        <w:rPr>
          <w:rFonts w:ascii="Times New Roman" w:hAnsi="Times New Roman" w:cs="Times New Roman"/>
        </w:rPr>
        <w:t>s</w:t>
      </w:r>
      <w:r w:rsidRPr="00586982" w:rsidR="004D098F">
        <w:rPr>
          <w:rFonts w:ascii="Times New Roman" w:hAnsi="Times New Roman" w:cs="Times New Roman"/>
        </w:rPr>
        <w:t xml:space="preserve"> a PRA</w:t>
      </w:r>
      <w:r w:rsidRPr="00586982" w:rsidR="00CD0AE5">
        <w:rPr>
          <w:rFonts w:ascii="Times New Roman" w:hAnsi="Times New Roman" w:cs="Times New Roman"/>
        </w:rPr>
        <w:t xml:space="preserve"> consistent with</w:t>
      </w:r>
      <w:r w:rsidRPr="00586982" w:rsidR="00B93A51">
        <w:rPr>
          <w:rFonts w:ascii="Times New Roman" w:hAnsi="Times New Roman" w:cs="Times New Roman"/>
        </w:rPr>
        <w:t xml:space="preserve"> the </w:t>
      </w:r>
      <w:r w:rsidR="00E16E9C">
        <w:rPr>
          <w:rFonts w:ascii="Times New Roman" w:hAnsi="Times New Roman" w:cs="Times New Roman"/>
        </w:rPr>
        <w:t>selected</w:t>
      </w:r>
      <w:r w:rsidR="002050EC">
        <w:rPr>
          <w:rFonts w:ascii="Times New Roman" w:hAnsi="Times New Roman" w:cs="Times New Roman"/>
        </w:rPr>
        <w:t xml:space="preserve"> </w:t>
      </w:r>
      <w:r w:rsidRPr="00586982" w:rsidR="00B93A51">
        <w:rPr>
          <w:rFonts w:ascii="Times New Roman" w:hAnsi="Times New Roman" w:cs="Times New Roman"/>
        </w:rPr>
        <w:t>regulatory framework</w:t>
      </w:r>
      <w:r w:rsidRPr="00586982" w:rsidR="00BF21B8">
        <w:rPr>
          <w:rFonts w:ascii="Times New Roman" w:hAnsi="Times New Roman" w:cs="Times New Roman"/>
        </w:rPr>
        <w:t>,</w:t>
      </w:r>
      <w:r w:rsidRPr="00586982" w:rsidR="00A26B83">
        <w:rPr>
          <w:rFonts w:ascii="Times New Roman" w:hAnsi="Times New Roman" w:cs="Times New Roman"/>
        </w:rPr>
        <w:t xml:space="preserve"> the initiating events and </w:t>
      </w:r>
      <w:r w:rsidRPr="00586982" w:rsidR="00BA51A3">
        <w:rPr>
          <w:rFonts w:ascii="Times New Roman" w:hAnsi="Times New Roman" w:cs="Times New Roman"/>
        </w:rPr>
        <w:t xml:space="preserve">event sequences </w:t>
      </w:r>
      <w:r w:rsidRPr="00586982" w:rsidR="00433056">
        <w:rPr>
          <w:rFonts w:ascii="Times New Roman" w:hAnsi="Times New Roman" w:cs="Times New Roman"/>
        </w:rPr>
        <w:t xml:space="preserve">are </w:t>
      </w:r>
      <w:r w:rsidRPr="00586982" w:rsidR="00A96555">
        <w:rPr>
          <w:rFonts w:ascii="Times New Roman" w:hAnsi="Times New Roman" w:cs="Times New Roman"/>
        </w:rPr>
        <w:t xml:space="preserve">integral to the </w:t>
      </w:r>
      <w:r w:rsidRPr="00586982" w:rsidR="00BA51A3">
        <w:rPr>
          <w:rFonts w:ascii="Times New Roman" w:hAnsi="Times New Roman" w:cs="Times New Roman"/>
        </w:rPr>
        <w:t>development of the PRA models</w:t>
      </w:r>
      <w:r w:rsidRPr="00586982" w:rsidR="000D589B">
        <w:rPr>
          <w:rFonts w:ascii="Times New Roman" w:hAnsi="Times New Roman" w:cs="Times New Roman"/>
        </w:rPr>
        <w:t xml:space="preserve"> and</w:t>
      </w:r>
      <w:r w:rsidRPr="00586982" w:rsidR="00A96555">
        <w:rPr>
          <w:rFonts w:ascii="Times New Roman" w:hAnsi="Times New Roman" w:cs="Times New Roman"/>
        </w:rPr>
        <w:t>, as such,</w:t>
      </w:r>
      <w:r w:rsidRPr="00586982" w:rsidR="000D589B">
        <w:rPr>
          <w:rFonts w:ascii="Times New Roman" w:hAnsi="Times New Roman" w:cs="Times New Roman"/>
        </w:rPr>
        <w:t xml:space="preserve"> should be provided </w:t>
      </w:r>
      <w:r w:rsidRPr="00586982" w:rsidR="00BC5D30">
        <w:rPr>
          <w:rFonts w:ascii="Times New Roman" w:hAnsi="Times New Roman" w:cs="Times New Roman"/>
        </w:rPr>
        <w:t>as inputs</w:t>
      </w:r>
      <w:r w:rsidRPr="00586982" w:rsidR="000D589B">
        <w:rPr>
          <w:rFonts w:ascii="Times New Roman" w:hAnsi="Times New Roman" w:cs="Times New Roman"/>
        </w:rPr>
        <w:t xml:space="preserve"> to the PRA</w:t>
      </w:r>
      <w:r w:rsidRPr="00586982" w:rsidR="008E5DFF">
        <w:rPr>
          <w:rFonts w:ascii="Times New Roman" w:hAnsi="Times New Roman" w:cs="Times New Roman"/>
        </w:rPr>
        <w:t>.</w:t>
      </w:r>
    </w:p>
    <w:p w:rsidR="004D098F" w:rsidP="002F3C90" w14:paraId="75E5C10D" w14:textId="77777777">
      <w:pPr>
        <w:spacing w:after="0" w:line="240" w:lineRule="auto"/>
        <w:rPr>
          <w:rFonts w:ascii="Times New Roman" w:hAnsi="Times New Roman" w:cs="Times New Roman"/>
        </w:rPr>
      </w:pPr>
    </w:p>
    <w:p w:rsidR="00E34D78" w:rsidRPr="00A00F01" w:rsidP="002F3C90" w14:paraId="6F644E31" w14:textId="4DA0DE53">
      <w:pPr>
        <w:pStyle w:val="Heading3"/>
        <w:spacing w:line="240" w:lineRule="auto"/>
        <w:ind w:left="0" w:firstLine="0"/>
      </w:pPr>
      <w:r w:rsidRPr="00586982">
        <w:rPr>
          <w:i/>
          <w:iCs/>
        </w:rPr>
        <w:t xml:space="preserve">Identify </w:t>
      </w:r>
      <w:r w:rsidRPr="00586982" w:rsidR="008713F4">
        <w:rPr>
          <w:i/>
          <w:iCs/>
        </w:rPr>
        <w:t xml:space="preserve">Required Categories of Licensing Events for </w:t>
      </w:r>
      <w:r w:rsidRPr="00586982" w:rsidR="000D6655">
        <w:rPr>
          <w:i/>
          <w:iCs/>
        </w:rPr>
        <w:t>the</w:t>
      </w:r>
      <w:r w:rsidRPr="00586982" w:rsidR="008713F4">
        <w:rPr>
          <w:i/>
          <w:iCs/>
        </w:rPr>
        <w:t xml:space="preserve"> Selected Licensing Framework (</w:t>
      </w:r>
      <w:r w:rsidRPr="00586982" w:rsidR="00604333">
        <w:rPr>
          <w:i/>
          <w:iCs/>
        </w:rPr>
        <w:t>Box</w:t>
      </w:r>
      <w:r w:rsidR="00DC62BB">
        <w:rPr>
          <w:i/>
          <w:iCs/>
        </w:rPr>
        <w:t> </w:t>
      </w:r>
      <w:r w:rsidRPr="00586982" w:rsidR="008713F4">
        <w:rPr>
          <w:i/>
          <w:iCs/>
        </w:rPr>
        <w:t>2</w:t>
      </w:r>
      <w:r w:rsidRPr="00586982" w:rsidR="0010299F">
        <w:rPr>
          <w:i/>
          <w:iCs/>
        </w:rPr>
        <w:t>0</w:t>
      </w:r>
      <w:r w:rsidRPr="00586982" w:rsidR="008713F4">
        <w:rPr>
          <w:i/>
          <w:iCs/>
        </w:rPr>
        <w:t xml:space="preserve">, </w:t>
      </w:r>
      <w:r w:rsidRPr="00586982" w:rsidR="00604333">
        <w:rPr>
          <w:i/>
          <w:iCs/>
        </w:rPr>
        <w:t xml:space="preserve">Principle </w:t>
      </w:r>
      <w:r w:rsidRPr="00586982" w:rsidR="008713F4">
        <w:rPr>
          <w:i/>
          <w:iCs/>
        </w:rPr>
        <w:t>#1)</w:t>
      </w:r>
    </w:p>
    <w:p w:rsidR="00B42D18" w:rsidP="002F3C90" w14:paraId="2E08CD63" w14:textId="77777777">
      <w:pPr>
        <w:spacing w:after="0" w:line="240" w:lineRule="auto"/>
        <w:ind w:firstLine="720"/>
        <w:rPr>
          <w:rFonts w:ascii="Times New Roman" w:hAnsi="Times New Roman" w:cs="Times New Roman"/>
        </w:rPr>
      </w:pPr>
    </w:p>
    <w:p w:rsidR="00112A70" w:rsidRPr="0063034F" w:rsidP="002F3C90" w14:paraId="3A75CEC3" w14:textId="705E4299">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Once the</w:t>
      </w:r>
      <w:r w:rsidRPr="00586982" w:rsidR="00FF4FEC">
        <w:rPr>
          <w:rFonts w:ascii="Times New Roman" w:hAnsi="Times New Roman" w:cs="Times New Roman"/>
        </w:rPr>
        <w:t xml:space="preserve"> list of</w:t>
      </w:r>
      <w:r w:rsidRPr="00586982">
        <w:rPr>
          <w:rFonts w:ascii="Times New Roman" w:hAnsi="Times New Roman" w:cs="Times New Roman"/>
        </w:rPr>
        <w:t xml:space="preserve"> </w:t>
      </w:r>
      <w:r w:rsidRPr="00586982" w:rsidR="00E646D2">
        <w:rPr>
          <w:rFonts w:ascii="Times New Roman" w:hAnsi="Times New Roman" w:cs="Times New Roman"/>
        </w:rPr>
        <w:t>event sequences</w:t>
      </w:r>
      <w:r w:rsidRPr="00586982" w:rsidR="00FF4FEC">
        <w:rPr>
          <w:rFonts w:ascii="Times New Roman" w:hAnsi="Times New Roman" w:cs="Times New Roman"/>
        </w:rPr>
        <w:t xml:space="preserve"> has been completed, th</w:t>
      </w:r>
      <w:r w:rsidRPr="00586982" w:rsidR="00A24640">
        <w:rPr>
          <w:rFonts w:ascii="Times New Roman" w:hAnsi="Times New Roman" w:cs="Times New Roman"/>
        </w:rPr>
        <w:t xml:space="preserve">e </w:t>
      </w:r>
      <w:r w:rsidRPr="00586982">
        <w:rPr>
          <w:rFonts w:ascii="Times New Roman" w:hAnsi="Times New Roman" w:cs="Times New Roman"/>
        </w:rPr>
        <w:t xml:space="preserve">designer or </w:t>
      </w:r>
      <w:r w:rsidRPr="00586982" w:rsidR="00A24640">
        <w:rPr>
          <w:rFonts w:ascii="Times New Roman" w:hAnsi="Times New Roman" w:cs="Times New Roman"/>
        </w:rPr>
        <w:t>applicant</w:t>
      </w:r>
      <w:r w:rsidRPr="00586982" w:rsidR="00FF4FEC">
        <w:rPr>
          <w:rFonts w:ascii="Times New Roman" w:hAnsi="Times New Roman" w:cs="Times New Roman"/>
        </w:rPr>
        <w:t xml:space="preserve"> </w:t>
      </w:r>
      <w:r w:rsidRPr="00586982" w:rsidR="006662AB">
        <w:rPr>
          <w:rFonts w:ascii="Times New Roman" w:hAnsi="Times New Roman" w:cs="Times New Roman"/>
        </w:rPr>
        <w:t xml:space="preserve">should </w:t>
      </w:r>
      <w:r w:rsidRPr="00586982" w:rsidR="00A24640">
        <w:rPr>
          <w:rFonts w:ascii="Times New Roman" w:hAnsi="Times New Roman" w:cs="Times New Roman"/>
        </w:rPr>
        <w:t xml:space="preserve">identify categories of licensing events consistent with the </w:t>
      </w:r>
      <w:r w:rsidRPr="00586982" w:rsidR="00774889">
        <w:rPr>
          <w:rFonts w:ascii="Times New Roman" w:hAnsi="Times New Roman" w:cs="Times New Roman"/>
        </w:rPr>
        <w:t xml:space="preserve">selected </w:t>
      </w:r>
      <w:r w:rsidRPr="00586982" w:rsidR="00A24640">
        <w:rPr>
          <w:rFonts w:ascii="Times New Roman" w:hAnsi="Times New Roman" w:cs="Times New Roman"/>
        </w:rPr>
        <w:t>licensing framework</w:t>
      </w:r>
      <w:r w:rsidRPr="0063034F" w:rsidR="00550DB4">
        <w:rPr>
          <w:rFonts w:ascii="Times New Roman" w:hAnsi="Times New Roman" w:cs="Times New Roman"/>
        </w:rPr>
        <w:t>.</w:t>
      </w:r>
      <w:r w:rsidRPr="0063034F" w:rsidR="00631A8E">
        <w:rPr>
          <w:rFonts w:ascii="Times New Roman" w:hAnsi="Times New Roman" w:cs="Times New Roman"/>
        </w:rPr>
        <w:t xml:space="preserve"> </w:t>
      </w:r>
      <w:r w:rsidRPr="0063034F" w:rsidR="0010103D">
        <w:rPr>
          <w:rFonts w:ascii="Times New Roman" w:hAnsi="Times New Roman" w:cs="Times New Roman"/>
        </w:rPr>
        <w:t>Table</w:t>
      </w:r>
      <w:r w:rsidR="00DC62BB">
        <w:rPr>
          <w:rFonts w:ascii="Times New Roman" w:hAnsi="Times New Roman" w:cs="Times New Roman"/>
        </w:rPr>
        <w:t> </w:t>
      </w:r>
      <w:r w:rsidRPr="0063034F" w:rsidR="0010103D">
        <w:rPr>
          <w:rFonts w:ascii="Times New Roman" w:hAnsi="Times New Roman" w:cs="Times New Roman"/>
        </w:rPr>
        <w:t>1</w:t>
      </w:r>
      <w:r w:rsidRPr="0063034F" w:rsidR="00BB3B0A">
        <w:rPr>
          <w:rFonts w:ascii="Times New Roman" w:hAnsi="Times New Roman" w:cs="Times New Roman"/>
        </w:rPr>
        <w:t xml:space="preserve"> </w:t>
      </w:r>
      <w:r w:rsidRPr="0063034F" w:rsidR="00EF196A">
        <w:rPr>
          <w:rFonts w:ascii="Times New Roman" w:hAnsi="Times New Roman" w:cs="Times New Roman"/>
        </w:rPr>
        <w:t xml:space="preserve">summarizes the licensing event terminology </w:t>
      </w:r>
      <w:r w:rsidRPr="0063034F" w:rsidR="00BA0D7B">
        <w:rPr>
          <w:rFonts w:ascii="Times New Roman" w:hAnsi="Times New Roman" w:cs="Times New Roman"/>
        </w:rPr>
        <w:t xml:space="preserve">for the various licensing </w:t>
      </w:r>
      <w:r w:rsidRPr="006A0510" w:rsidR="0063034F">
        <w:rPr>
          <w:rFonts w:ascii="Times New Roman" w:hAnsi="Times New Roman" w:cs="Times New Roman"/>
        </w:rPr>
        <w:t>pathways</w:t>
      </w:r>
      <w:r w:rsidRPr="0063034F" w:rsidR="00BA0D7B">
        <w:rPr>
          <w:rFonts w:ascii="Times New Roman" w:hAnsi="Times New Roman" w:cs="Times New Roman"/>
        </w:rPr>
        <w:t xml:space="preserve">. </w:t>
      </w:r>
    </w:p>
    <w:p w:rsidR="00BB4D57" w:rsidP="002F3C90" w14:paraId="6AC6EED8" w14:textId="77777777">
      <w:pPr>
        <w:spacing w:after="0" w:line="240" w:lineRule="auto"/>
        <w:ind w:left="720" w:hanging="720"/>
        <w:rPr>
          <w:rFonts w:ascii="Times New Roman" w:hAnsi="Times New Roman" w:cs="Times New Roman"/>
        </w:rPr>
      </w:pPr>
    </w:p>
    <w:p w:rsidR="002425A4" w:rsidRPr="00AB4972" w:rsidP="002F3C90" w14:paraId="3DDFCE08" w14:textId="3D24F28F">
      <w:pPr>
        <w:pStyle w:val="ListParagraph"/>
        <w:numPr>
          <w:ilvl w:val="0"/>
          <w:numId w:val="56"/>
        </w:numPr>
        <w:spacing w:after="0" w:line="240" w:lineRule="auto"/>
        <w:ind w:left="720" w:hanging="720"/>
        <w:rPr>
          <w:rFonts w:ascii="Times New Roman" w:hAnsi="Times New Roman" w:cs="Times New Roman"/>
        </w:rPr>
      </w:pPr>
      <w:r w:rsidRPr="00AB4972">
        <w:rPr>
          <w:rFonts w:ascii="Times New Roman" w:hAnsi="Times New Roman" w:cs="Times New Roman"/>
        </w:rPr>
        <w:t>Non-LWR d</w:t>
      </w:r>
      <w:r w:rsidRPr="00AB4972" w:rsidR="00E24A83">
        <w:rPr>
          <w:rFonts w:ascii="Times New Roman" w:hAnsi="Times New Roman" w:cs="Times New Roman"/>
        </w:rPr>
        <w:t xml:space="preserve">esigners and applicants who voluntarily seek </w:t>
      </w:r>
      <w:r w:rsidRPr="00AB4972" w:rsidR="003B0A35">
        <w:rPr>
          <w:rFonts w:ascii="Times New Roman" w:hAnsi="Times New Roman" w:cs="Times New Roman"/>
        </w:rPr>
        <w:t xml:space="preserve">use of </w:t>
      </w:r>
      <w:r w:rsidR="00183FB6">
        <w:rPr>
          <w:rFonts w:ascii="Times New Roman" w:hAnsi="Times New Roman" w:cs="Times New Roman"/>
        </w:rPr>
        <w:t xml:space="preserve">the </w:t>
      </w:r>
      <w:r w:rsidRPr="00AB4972" w:rsidR="003B0A35">
        <w:rPr>
          <w:rFonts w:ascii="Times New Roman" w:hAnsi="Times New Roman" w:cs="Times New Roman"/>
        </w:rPr>
        <w:t>LMP</w:t>
      </w:r>
      <w:r w:rsidRPr="00AB4972" w:rsidR="00C4354A">
        <w:rPr>
          <w:rFonts w:ascii="Times New Roman" w:hAnsi="Times New Roman" w:cs="Times New Roman"/>
        </w:rPr>
        <w:t xml:space="preserve"> </w:t>
      </w:r>
      <w:r w:rsidRPr="00AB4972" w:rsidR="0049633D">
        <w:rPr>
          <w:rFonts w:ascii="Times New Roman" w:hAnsi="Times New Roman" w:cs="Times New Roman"/>
        </w:rPr>
        <w:t xml:space="preserve">under </w:t>
      </w:r>
      <w:r w:rsidRPr="00AB4972" w:rsidR="00C31EEA">
        <w:rPr>
          <w:rFonts w:ascii="Times New Roman" w:hAnsi="Times New Roman" w:cs="Times New Roman"/>
        </w:rPr>
        <w:t>10</w:t>
      </w:r>
      <w:r w:rsidR="00DC62BB">
        <w:rPr>
          <w:rFonts w:ascii="Times New Roman" w:hAnsi="Times New Roman" w:cs="Times New Roman"/>
        </w:rPr>
        <w:t> </w:t>
      </w:r>
      <w:r w:rsidRPr="00AB4972" w:rsidR="00C31EEA">
        <w:rPr>
          <w:rFonts w:ascii="Times New Roman" w:hAnsi="Times New Roman" w:cs="Times New Roman"/>
        </w:rPr>
        <w:t>CFR</w:t>
      </w:r>
      <w:r w:rsidR="00DC62BB">
        <w:rPr>
          <w:rFonts w:ascii="Times New Roman" w:hAnsi="Times New Roman" w:cs="Times New Roman"/>
        </w:rPr>
        <w:t> </w:t>
      </w:r>
      <w:r w:rsidRPr="00AB4972" w:rsidR="008E26A8">
        <w:rPr>
          <w:rFonts w:ascii="Times New Roman" w:hAnsi="Times New Roman" w:cs="Times New Roman"/>
        </w:rPr>
        <w:t>Part</w:t>
      </w:r>
      <w:r w:rsidR="00DC62BB">
        <w:rPr>
          <w:rFonts w:ascii="Times New Roman" w:hAnsi="Times New Roman" w:cs="Times New Roman"/>
        </w:rPr>
        <w:t> </w:t>
      </w:r>
      <w:r w:rsidRPr="00AB4972" w:rsidR="006E16C7">
        <w:rPr>
          <w:rFonts w:ascii="Times New Roman" w:hAnsi="Times New Roman" w:cs="Times New Roman"/>
        </w:rPr>
        <w:t>50</w:t>
      </w:r>
      <w:r w:rsidRPr="00AB4972" w:rsidR="00DC7FA4">
        <w:rPr>
          <w:rFonts w:ascii="Times New Roman" w:hAnsi="Times New Roman" w:cs="Times New Roman"/>
        </w:rPr>
        <w:t xml:space="preserve"> and</w:t>
      </w:r>
      <w:r w:rsidRPr="00AB4972" w:rsidR="008E26A8">
        <w:rPr>
          <w:rFonts w:ascii="Times New Roman" w:hAnsi="Times New Roman" w:cs="Times New Roman"/>
        </w:rPr>
        <w:t xml:space="preserve"> </w:t>
      </w:r>
      <w:r w:rsidR="00DC62BB">
        <w:rPr>
          <w:rFonts w:ascii="Times New Roman" w:hAnsi="Times New Roman" w:cs="Times New Roman"/>
        </w:rPr>
        <w:t>10 CFR </w:t>
      </w:r>
      <w:r w:rsidRPr="00AB4972" w:rsidR="008E26A8">
        <w:rPr>
          <w:rFonts w:ascii="Times New Roman" w:hAnsi="Times New Roman" w:cs="Times New Roman"/>
        </w:rPr>
        <w:t>Part</w:t>
      </w:r>
      <w:r w:rsidR="00DC62BB">
        <w:rPr>
          <w:rFonts w:ascii="Times New Roman" w:hAnsi="Times New Roman" w:cs="Times New Roman"/>
        </w:rPr>
        <w:t> </w:t>
      </w:r>
      <w:r w:rsidRPr="00AB4972" w:rsidR="006E16C7">
        <w:rPr>
          <w:rFonts w:ascii="Times New Roman" w:hAnsi="Times New Roman" w:cs="Times New Roman"/>
        </w:rPr>
        <w:t>52</w:t>
      </w:r>
      <w:r w:rsidRPr="00AB4972" w:rsidR="00782F48">
        <w:rPr>
          <w:rFonts w:ascii="Times New Roman" w:hAnsi="Times New Roman" w:cs="Times New Roman"/>
        </w:rPr>
        <w:t xml:space="preserve"> </w:t>
      </w:r>
      <w:r w:rsidRPr="00AB4972" w:rsidR="00C31EEA">
        <w:rPr>
          <w:rFonts w:ascii="Times New Roman" w:hAnsi="Times New Roman" w:cs="Times New Roman"/>
        </w:rPr>
        <w:t xml:space="preserve">should </w:t>
      </w:r>
      <w:r w:rsidRPr="00AB4972" w:rsidR="008E26A8">
        <w:rPr>
          <w:rFonts w:ascii="Times New Roman" w:hAnsi="Times New Roman" w:cs="Times New Roman"/>
        </w:rPr>
        <w:t>use</w:t>
      </w:r>
      <w:r w:rsidRPr="00AB4972">
        <w:rPr>
          <w:rFonts w:ascii="Times New Roman" w:hAnsi="Times New Roman" w:cs="Times New Roman"/>
        </w:rPr>
        <w:t xml:space="preserve"> the guidance in</w:t>
      </w:r>
      <w:r w:rsidRPr="00AB4972" w:rsidR="006E16C7">
        <w:rPr>
          <w:rFonts w:ascii="Times New Roman" w:hAnsi="Times New Roman" w:cs="Times New Roman"/>
        </w:rPr>
        <w:t xml:space="preserve"> </w:t>
      </w:r>
      <w:r w:rsidRPr="00AB4972" w:rsidR="00951684">
        <w:rPr>
          <w:rFonts w:ascii="Times New Roman" w:hAnsi="Times New Roman" w:cs="Times New Roman"/>
        </w:rPr>
        <w:t>NEI</w:t>
      </w:r>
      <w:r w:rsidR="00DC62BB">
        <w:rPr>
          <w:rFonts w:ascii="Times New Roman" w:hAnsi="Times New Roman" w:cs="Times New Roman"/>
        </w:rPr>
        <w:t> </w:t>
      </w:r>
      <w:r w:rsidRPr="00AB4972" w:rsidR="00951684">
        <w:rPr>
          <w:rFonts w:ascii="Times New Roman" w:hAnsi="Times New Roman" w:cs="Times New Roman"/>
        </w:rPr>
        <w:t>18</w:t>
      </w:r>
      <w:r w:rsidR="00DC62BB">
        <w:rPr>
          <w:rFonts w:ascii="Times New Roman" w:hAnsi="Times New Roman" w:cs="Times New Roman"/>
        </w:rPr>
        <w:noBreakHyphen/>
      </w:r>
      <w:r w:rsidRPr="00AB4972" w:rsidR="00951684">
        <w:rPr>
          <w:rFonts w:ascii="Times New Roman" w:hAnsi="Times New Roman" w:cs="Times New Roman"/>
        </w:rPr>
        <w:t>04</w:t>
      </w:r>
      <w:r w:rsidRPr="00AB4972" w:rsidR="007D1DB9">
        <w:rPr>
          <w:rFonts w:ascii="Times New Roman" w:hAnsi="Times New Roman" w:cs="Times New Roman"/>
        </w:rPr>
        <w:t xml:space="preserve"> </w:t>
      </w:r>
      <w:r w:rsidRPr="00AB4972" w:rsidR="00951684">
        <w:rPr>
          <w:rFonts w:ascii="Times New Roman" w:hAnsi="Times New Roman" w:cs="Times New Roman"/>
        </w:rPr>
        <w:t xml:space="preserve">as </w:t>
      </w:r>
      <w:r w:rsidRPr="00AB4972" w:rsidR="00241264">
        <w:rPr>
          <w:rFonts w:ascii="Times New Roman" w:hAnsi="Times New Roman" w:cs="Times New Roman"/>
        </w:rPr>
        <w:t>endorsed by</w:t>
      </w:r>
      <w:r w:rsidRPr="00AB4972" w:rsidR="00951684">
        <w:rPr>
          <w:rFonts w:ascii="Times New Roman" w:hAnsi="Times New Roman" w:cs="Times New Roman"/>
        </w:rPr>
        <w:t xml:space="preserve"> RG</w:t>
      </w:r>
      <w:r w:rsidR="00DC62BB">
        <w:rPr>
          <w:rFonts w:ascii="Times New Roman" w:hAnsi="Times New Roman" w:cs="Times New Roman"/>
        </w:rPr>
        <w:t> </w:t>
      </w:r>
      <w:r w:rsidRPr="00AB4972" w:rsidR="00951684">
        <w:rPr>
          <w:rFonts w:ascii="Times New Roman" w:hAnsi="Times New Roman" w:cs="Times New Roman"/>
        </w:rPr>
        <w:t>1.233</w:t>
      </w:r>
      <w:r w:rsidRPr="00AB4972" w:rsidR="007D1DB9">
        <w:rPr>
          <w:rFonts w:ascii="Times New Roman" w:hAnsi="Times New Roman" w:cs="Times New Roman"/>
        </w:rPr>
        <w:t xml:space="preserve"> </w:t>
      </w:r>
      <w:r w:rsidR="00DC62BB">
        <w:rPr>
          <w:rFonts w:ascii="Times New Roman" w:hAnsi="Times New Roman" w:cs="Times New Roman"/>
        </w:rPr>
        <w:t>to</w:t>
      </w:r>
      <w:r w:rsidRPr="00AB4972">
        <w:rPr>
          <w:rFonts w:ascii="Times New Roman" w:hAnsi="Times New Roman" w:cs="Times New Roman"/>
        </w:rPr>
        <w:t xml:space="preserve"> identif</w:t>
      </w:r>
      <w:r w:rsidR="00DC62BB">
        <w:rPr>
          <w:rFonts w:ascii="Times New Roman" w:hAnsi="Times New Roman" w:cs="Times New Roman"/>
        </w:rPr>
        <w:t xml:space="preserve">y </w:t>
      </w:r>
      <w:r w:rsidRPr="00AB4972">
        <w:rPr>
          <w:rFonts w:ascii="Times New Roman" w:hAnsi="Times New Roman" w:cs="Times New Roman"/>
        </w:rPr>
        <w:t xml:space="preserve">licensing events. </w:t>
      </w:r>
    </w:p>
    <w:p w:rsidR="00237921" w:rsidP="002F3C90" w14:paraId="43ABCB02" w14:textId="77777777">
      <w:pPr>
        <w:spacing w:after="0" w:line="240" w:lineRule="auto"/>
        <w:ind w:left="720" w:hanging="720"/>
        <w:rPr>
          <w:rFonts w:ascii="Times New Roman" w:hAnsi="Times New Roman" w:cs="Times New Roman"/>
        </w:rPr>
      </w:pPr>
    </w:p>
    <w:p w:rsidR="00455FD7" w:rsidRPr="00DC5AFB" w:rsidP="002F3C90" w14:paraId="6887E512" w14:textId="1BD14C0F">
      <w:pPr>
        <w:pStyle w:val="ListParagraph"/>
        <w:numPr>
          <w:ilvl w:val="0"/>
          <w:numId w:val="56"/>
        </w:numPr>
        <w:spacing w:after="0" w:line="240" w:lineRule="auto"/>
        <w:ind w:left="720" w:hanging="720"/>
        <w:rPr>
          <w:rFonts w:ascii="Times New Roman" w:hAnsi="Times New Roman" w:cs="Times New Roman"/>
          <w:i/>
          <w:iCs/>
        </w:rPr>
      </w:pPr>
      <w:r w:rsidRPr="00FF54EC">
        <w:rPr>
          <w:rFonts w:ascii="Times New Roman" w:hAnsi="Times New Roman" w:cs="Times New Roman"/>
          <w:i/>
          <w:iCs/>
        </w:rPr>
        <w:t>Note:</w:t>
      </w:r>
      <w:r w:rsidRPr="00DC5AFB">
        <w:rPr>
          <w:rFonts w:ascii="Times New Roman" w:hAnsi="Times New Roman" w:cs="Times New Roman"/>
          <w:i/>
          <w:iCs/>
        </w:rPr>
        <w:t xml:space="preserve"> </w:t>
      </w:r>
      <w:r w:rsidRPr="00DC5AFB" w:rsidR="00241264">
        <w:rPr>
          <w:rFonts w:ascii="Times New Roman" w:hAnsi="Times New Roman" w:cs="Times New Roman"/>
          <w:i/>
          <w:iCs/>
        </w:rPr>
        <w:t xml:space="preserve">The following sections </w:t>
      </w:r>
      <w:r w:rsidRPr="00DC5AFB" w:rsidR="002425A4">
        <w:rPr>
          <w:rFonts w:ascii="Times New Roman" w:hAnsi="Times New Roman" w:cs="Times New Roman"/>
          <w:i/>
          <w:iCs/>
        </w:rPr>
        <w:t xml:space="preserve">of this </w:t>
      </w:r>
      <w:r w:rsidRPr="00DC5AFB" w:rsidR="00EA29FB">
        <w:rPr>
          <w:rFonts w:ascii="Times New Roman" w:hAnsi="Times New Roman" w:cs="Times New Roman"/>
          <w:i/>
          <w:iCs/>
        </w:rPr>
        <w:t>RG</w:t>
      </w:r>
      <w:r w:rsidRPr="00DC5AFB" w:rsidR="002425A4">
        <w:rPr>
          <w:rFonts w:ascii="Times New Roman" w:hAnsi="Times New Roman" w:cs="Times New Roman"/>
          <w:i/>
          <w:iCs/>
        </w:rPr>
        <w:t xml:space="preserve"> </w:t>
      </w:r>
      <w:r w:rsidRPr="00DC5AFB" w:rsidR="0035408F">
        <w:rPr>
          <w:rFonts w:ascii="Times New Roman" w:hAnsi="Times New Roman" w:cs="Times New Roman"/>
          <w:i/>
          <w:iCs/>
        </w:rPr>
        <w:t>(</w:t>
      </w:r>
      <w:r w:rsidRPr="00DC5AFB" w:rsidR="007559FF">
        <w:rPr>
          <w:rFonts w:ascii="Times New Roman" w:hAnsi="Times New Roman" w:cs="Times New Roman"/>
          <w:i/>
          <w:iCs/>
        </w:rPr>
        <w:t xml:space="preserve">specifically, </w:t>
      </w:r>
      <w:r w:rsidRPr="00DC5AFB" w:rsidR="0008165C">
        <w:rPr>
          <w:rFonts w:ascii="Times New Roman" w:hAnsi="Times New Roman" w:cs="Times New Roman"/>
          <w:i/>
          <w:iCs/>
        </w:rPr>
        <w:t xml:space="preserve">the </w:t>
      </w:r>
      <w:r w:rsidRPr="00DC5AFB" w:rsidR="007559FF">
        <w:rPr>
          <w:rFonts w:ascii="Times New Roman" w:hAnsi="Times New Roman" w:cs="Times New Roman"/>
          <w:i/>
          <w:iCs/>
        </w:rPr>
        <w:t>sections</w:t>
      </w:r>
      <w:r w:rsidRPr="00DC5AFB" w:rsidR="0035408F">
        <w:rPr>
          <w:rFonts w:ascii="Times New Roman" w:hAnsi="Times New Roman" w:cs="Times New Roman"/>
          <w:i/>
          <w:iCs/>
        </w:rPr>
        <w:t xml:space="preserve"> </w:t>
      </w:r>
      <w:r w:rsidRPr="00DC5AFB" w:rsidR="0008165C">
        <w:rPr>
          <w:rFonts w:ascii="Times New Roman" w:hAnsi="Times New Roman" w:cs="Times New Roman"/>
          <w:i/>
          <w:iCs/>
        </w:rPr>
        <w:t>“Define the Licensing Event Grouping Strategy and Its Characteristics” through “Conduct an Independent Review and Complete QA Activities for the Licensing Event Identification”</w:t>
      </w:r>
      <w:r w:rsidRPr="00DC5AFB" w:rsidR="0035408F">
        <w:rPr>
          <w:rFonts w:ascii="Times New Roman" w:hAnsi="Times New Roman" w:cs="Times New Roman"/>
          <w:i/>
          <w:iCs/>
        </w:rPr>
        <w:t xml:space="preserve">) </w:t>
      </w:r>
      <w:r w:rsidRPr="00DC5AFB" w:rsidR="00EF4B82">
        <w:rPr>
          <w:rFonts w:ascii="Times New Roman" w:hAnsi="Times New Roman" w:cs="Times New Roman"/>
          <w:i/>
          <w:iCs/>
        </w:rPr>
        <w:t>apply to</w:t>
      </w:r>
      <w:r w:rsidRPr="00DC5AFB" w:rsidR="008E26A8">
        <w:rPr>
          <w:rFonts w:ascii="Times New Roman" w:hAnsi="Times New Roman" w:cs="Times New Roman"/>
          <w:i/>
          <w:iCs/>
        </w:rPr>
        <w:t xml:space="preserve"> </w:t>
      </w:r>
      <w:r w:rsidRPr="00DC5AFB" w:rsidR="00DC5AFB">
        <w:rPr>
          <w:rFonts w:ascii="Times New Roman" w:hAnsi="Times New Roman" w:cs="Times New Roman"/>
          <w:i/>
          <w:iCs/>
        </w:rPr>
        <w:t xml:space="preserve">all </w:t>
      </w:r>
      <w:r w:rsidRPr="00DC5AFB" w:rsidR="00136723">
        <w:rPr>
          <w:rFonts w:ascii="Times New Roman" w:hAnsi="Times New Roman" w:cs="Times New Roman"/>
          <w:i/>
          <w:iCs/>
        </w:rPr>
        <w:t>designers and</w:t>
      </w:r>
      <w:r w:rsidRPr="00DC5AFB" w:rsidR="008E26A8">
        <w:rPr>
          <w:rFonts w:ascii="Times New Roman" w:hAnsi="Times New Roman" w:cs="Times New Roman"/>
          <w:i/>
          <w:iCs/>
        </w:rPr>
        <w:t xml:space="preserve"> applicants </w:t>
      </w:r>
      <w:r w:rsidR="00597795">
        <w:rPr>
          <w:rFonts w:ascii="Times New Roman" w:hAnsi="Times New Roman" w:cs="Times New Roman"/>
          <w:i/>
          <w:iCs/>
        </w:rPr>
        <w:t>that</w:t>
      </w:r>
      <w:r w:rsidRPr="00DC5AFB" w:rsidR="00136723">
        <w:rPr>
          <w:rFonts w:ascii="Times New Roman" w:hAnsi="Times New Roman" w:cs="Times New Roman"/>
          <w:i/>
          <w:iCs/>
        </w:rPr>
        <w:t xml:space="preserve"> </w:t>
      </w:r>
      <w:r w:rsidRPr="00DC5AFB" w:rsidR="00DC5AFB">
        <w:rPr>
          <w:rFonts w:ascii="Times New Roman" w:hAnsi="Times New Roman" w:cs="Times New Roman"/>
          <w:i/>
          <w:iCs/>
        </w:rPr>
        <w:t xml:space="preserve">did not </w:t>
      </w:r>
      <w:r w:rsidRPr="00DC5AFB" w:rsidR="008E26A8">
        <w:rPr>
          <w:rFonts w:ascii="Times New Roman" w:hAnsi="Times New Roman" w:cs="Times New Roman"/>
          <w:i/>
          <w:iCs/>
        </w:rPr>
        <w:t>elect</w:t>
      </w:r>
      <w:r w:rsidR="00403A11">
        <w:rPr>
          <w:rFonts w:ascii="Times New Roman" w:hAnsi="Times New Roman" w:cs="Times New Roman"/>
          <w:i/>
          <w:iCs/>
        </w:rPr>
        <w:t xml:space="preserve"> to</w:t>
      </w:r>
      <w:r w:rsidRPr="00DC5AFB" w:rsidR="008E26A8">
        <w:rPr>
          <w:rFonts w:ascii="Times New Roman" w:hAnsi="Times New Roman" w:cs="Times New Roman"/>
          <w:i/>
          <w:iCs/>
        </w:rPr>
        <w:t xml:space="preserve"> </w:t>
      </w:r>
      <w:r w:rsidRPr="00DC5AFB" w:rsidR="00DC5AFB">
        <w:rPr>
          <w:rFonts w:ascii="Times New Roman" w:hAnsi="Times New Roman" w:cs="Times New Roman"/>
          <w:i/>
          <w:iCs/>
        </w:rPr>
        <w:t xml:space="preserve">implement </w:t>
      </w:r>
      <w:r w:rsidR="00183FB6">
        <w:rPr>
          <w:rFonts w:ascii="Times New Roman" w:hAnsi="Times New Roman" w:cs="Times New Roman"/>
          <w:i/>
          <w:iCs/>
        </w:rPr>
        <w:t xml:space="preserve">the </w:t>
      </w:r>
      <w:r w:rsidRPr="00DC5AFB" w:rsidR="00DC5AFB">
        <w:rPr>
          <w:rFonts w:ascii="Times New Roman" w:hAnsi="Times New Roman" w:cs="Times New Roman"/>
          <w:i/>
          <w:iCs/>
        </w:rPr>
        <w:t>LMP</w:t>
      </w:r>
      <w:r w:rsidRPr="00DC5AFB" w:rsidR="003F6763">
        <w:rPr>
          <w:rFonts w:ascii="Times New Roman" w:hAnsi="Times New Roman" w:cs="Times New Roman"/>
          <w:i/>
          <w:iCs/>
        </w:rPr>
        <w:t>.</w:t>
      </w:r>
    </w:p>
    <w:p w:rsidR="00D54C70" w:rsidP="002F3C90" w14:paraId="71B48DD5" w14:textId="77777777">
      <w:pPr>
        <w:spacing w:after="0" w:line="240" w:lineRule="auto"/>
        <w:ind w:firstLine="720"/>
        <w:rPr>
          <w:rFonts w:ascii="Times New Roman" w:hAnsi="Times New Roman" w:cs="Times New Roman"/>
        </w:rPr>
      </w:pPr>
    </w:p>
    <w:p w:rsidR="00E34D78" w:rsidP="002F3C90" w14:paraId="3278A9F3" w14:textId="18EF3095">
      <w:pPr>
        <w:pStyle w:val="Heading3"/>
        <w:spacing w:line="240" w:lineRule="auto"/>
      </w:pPr>
      <w:r w:rsidRPr="00586982">
        <w:rPr>
          <w:i/>
          <w:iCs/>
        </w:rPr>
        <w:t xml:space="preserve">Define </w:t>
      </w:r>
      <w:r w:rsidRPr="00586982" w:rsidR="008713F4">
        <w:rPr>
          <w:i/>
          <w:iCs/>
        </w:rPr>
        <w:t>the Licensing Event Grouping Strategy and Its Characteristics (</w:t>
      </w:r>
      <w:r w:rsidRPr="00586982" w:rsidR="00604333">
        <w:rPr>
          <w:i/>
          <w:iCs/>
        </w:rPr>
        <w:t>Box</w:t>
      </w:r>
      <w:r w:rsidR="00DC62BB">
        <w:rPr>
          <w:i/>
          <w:iCs/>
        </w:rPr>
        <w:t> </w:t>
      </w:r>
      <w:r w:rsidRPr="00586982" w:rsidR="008713F4">
        <w:rPr>
          <w:i/>
          <w:iCs/>
        </w:rPr>
        <w:t>2</w:t>
      </w:r>
      <w:r w:rsidRPr="00586982" w:rsidR="0010299F">
        <w:rPr>
          <w:i/>
          <w:iCs/>
        </w:rPr>
        <w:t>1</w:t>
      </w:r>
      <w:r w:rsidRPr="00586982" w:rsidR="008713F4">
        <w:rPr>
          <w:i/>
          <w:iCs/>
        </w:rPr>
        <w:t xml:space="preserve">, </w:t>
      </w:r>
      <w:r w:rsidRPr="00586982" w:rsidR="00604333">
        <w:rPr>
          <w:i/>
          <w:iCs/>
        </w:rPr>
        <w:t xml:space="preserve">Principle </w:t>
      </w:r>
      <w:r w:rsidRPr="00586982" w:rsidR="008713F4">
        <w:rPr>
          <w:i/>
          <w:iCs/>
        </w:rPr>
        <w:t>#4)</w:t>
      </w:r>
    </w:p>
    <w:p w:rsidR="00655D1B" w:rsidP="002F3C90" w14:paraId="309D9BB7" w14:textId="77777777">
      <w:pPr>
        <w:spacing w:after="0" w:line="240" w:lineRule="auto"/>
        <w:ind w:firstLine="720"/>
        <w:rPr>
          <w:rFonts w:ascii="Times New Roman" w:hAnsi="Times New Roman" w:cs="Times New Roman"/>
        </w:rPr>
      </w:pPr>
    </w:p>
    <w:p w:rsidR="00655D1B" w:rsidRPr="000C3A9A" w:rsidP="002F3C90" w14:paraId="4D08CC66" w14:textId="173C07C7">
      <w:pPr>
        <w:pStyle w:val="ListParagraph"/>
        <w:numPr>
          <w:ilvl w:val="0"/>
          <w:numId w:val="56"/>
        </w:numPr>
        <w:spacing w:after="0" w:line="240" w:lineRule="auto"/>
        <w:ind w:left="720" w:hanging="720"/>
        <w:rPr>
          <w:rFonts w:ascii="Times New Roman" w:hAnsi="Times New Roman" w:cs="Times New Roman"/>
        </w:rPr>
      </w:pPr>
      <w:r w:rsidRPr="000C3A9A">
        <w:rPr>
          <w:rFonts w:ascii="Times New Roman" w:hAnsi="Times New Roman" w:cs="Times New Roman"/>
        </w:rPr>
        <w:t>Once</w:t>
      </w:r>
      <w:r w:rsidRPr="000C3A9A" w:rsidR="001A1DBF">
        <w:rPr>
          <w:rFonts w:ascii="Times New Roman" w:hAnsi="Times New Roman" w:cs="Times New Roman"/>
        </w:rPr>
        <w:t xml:space="preserve"> the categories</w:t>
      </w:r>
      <w:r w:rsidRPr="000C3A9A">
        <w:rPr>
          <w:rFonts w:ascii="Times New Roman" w:hAnsi="Times New Roman" w:cs="Times New Roman"/>
        </w:rPr>
        <w:t xml:space="preserve"> of licensing events have been identified, </w:t>
      </w:r>
      <w:r w:rsidRPr="000C3A9A" w:rsidR="00E67E51">
        <w:rPr>
          <w:rFonts w:ascii="Times New Roman" w:hAnsi="Times New Roman" w:cs="Times New Roman"/>
        </w:rPr>
        <w:t xml:space="preserve">the event sequences </w:t>
      </w:r>
      <w:r w:rsidRPr="000C3A9A" w:rsidR="00D564FC">
        <w:rPr>
          <w:rFonts w:ascii="Times New Roman" w:hAnsi="Times New Roman" w:cs="Times New Roman"/>
        </w:rPr>
        <w:t>should</w:t>
      </w:r>
      <w:r w:rsidRPr="000C3A9A" w:rsidR="00E67E51">
        <w:rPr>
          <w:rFonts w:ascii="Times New Roman" w:hAnsi="Times New Roman" w:cs="Times New Roman"/>
        </w:rPr>
        <w:t xml:space="preserve"> be</w:t>
      </w:r>
      <w:r w:rsidRPr="000C3A9A" w:rsidR="004B009A">
        <w:rPr>
          <w:rFonts w:ascii="Times New Roman" w:hAnsi="Times New Roman" w:cs="Times New Roman"/>
        </w:rPr>
        <w:t xml:space="preserve"> </w:t>
      </w:r>
      <w:r w:rsidRPr="000C3A9A" w:rsidR="00984EFB">
        <w:rPr>
          <w:rFonts w:ascii="Times New Roman" w:hAnsi="Times New Roman" w:cs="Times New Roman"/>
        </w:rPr>
        <w:t xml:space="preserve">grouped </w:t>
      </w:r>
      <w:r w:rsidRPr="000C3A9A" w:rsidR="00282EF8">
        <w:rPr>
          <w:rFonts w:ascii="Times New Roman" w:hAnsi="Times New Roman" w:cs="Times New Roman"/>
        </w:rPr>
        <w:t xml:space="preserve">and mapped </w:t>
      </w:r>
      <w:r w:rsidRPr="000C3A9A" w:rsidR="00984EFB">
        <w:rPr>
          <w:rFonts w:ascii="Times New Roman" w:hAnsi="Times New Roman" w:cs="Times New Roman"/>
        </w:rPr>
        <w:t>in</w:t>
      </w:r>
      <w:r w:rsidRPr="000C3A9A" w:rsidR="004B009A">
        <w:rPr>
          <w:rFonts w:ascii="Times New Roman" w:hAnsi="Times New Roman" w:cs="Times New Roman"/>
        </w:rPr>
        <w:t>to the</w:t>
      </w:r>
      <w:r w:rsidRPr="000C3A9A" w:rsidR="0022482F">
        <w:rPr>
          <w:rFonts w:ascii="Times New Roman" w:hAnsi="Times New Roman" w:cs="Times New Roman"/>
        </w:rPr>
        <w:t xml:space="preserve"> defined</w:t>
      </w:r>
      <w:r w:rsidRPr="000C3A9A" w:rsidR="00D564FC">
        <w:rPr>
          <w:rFonts w:ascii="Times New Roman" w:hAnsi="Times New Roman" w:cs="Times New Roman"/>
        </w:rPr>
        <w:t xml:space="preserve"> </w:t>
      </w:r>
      <w:r w:rsidRPr="000C3A9A" w:rsidR="004B009A">
        <w:rPr>
          <w:rFonts w:ascii="Times New Roman" w:hAnsi="Times New Roman" w:cs="Times New Roman"/>
        </w:rPr>
        <w:t>licensing event</w:t>
      </w:r>
      <w:r w:rsidRPr="000C3A9A" w:rsidR="00283F72">
        <w:rPr>
          <w:rFonts w:ascii="Times New Roman" w:hAnsi="Times New Roman" w:cs="Times New Roman"/>
        </w:rPr>
        <w:t xml:space="preserve"> categories</w:t>
      </w:r>
      <w:r w:rsidRPr="000C3A9A" w:rsidR="004B009A">
        <w:rPr>
          <w:rFonts w:ascii="Times New Roman" w:hAnsi="Times New Roman" w:cs="Times New Roman"/>
        </w:rPr>
        <w:t xml:space="preserve">. The designers and applicants </w:t>
      </w:r>
      <w:r w:rsidRPr="000C3A9A" w:rsidR="000E6754">
        <w:rPr>
          <w:rFonts w:ascii="Times New Roman" w:hAnsi="Times New Roman" w:cs="Times New Roman"/>
        </w:rPr>
        <w:t xml:space="preserve">should define the </w:t>
      </w:r>
      <w:r w:rsidRPr="000C3A9A" w:rsidR="007C4563">
        <w:rPr>
          <w:rFonts w:ascii="Times New Roman" w:hAnsi="Times New Roman" w:cs="Times New Roman"/>
        </w:rPr>
        <w:t xml:space="preserve">strategy for </w:t>
      </w:r>
      <w:r w:rsidRPr="000C3A9A" w:rsidR="000E6754">
        <w:rPr>
          <w:rFonts w:ascii="Times New Roman" w:hAnsi="Times New Roman" w:cs="Times New Roman"/>
        </w:rPr>
        <w:t xml:space="preserve">grouping </w:t>
      </w:r>
      <w:r w:rsidRPr="000C3A9A" w:rsidR="003F3154">
        <w:rPr>
          <w:rFonts w:ascii="Times New Roman" w:hAnsi="Times New Roman" w:cs="Times New Roman"/>
        </w:rPr>
        <w:t>event sequences</w:t>
      </w:r>
      <w:r w:rsidRPr="000C3A9A" w:rsidR="000E6754">
        <w:rPr>
          <w:rFonts w:ascii="Times New Roman" w:hAnsi="Times New Roman" w:cs="Times New Roman"/>
        </w:rPr>
        <w:t xml:space="preserve">. </w:t>
      </w:r>
      <w:r w:rsidRPr="000C3A9A" w:rsidR="00597795">
        <w:rPr>
          <w:rFonts w:ascii="Times New Roman" w:hAnsi="Times New Roman" w:cs="Times New Roman"/>
        </w:rPr>
        <w:t>G</w:t>
      </w:r>
      <w:r w:rsidRPr="000C3A9A" w:rsidR="00A05545">
        <w:rPr>
          <w:rFonts w:ascii="Times New Roman" w:hAnsi="Times New Roman" w:cs="Times New Roman"/>
        </w:rPr>
        <w:t>rouping</w:t>
      </w:r>
      <w:r w:rsidRPr="000C3A9A" w:rsidR="000E6754">
        <w:rPr>
          <w:rFonts w:ascii="Times New Roman" w:hAnsi="Times New Roman" w:cs="Times New Roman"/>
        </w:rPr>
        <w:t xml:space="preserve"> can be </w:t>
      </w:r>
      <w:r w:rsidRPr="000C3A9A" w:rsidR="00EE1C2C">
        <w:rPr>
          <w:rFonts w:ascii="Times New Roman" w:hAnsi="Times New Roman" w:cs="Times New Roman"/>
        </w:rPr>
        <w:t>accomplished</w:t>
      </w:r>
      <w:r w:rsidRPr="000C3A9A" w:rsidR="00597795">
        <w:rPr>
          <w:rFonts w:ascii="Times New Roman" w:hAnsi="Times New Roman" w:cs="Times New Roman"/>
        </w:rPr>
        <w:t xml:space="preserve"> in many ways</w:t>
      </w:r>
      <w:r w:rsidRPr="000C3A9A" w:rsidR="008751C0">
        <w:rPr>
          <w:rFonts w:ascii="Times New Roman" w:hAnsi="Times New Roman" w:cs="Times New Roman"/>
        </w:rPr>
        <w:t xml:space="preserve">. </w:t>
      </w:r>
      <w:r w:rsidRPr="000C3A9A" w:rsidR="007C4E3C">
        <w:rPr>
          <w:rFonts w:ascii="Times New Roman" w:hAnsi="Times New Roman" w:cs="Times New Roman"/>
        </w:rPr>
        <w:t>T</w:t>
      </w:r>
      <w:r w:rsidRPr="000C3A9A" w:rsidR="000E6754">
        <w:rPr>
          <w:rFonts w:ascii="Times New Roman" w:hAnsi="Times New Roman" w:cs="Times New Roman"/>
        </w:rPr>
        <w:t xml:space="preserve">he events </w:t>
      </w:r>
      <w:r w:rsidRPr="000C3A9A" w:rsidR="00FB4DCA">
        <w:rPr>
          <w:rFonts w:ascii="Times New Roman" w:hAnsi="Times New Roman" w:cs="Times New Roman"/>
        </w:rPr>
        <w:t>can</w:t>
      </w:r>
      <w:r w:rsidRPr="000C3A9A" w:rsidR="000E6754">
        <w:rPr>
          <w:rFonts w:ascii="Times New Roman" w:hAnsi="Times New Roman" w:cs="Times New Roman"/>
        </w:rPr>
        <w:t xml:space="preserve"> </w:t>
      </w:r>
      <w:r w:rsidRPr="000C3A9A" w:rsidR="006C10A1">
        <w:rPr>
          <w:rFonts w:ascii="Times New Roman" w:hAnsi="Times New Roman" w:cs="Times New Roman"/>
        </w:rPr>
        <w:t>be</w:t>
      </w:r>
      <w:r w:rsidRPr="000C3A9A" w:rsidR="000E6754">
        <w:rPr>
          <w:rFonts w:ascii="Times New Roman" w:hAnsi="Times New Roman" w:cs="Times New Roman"/>
        </w:rPr>
        <w:t xml:space="preserve"> grouped by frequency</w:t>
      </w:r>
      <w:r w:rsidRPr="000C3A9A" w:rsidR="00DC62BB">
        <w:rPr>
          <w:rFonts w:ascii="Times New Roman" w:hAnsi="Times New Roman" w:cs="Times New Roman"/>
        </w:rPr>
        <w:t>,</w:t>
      </w:r>
      <w:r w:rsidRPr="000C3A9A" w:rsidR="00F94DA4">
        <w:rPr>
          <w:rFonts w:ascii="Times New Roman" w:hAnsi="Times New Roman" w:cs="Times New Roman"/>
        </w:rPr>
        <w:t xml:space="preserve"> </w:t>
      </w:r>
      <w:r w:rsidRPr="000C3A9A" w:rsidR="00CB1BBE">
        <w:rPr>
          <w:rFonts w:ascii="Times New Roman" w:hAnsi="Times New Roman" w:cs="Times New Roman"/>
        </w:rPr>
        <w:t>which can</w:t>
      </w:r>
      <w:r w:rsidRPr="000C3A9A" w:rsidR="00F94DA4">
        <w:rPr>
          <w:rFonts w:ascii="Times New Roman" w:hAnsi="Times New Roman" w:cs="Times New Roman"/>
        </w:rPr>
        <w:t xml:space="preserve"> be estimated </w:t>
      </w:r>
      <w:r w:rsidRPr="000C3A9A" w:rsidR="000E6754">
        <w:rPr>
          <w:rFonts w:ascii="Times New Roman" w:hAnsi="Times New Roman" w:cs="Times New Roman"/>
        </w:rPr>
        <w:t>quantitative</w:t>
      </w:r>
      <w:r w:rsidRPr="000C3A9A" w:rsidR="00F94DA4">
        <w:rPr>
          <w:rFonts w:ascii="Times New Roman" w:hAnsi="Times New Roman" w:cs="Times New Roman"/>
        </w:rPr>
        <w:t>ly</w:t>
      </w:r>
      <w:r w:rsidRPr="000C3A9A" w:rsidR="000E6754">
        <w:rPr>
          <w:rFonts w:ascii="Times New Roman" w:hAnsi="Times New Roman" w:cs="Times New Roman"/>
        </w:rPr>
        <w:t xml:space="preserve"> </w:t>
      </w:r>
      <w:r w:rsidRPr="000C3A9A" w:rsidR="00CB1BBE">
        <w:rPr>
          <w:rFonts w:ascii="Times New Roman" w:hAnsi="Times New Roman" w:cs="Times New Roman"/>
        </w:rPr>
        <w:t xml:space="preserve">or </w:t>
      </w:r>
      <w:r w:rsidRPr="000C3A9A" w:rsidR="000E6754">
        <w:rPr>
          <w:rFonts w:ascii="Times New Roman" w:hAnsi="Times New Roman" w:cs="Times New Roman"/>
        </w:rPr>
        <w:t>qualitative</w:t>
      </w:r>
      <w:r w:rsidRPr="000C3A9A" w:rsidR="00CB1BBE">
        <w:rPr>
          <w:rFonts w:ascii="Times New Roman" w:hAnsi="Times New Roman" w:cs="Times New Roman"/>
        </w:rPr>
        <w:t>ly</w:t>
      </w:r>
      <w:r w:rsidRPr="000C3A9A" w:rsidR="00F94DA4">
        <w:rPr>
          <w:rFonts w:ascii="Times New Roman" w:hAnsi="Times New Roman" w:cs="Times New Roman"/>
        </w:rPr>
        <w:t>.</w:t>
      </w:r>
      <w:r w:rsidRPr="000C3A9A" w:rsidR="00A218DD">
        <w:rPr>
          <w:rFonts w:ascii="Times New Roman" w:hAnsi="Times New Roman" w:cs="Times New Roman"/>
        </w:rPr>
        <w:t xml:space="preserve"> </w:t>
      </w:r>
      <w:r w:rsidRPr="000C3A9A" w:rsidR="00F94DA4">
        <w:rPr>
          <w:rFonts w:ascii="Times New Roman" w:hAnsi="Times New Roman" w:cs="Times New Roman"/>
        </w:rPr>
        <w:t xml:space="preserve">The events </w:t>
      </w:r>
      <w:r w:rsidRPr="000C3A9A" w:rsidR="00FB4DCA">
        <w:rPr>
          <w:rFonts w:ascii="Times New Roman" w:hAnsi="Times New Roman" w:cs="Times New Roman"/>
        </w:rPr>
        <w:t>can</w:t>
      </w:r>
      <w:r w:rsidRPr="000C3A9A" w:rsidR="00F94DA4">
        <w:rPr>
          <w:rFonts w:ascii="Times New Roman" w:hAnsi="Times New Roman" w:cs="Times New Roman"/>
        </w:rPr>
        <w:t xml:space="preserve"> </w:t>
      </w:r>
      <w:r w:rsidRPr="000C3A9A" w:rsidR="00936C8B">
        <w:rPr>
          <w:rFonts w:ascii="Times New Roman" w:hAnsi="Times New Roman" w:cs="Times New Roman"/>
        </w:rPr>
        <w:t xml:space="preserve">also </w:t>
      </w:r>
      <w:r w:rsidRPr="000C3A9A" w:rsidR="00F94DA4">
        <w:rPr>
          <w:rFonts w:ascii="Times New Roman" w:hAnsi="Times New Roman" w:cs="Times New Roman"/>
        </w:rPr>
        <w:t xml:space="preserve">be grouped by </w:t>
      </w:r>
      <w:r w:rsidRPr="000C3A9A" w:rsidR="000E6754">
        <w:rPr>
          <w:rFonts w:ascii="Times New Roman" w:hAnsi="Times New Roman" w:cs="Times New Roman"/>
        </w:rPr>
        <w:t xml:space="preserve">type of event, </w:t>
      </w:r>
      <w:r w:rsidRPr="000C3A9A" w:rsidR="007C4563">
        <w:rPr>
          <w:rFonts w:ascii="Times New Roman" w:hAnsi="Times New Roman" w:cs="Times New Roman"/>
        </w:rPr>
        <w:t>which considers aspects such as</w:t>
      </w:r>
      <w:r w:rsidRPr="000C3A9A" w:rsidR="000E6754">
        <w:rPr>
          <w:rFonts w:ascii="Times New Roman" w:hAnsi="Times New Roman" w:cs="Times New Roman"/>
        </w:rPr>
        <w:t xml:space="preserve"> plant response following the initiating events, the similarity of challenges to the safety functions,</w:t>
      </w:r>
      <w:r w:rsidRPr="000C3A9A" w:rsidR="004A2FD5">
        <w:rPr>
          <w:rFonts w:ascii="Times New Roman" w:hAnsi="Times New Roman" w:cs="Times New Roman"/>
        </w:rPr>
        <w:t xml:space="preserve"> or</w:t>
      </w:r>
      <w:r w:rsidRPr="000C3A9A" w:rsidR="00886C60">
        <w:rPr>
          <w:rFonts w:ascii="Times New Roman" w:hAnsi="Times New Roman" w:cs="Times New Roman"/>
        </w:rPr>
        <w:t xml:space="preserve"> </w:t>
      </w:r>
      <w:r w:rsidRPr="000C3A9A" w:rsidR="00BD0E1A">
        <w:rPr>
          <w:rFonts w:ascii="Times New Roman" w:hAnsi="Times New Roman" w:cs="Times New Roman"/>
        </w:rPr>
        <w:t>similarity</w:t>
      </w:r>
      <w:r w:rsidRPr="000C3A9A" w:rsidR="000E6754">
        <w:rPr>
          <w:rFonts w:ascii="Times New Roman" w:hAnsi="Times New Roman" w:cs="Times New Roman"/>
        </w:rPr>
        <w:t xml:space="preserve"> </w:t>
      </w:r>
      <w:r w:rsidRPr="000C3A9A" w:rsidR="005C3D7B">
        <w:rPr>
          <w:rFonts w:ascii="Times New Roman" w:hAnsi="Times New Roman" w:cs="Times New Roman"/>
        </w:rPr>
        <w:t xml:space="preserve">in </w:t>
      </w:r>
      <w:r w:rsidRPr="000C3A9A" w:rsidR="008459C7">
        <w:rPr>
          <w:rFonts w:ascii="Times New Roman" w:hAnsi="Times New Roman" w:cs="Times New Roman"/>
        </w:rPr>
        <w:t>pathways that could lead to the release of radioactive material to the environment</w:t>
      </w:r>
      <w:r w:rsidRPr="000C3A9A" w:rsidR="005162B5">
        <w:rPr>
          <w:rFonts w:ascii="Times New Roman" w:hAnsi="Times New Roman" w:cs="Times New Roman"/>
        </w:rPr>
        <w:t>.</w:t>
      </w:r>
    </w:p>
    <w:p w:rsidR="00F77067" w:rsidP="002F3C90" w14:paraId="64FE5D15" w14:textId="77777777">
      <w:pPr>
        <w:spacing w:after="0" w:line="240" w:lineRule="auto"/>
        <w:ind w:firstLine="720"/>
        <w:rPr>
          <w:i/>
          <w:iCs/>
        </w:rPr>
      </w:pPr>
    </w:p>
    <w:p w:rsidR="00747C83" w:rsidP="002F3C90" w14:paraId="009435BE" w14:textId="4504D223">
      <w:pPr>
        <w:pStyle w:val="Heading3"/>
        <w:spacing w:line="240" w:lineRule="auto"/>
      </w:pPr>
      <w:r w:rsidRPr="00586982">
        <w:rPr>
          <w:i/>
          <w:iCs/>
        </w:rPr>
        <w:t xml:space="preserve">Apply </w:t>
      </w:r>
      <w:r w:rsidRPr="00586982" w:rsidR="008713F4">
        <w:rPr>
          <w:i/>
          <w:iCs/>
        </w:rPr>
        <w:t>the Licensing Event Grouping Strategy (</w:t>
      </w:r>
      <w:r w:rsidRPr="00586982" w:rsidR="00604333">
        <w:rPr>
          <w:i/>
          <w:iCs/>
        </w:rPr>
        <w:t>Box</w:t>
      </w:r>
      <w:r w:rsidR="00DC62BB">
        <w:rPr>
          <w:i/>
          <w:iCs/>
        </w:rPr>
        <w:t> </w:t>
      </w:r>
      <w:r w:rsidRPr="00586982" w:rsidR="008713F4">
        <w:rPr>
          <w:i/>
          <w:iCs/>
        </w:rPr>
        <w:t>2</w:t>
      </w:r>
      <w:r w:rsidRPr="00586982" w:rsidR="0088391D">
        <w:rPr>
          <w:i/>
          <w:iCs/>
        </w:rPr>
        <w:t>2</w:t>
      </w:r>
      <w:r w:rsidRPr="00586982" w:rsidR="008713F4">
        <w:rPr>
          <w:i/>
          <w:iCs/>
        </w:rPr>
        <w:t xml:space="preserve">, </w:t>
      </w:r>
      <w:r w:rsidRPr="00586982" w:rsidR="00604333">
        <w:rPr>
          <w:i/>
          <w:iCs/>
        </w:rPr>
        <w:t xml:space="preserve">Principle </w:t>
      </w:r>
      <w:r w:rsidRPr="00586982" w:rsidR="008713F4">
        <w:rPr>
          <w:i/>
          <w:iCs/>
        </w:rPr>
        <w:t>#4)</w:t>
      </w:r>
    </w:p>
    <w:p w:rsidR="00693C03" w:rsidP="002F3C90" w14:paraId="03023002" w14:textId="77777777">
      <w:pPr>
        <w:spacing w:after="0" w:line="240" w:lineRule="auto"/>
        <w:ind w:firstLine="720"/>
        <w:rPr>
          <w:rFonts w:ascii="Times New Roman" w:hAnsi="Times New Roman" w:cs="Times New Roman"/>
        </w:rPr>
      </w:pPr>
    </w:p>
    <w:p w:rsidR="00693C03" w:rsidRPr="00586982" w:rsidP="002F3C90" w14:paraId="191EBAF7" w14:textId="135AEFD5">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Licensing events should be identified using the results of the </w:t>
      </w:r>
      <w:r w:rsidRPr="00586982" w:rsidR="004200D7">
        <w:rPr>
          <w:rFonts w:ascii="Times New Roman" w:hAnsi="Times New Roman" w:cs="Times New Roman"/>
        </w:rPr>
        <w:t>i</w:t>
      </w:r>
      <w:r w:rsidRPr="00586982" w:rsidR="00550070">
        <w:rPr>
          <w:rFonts w:ascii="Times New Roman" w:hAnsi="Times New Roman" w:cs="Times New Roman"/>
        </w:rPr>
        <w:t>n</w:t>
      </w:r>
      <w:r w:rsidRPr="00586982" w:rsidR="004200D7">
        <w:rPr>
          <w:rFonts w:ascii="Times New Roman" w:hAnsi="Times New Roman" w:cs="Times New Roman"/>
        </w:rPr>
        <w:t>it</w:t>
      </w:r>
      <w:r w:rsidRPr="00586982" w:rsidR="00550070">
        <w:rPr>
          <w:rFonts w:ascii="Times New Roman" w:hAnsi="Times New Roman" w:cs="Times New Roman"/>
        </w:rPr>
        <w:t>i</w:t>
      </w:r>
      <w:r w:rsidRPr="00586982" w:rsidR="004200D7">
        <w:rPr>
          <w:rFonts w:ascii="Times New Roman" w:hAnsi="Times New Roman" w:cs="Times New Roman"/>
        </w:rPr>
        <w:t>ating event</w:t>
      </w:r>
      <w:r w:rsidRPr="00586982">
        <w:rPr>
          <w:rFonts w:ascii="Times New Roman" w:hAnsi="Times New Roman" w:cs="Times New Roman"/>
        </w:rPr>
        <w:t xml:space="preserve"> search</w:t>
      </w:r>
      <w:r w:rsidRPr="00586982" w:rsidR="006919B0">
        <w:rPr>
          <w:rFonts w:ascii="Times New Roman" w:hAnsi="Times New Roman" w:cs="Times New Roman"/>
        </w:rPr>
        <w:t>,</w:t>
      </w:r>
      <w:r w:rsidRPr="00586982">
        <w:rPr>
          <w:rFonts w:ascii="Times New Roman" w:hAnsi="Times New Roman" w:cs="Times New Roman"/>
        </w:rPr>
        <w:t xml:space="preserve"> event sequence delineation</w:t>
      </w:r>
      <w:r w:rsidRPr="00586982" w:rsidR="006919B0">
        <w:rPr>
          <w:rFonts w:ascii="Times New Roman" w:hAnsi="Times New Roman" w:cs="Times New Roman"/>
        </w:rPr>
        <w:t>,</w:t>
      </w:r>
      <w:r w:rsidRPr="00586982" w:rsidR="00F65BD9">
        <w:rPr>
          <w:rFonts w:ascii="Times New Roman" w:hAnsi="Times New Roman" w:cs="Times New Roman"/>
        </w:rPr>
        <w:t xml:space="preserve"> and grouping strategy</w:t>
      </w:r>
      <w:r w:rsidRPr="00586982">
        <w:rPr>
          <w:rFonts w:ascii="Times New Roman" w:hAnsi="Times New Roman" w:cs="Times New Roman"/>
        </w:rPr>
        <w:t>. All</w:t>
      </w:r>
      <w:r w:rsidRPr="00586982" w:rsidR="00DB44FE">
        <w:rPr>
          <w:rFonts w:ascii="Times New Roman" w:hAnsi="Times New Roman" w:cs="Times New Roman"/>
        </w:rPr>
        <w:t xml:space="preserve"> </w:t>
      </w:r>
      <w:r w:rsidRPr="00586982" w:rsidR="00125335">
        <w:rPr>
          <w:rFonts w:ascii="Times New Roman" w:hAnsi="Times New Roman" w:cs="Times New Roman"/>
        </w:rPr>
        <w:t xml:space="preserve">identified </w:t>
      </w:r>
      <w:r w:rsidRPr="00586982" w:rsidR="00F65BD9">
        <w:rPr>
          <w:rFonts w:ascii="Times New Roman" w:hAnsi="Times New Roman" w:cs="Times New Roman"/>
        </w:rPr>
        <w:t xml:space="preserve">event </w:t>
      </w:r>
      <w:r w:rsidRPr="00586982">
        <w:rPr>
          <w:rFonts w:ascii="Times New Roman" w:hAnsi="Times New Roman" w:cs="Times New Roman"/>
        </w:rPr>
        <w:t>sequences should be mapped to</w:t>
      </w:r>
      <w:r w:rsidRPr="00586982" w:rsidR="00F65BD9">
        <w:rPr>
          <w:rFonts w:ascii="Times New Roman" w:hAnsi="Times New Roman" w:cs="Times New Roman"/>
        </w:rPr>
        <w:t xml:space="preserve"> </w:t>
      </w:r>
      <w:r w:rsidRPr="00586982" w:rsidR="0016791F">
        <w:rPr>
          <w:rFonts w:ascii="Times New Roman" w:hAnsi="Times New Roman" w:cs="Times New Roman"/>
        </w:rPr>
        <w:t xml:space="preserve">a </w:t>
      </w:r>
      <w:r w:rsidRPr="00586982">
        <w:rPr>
          <w:rFonts w:ascii="Times New Roman" w:hAnsi="Times New Roman" w:cs="Times New Roman"/>
        </w:rPr>
        <w:t>licensing event</w:t>
      </w:r>
      <w:r w:rsidRPr="00586982" w:rsidR="00AF0C9D">
        <w:rPr>
          <w:rFonts w:ascii="Times New Roman" w:hAnsi="Times New Roman" w:cs="Times New Roman"/>
        </w:rPr>
        <w:t xml:space="preserve"> </w:t>
      </w:r>
      <w:r w:rsidRPr="00586982" w:rsidR="0085582B">
        <w:rPr>
          <w:rFonts w:ascii="Times New Roman" w:hAnsi="Times New Roman" w:cs="Times New Roman"/>
        </w:rPr>
        <w:t>categor</w:t>
      </w:r>
      <w:r w:rsidRPr="00586982" w:rsidR="0016791F">
        <w:rPr>
          <w:rFonts w:ascii="Times New Roman" w:hAnsi="Times New Roman" w:cs="Times New Roman"/>
        </w:rPr>
        <w:t>y</w:t>
      </w:r>
      <w:r w:rsidRPr="00586982" w:rsidR="00DB44FE">
        <w:rPr>
          <w:rFonts w:ascii="Times New Roman" w:hAnsi="Times New Roman" w:cs="Times New Roman"/>
        </w:rPr>
        <w:t>,</w:t>
      </w:r>
      <w:r w:rsidR="004C455E">
        <w:rPr>
          <w:rFonts w:ascii="Times New Roman" w:hAnsi="Times New Roman" w:cs="Times New Roman"/>
        </w:rPr>
        <w:t xml:space="preserve"> and</w:t>
      </w:r>
      <w:r w:rsidRPr="00586982" w:rsidR="00DB44FE">
        <w:rPr>
          <w:rFonts w:ascii="Times New Roman" w:hAnsi="Times New Roman" w:cs="Times New Roman"/>
        </w:rPr>
        <w:t xml:space="preserve"> no event sequences should be eliminated</w:t>
      </w:r>
      <w:r w:rsidRPr="00586982">
        <w:rPr>
          <w:rFonts w:ascii="Times New Roman" w:hAnsi="Times New Roman" w:cs="Times New Roman"/>
        </w:rPr>
        <w:t>.</w:t>
      </w:r>
    </w:p>
    <w:p w:rsidR="00693C03" w:rsidP="002F3C90" w14:paraId="3A6713FB" w14:textId="77777777">
      <w:pPr>
        <w:spacing w:after="0" w:line="240" w:lineRule="auto"/>
        <w:rPr>
          <w:rFonts w:ascii="Times New Roman" w:hAnsi="Times New Roman" w:cs="Times New Roman"/>
        </w:rPr>
      </w:pPr>
    </w:p>
    <w:p w:rsidR="00747C83" w:rsidP="002F3C90" w14:paraId="3D58EF69" w14:textId="6D5A0462">
      <w:pPr>
        <w:pStyle w:val="Heading3"/>
        <w:spacing w:line="240" w:lineRule="auto"/>
      </w:pPr>
      <w:r w:rsidRPr="00586982">
        <w:rPr>
          <w:i/>
          <w:iCs/>
        </w:rPr>
        <w:t xml:space="preserve">Identify </w:t>
      </w:r>
      <w:r w:rsidRPr="00586982" w:rsidR="008713F4">
        <w:rPr>
          <w:i/>
          <w:iCs/>
        </w:rPr>
        <w:t>the Limiting Cases for Each Group of Licensing Events (</w:t>
      </w:r>
      <w:r w:rsidRPr="00586982" w:rsidR="00604333">
        <w:rPr>
          <w:i/>
          <w:iCs/>
        </w:rPr>
        <w:t>Box</w:t>
      </w:r>
      <w:r w:rsidR="00DC62BB">
        <w:rPr>
          <w:i/>
          <w:iCs/>
        </w:rPr>
        <w:t> </w:t>
      </w:r>
      <w:r w:rsidRPr="00586982" w:rsidR="008713F4">
        <w:rPr>
          <w:i/>
          <w:iCs/>
        </w:rPr>
        <w:t>2</w:t>
      </w:r>
      <w:r w:rsidRPr="00586982" w:rsidR="00F62525">
        <w:rPr>
          <w:i/>
          <w:iCs/>
        </w:rPr>
        <w:t>3</w:t>
      </w:r>
      <w:r w:rsidRPr="00586982" w:rsidR="008713F4">
        <w:rPr>
          <w:i/>
          <w:iCs/>
        </w:rPr>
        <w:t xml:space="preserve">, </w:t>
      </w:r>
      <w:r w:rsidRPr="00586982" w:rsidR="00604333">
        <w:rPr>
          <w:i/>
          <w:iCs/>
        </w:rPr>
        <w:t xml:space="preserve">Principle </w:t>
      </w:r>
      <w:r w:rsidRPr="00586982" w:rsidR="008713F4">
        <w:rPr>
          <w:i/>
          <w:iCs/>
        </w:rPr>
        <w:t>#4)</w:t>
      </w:r>
    </w:p>
    <w:p w:rsidR="001D163B" w:rsidP="002F3C90" w14:paraId="54DC746F" w14:textId="286BA51C">
      <w:pPr>
        <w:keepNext/>
        <w:spacing w:after="0" w:line="240" w:lineRule="auto"/>
        <w:rPr>
          <w:rFonts w:ascii="Times New Roman" w:hAnsi="Times New Roman" w:cs="Times New Roman"/>
        </w:rPr>
      </w:pPr>
    </w:p>
    <w:p w:rsidR="00325A43" w:rsidRPr="00586982" w:rsidP="002F3C90" w14:paraId="5E4FC897" w14:textId="553A7E18">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A number of</w:t>
      </w:r>
      <w:r w:rsidRPr="00586982">
        <w:rPr>
          <w:rFonts w:ascii="Times New Roman" w:hAnsi="Times New Roman" w:cs="Times New Roman"/>
        </w:rPr>
        <w:t xml:space="preserve"> limiting cases, referred to as bounding or enveloping scenarios, should be selected from each </w:t>
      </w:r>
      <w:r w:rsidRPr="00586982" w:rsidR="00B058C0">
        <w:rPr>
          <w:rFonts w:ascii="Times New Roman" w:hAnsi="Times New Roman" w:cs="Times New Roman"/>
        </w:rPr>
        <w:t xml:space="preserve">group </w:t>
      </w:r>
      <w:r w:rsidRPr="00586982">
        <w:rPr>
          <w:rFonts w:ascii="Times New Roman" w:hAnsi="Times New Roman" w:cs="Times New Roman"/>
        </w:rPr>
        <w:t xml:space="preserve">of </w:t>
      </w:r>
      <w:r w:rsidRPr="00586982" w:rsidR="0061370F">
        <w:rPr>
          <w:rFonts w:ascii="Times New Roman" w:hAnsi="Times New Roman" w:cs="Times New Roman"/>
        </w:rPr>
        <w:t xml:space="preserve">licensing </w:t>
      </w:r>
      <w:r w:rsidRPr="00586982">
        <w:rPr>
          <w:rFonts w:ascii="Times New Roman" w:hAnsi="Times New Roman" w:cs="Times New Roman"/>
        </w:rPr>
        <w:t>events</w:t>
      </w:r>
      <w:r w:rsidRPr="00586982" w:rsidR="008751C0">
        <w:rPr>
          <w:rFonts w:ascii="Times New Roman" w:hAnsi="Times New Roman" w:cs="Times New Roman"/>
        </w:rPr>
        <w:t xml:space="preserve">. </w:t>
      </w:r>
      <w:r w:rsidRPr="00586982">
        <w:rPr>
          <w:rFonts w:ascii="Times New Roman" w:hAnsi="Times New Roman" w:cs="Times New Roman"/>
        </w:rPr>
        <w:t>The bounding or enveloping scenario</w:t>
      </w:r>
      <w:r w:rsidRPr="00586982" w:rsidR="000F332D">
        <w:rPr>
          <w:rFonts w:ascii="Times New Roman" w:hAnsi="Times New Roman" w:cs="Times New Roman"/>
        </w:rPr>
        <w:t>(</w:t>
      </w:r>
      <w:r w:rsidRPr="00586982">
        <w:rPr>
          <w:rFonts w:ascii="Times New Roman" w:hAnsi="Times New Roman" w:cs="Times New Roman"/>
        </w:rPr>
        <w:t>s</w:t>
      </w:r>
      <w:r w:rsidRPr="00586982" w:rsidR="000F332D">
        <w:rPr>
          <w:rFonts w:ascii="Times New Roman" w:hAnsi="Times New Roman" w:cs="Times New Roman"/>
        </w:rPr>
        <w:t>)</w:t>
      </w:r>
      <w:r w:rsidRPr="00586982">
        <w:rPr>
          <w:rFonts w:ascii="Times New Roman" w:hAnsi="Times New Roman" w:cs="Times New Roman"/>
        </w:rPr>
        <w:t xml:space="preserve"> should be chosen so </w:t>
      </w:r>
      <w:r w:rsidRPr="00586982">
        <w:rPr>
          <w:rFonts w:ascii="Times New Roman" w:hAnsi="Times New Roman" w:cs="Times New Roman"/>
        </w:rPr>
        <w:t xml:space="preserve">that </w:t>
      </w:r>
      <w:r w:rsidRPr="00586982" w:rsidR="000F332D">
        <w:rPr>
          <w:rFonts w:ascii="Times New Roman" w:hAnsi="Times New Roman" w:cs="Times New Roman"/>
        </w:rPr>
        <w:t xml:space="preserve">individually or </w:t>
      </w:r>
      <w:r w:rsidRPr="00586982">
        <w:rPr>
          <w:rFonts w:ascii="Times New Roman" w:hAnsi="Times New Roman" w:cs="Times New Roman"/>
        </w:rPr>
        <w:t xml:space="preserve">collectively they </w:t>
      </w:r>
      <w:r w:rsidRPr="00586982" w:rsidR="000F332D">
        <w:rPr>
          <w:rFonts w:ascii="Times New Roman" w:hAnsi="Times New Roman" w:cs="Times New Roman"/>
        </w:rPr>
        <w:t>account for</w:t>
      </w:r>
      <w:r w:rsidRPr="00586982">
        <w:rPr>
          <w:rFonts w:ascii="Times New Roman" w:hAnsi="Times New Roman" w:cs="Times New Roman"/>
        </w:rPr>
        <w:t xml:space="preserve"> the greatest possible challenges and limiting values for the performance parameters of safety</w:t>
      </w:r>
      <w:r w:rsidRPr="00586982" w:rsidR="00EB6265">
        <w:rPr>
          <w:rFonts w:ascii="Times New Roman" w:hAnsi="Times New Roman" w:cs="Times New Roman"/>
        </w:rPr>
        <w:t>-</w:t>
      </w:r>
      <w:r w:rsidRPr="00586982">
        <w:rPr>
          <w:rFonts w:ascii="Times New Roman" w:hAnsi="Times New Roman" w:cs="Times New Roman"/>
        </w:rPr>
        <w:t>related equipment</w:t>
      </w:r>
      <w:r w:rsidRPr="00586982" w:rsidR="00027924">
        <w:rPr>
          <w:rFonts w:ascii="Times New Roman" w:hAnsi="Times New Roman" w:cs="Times New Roman"/>
        </w:rPr>
        <w:t xml:space="preserve"> of those scenarios within the </w:t>
      </w:r>
      <w:r w:rsidRPr="00586982" w:rsidR="0043607C">
        <w:rPr>
          <w:rFonts w:ascii="Times New Roman" w:hAnsi="Times New Roman" w:cs="Times New Roman"/>
        </w:rPr>
        <w:t>group</w:t>
      </w:r>
      <w:r w:rsidRPr="00586982">
        <w:rPr>
          <w:rFonts w:ascii="Times New Roman" w:hAnsi="Times New Roman" w:cs="Times New Roman"/>
        </w:rPr>
        <w:t xml:space="preserve">. Several initiating events may be combined, or their consequences amplified, </w:t>
      </w:r>
      <w:r w:rsidR="00DC62BB">
        <w:rPr>
          <w:rFonts w:ascii="Times New Roman" w:hAnsi="Times New Roman" w:cs="Times New Roman"/>
        </w:rPr>
        <w:t xml:space="preserve">or both, </w:t>
      </w:r>
      <w:r w:rsidRPr="00586982" w:rsidR="00315825">
        <w:rPr>
          <w:rFonts w:ascii="Times New Roman" w:hAnsi="Times New Roman" w:cs="Times New Roman"/>
        </w:rPr>
        <w:t>to develop a</w:t>
      </w:r>
      <w:r w:rsidRPr="00586982">
        <w:rPr>
          <w:rFonts w:ascii="Times New Roman" w:hAnsi="Times New Roman" w:cs="Times New Roman"/>
        </w:rPr>
        <w:t xml:space="preserve"> bounding scenario </w:t>
      </w:r>
      <w:r w:rsidRPr="00586982" w:rsidR="00315825">
        <w:rPr>
          <w:rFonts w:ascii="Times New Roman" w:hAnsi="Times New Roman" w:cs="Times New Roman"/>
        </w:rPr>
        <w:t>that</w:t>
      </w:r>
      <w:r w:rsidRPr="00586982">
        <w:rPr>
          <w:rFonts w:ascii="Times New Roman" w:hAnsi="Times New Roman" w:cs="Times New Roman"/>
        </w:rPr>
        <w:t xml:space="preserve"> encompass</w:t>
      </w:r>
      <w:r w:rsidRPr="00586982" w:rsidR="00315825">
        <w:rPr>
          <w:rFonts w:ascii="Times New Roman" w:hAnsi="Times New Roman" w:cs="Times New Roman"/>
        </w:rPr>
        <w:t>es</w:t>
      </w:r>
      <w:r w:rsidRPr="00586982">
        <w:rPr>
          <w:rFonts w:ascii="Times New Roman" w:hAnsi="Times New Roman" w:cs="Times New Roman"/>
        </w:rPr>
        <w:t xml:space="preserve"> all initiating events in the group. </w:t>
      </w:r>
    </w:p>
    <w:p w:rsidR="00B32165" w:rsidP="002F3C90" w14:paraId="72F67027" w14:textId="77777777">
      <w:pPr>
        <w:spacing w:after="0" w:line="240" w:lineRule="auto"/>
        <w:ind w:firstLine="720"/>
        <w:rPr>
          <w:rFonts w:ascii="Times New Roman" w:hAnsi="Times New Roman" w:cs="Times New Roman"/>
        </w:rPr>
      </w:pPr>
    </w:p>
    <w:p w:rsidR="001D163B" w:rsidRPr="002204AD" w:rsidP="002F3C90" w14:paraId="44A9F465" w14:textId="6F3D1C9F">
      <w:pPr>
        <w:pStyle w:val="Heading3"/>
        <w:spacing w:line="240" w:lineRule="auto"/>
        <w:rPr>
          <w:b w:val="0"/>
        </w:rPr>
      </w:pPr>
      <w:r w:rsidRPr="00F645A9">
        <w:rPr>
          <w:i/>
        </w:rPr>
        <w:t>Compare</w:t>
      </w:r>
      <w:r w:rsidRPr="00F645A9" w:rsidR="00BD510E">
        <w:rPr>
          <w:i/>
        </w:rPr>
        <w:t xml:space="preserve"> the List of</w:t>
      </w:r>
      <w:r w:rsidRPr="00F645A9" w:rsidR="008713F4">
        <w:rPr>
          <w:i/>
        </w:rPr>
        <w:t xml:space="preserve"> Licensing Events to Predefined Lists (</w:t>
      </w:r>
      <w:r w:rsidRPr="00F645A9" w:rsidR="00604333">
        <w:rPr>
          <w:i/>
        </w:rPr>
        <w:t>Box</w:t>
      </w:r>
      <w:r w:rsidR="00DC62BB">
        <w:rPr>
          <w:i/>
        </w:rPr>
        <w:t> </w:t>
      </w:r>
      <w:r w:rsidRPr="00F645A9" w:rsidR="008713F4">
        <w:rPr>
          <w:i/>
        </w:rPr>
        <w:t>2</w:t>
      </w:r>
      <w:r w:rsidRPr="00F645A9" w:rsidR="00F62525">
        <w:rPr>
          <w:i/>
        </w:rPr>
        <w:t>4</w:t>
      </w:r>
      <w:r w:rsidRPr="00F645A9" w:rsidR="008713F4">
        <w:rPr>
          <w:i/>
        </w:rPr>
        <w:t xml:space="preserve">, </w:t>
      </w:r>
      <w:r w:rsidRPr="00F645A9" w:rsidR="00604333">
        <w:rPr>
          <w:i/>
        </w:rPr>
        <w:t xml:space="preserve">Principle </w:t>
      </w:r>
      <w:r w:rsidRPr="00F645A9" w:rsidR="008713F4">
        <w:rPr>
          <w:i/>
        </w:rPr>
        <w:t>#5)</w:t>
      </w:r>
    </w:p>
    <w:p w:rsidR="001D163B" w:rsidP="002F3C90" w14:paraId="6092AE35" w14:textId="6248C3DE">
      <w:pPr>
        <w:spacing w:after="0" w:line="240" w:lineRule="auto"/>
        <w:ind w:left="720" w:hanging="720"/>
        <w:rPr>
          <w:rFonts w:ascii="Times New Roman" w:hAnsi="Times New Roman" w:cs="Times New Roman"/>
        </w:rPr>
      </w:pPr>
      <w:r>
        <w:rPr>
          <w:rFonts w:ascii="Times New Roman" w:hAnsi="Times New Roman" w:cs="Times New Roman"/>
        </w:rPr>
        <w:t xml:space="preserve"> </w:t>
      </w:r>
    </w:p>
    <w:p w:rsidR="002347CE" w:rsidRPr="00586982" w:rsidP="002F3C90" w14:paraId="370464B3" w14:textId="4EDB0143">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To ensure </w:t>
      </w:r>
      <w:r w:rsidRPr="00586982" w:rsidR="00C128B7">
        <w:rPr>
          <w:rFonts w:ascii="Times New Roman" w:hAnsi="Times New Roman" w:cs="Times New Roman"/>
        </w:rPr>
        <w:t xml:space="preserve">that all relevant licensing events have been </w:t>
      </w:r>
      <w:r w:rsidRPr="00586982" w:rsidR="00E76312">
        <w:rPr>
          <w:rFonts w:ascii="Times New Roman" w:hAnsi="Times New Roman" w:cs="Times New Roman"/>
        </w:rPr>
        <w:t>considered</w:t>
      </w:r>
      <w:r w:rsidRPr="00586982">
        <w:rPr>
          <w:rFonts w:ascii="Times New Roman" w:hAnsi="Times New Roman" w:cs="Times New Roman"/>
        </w:rPr>
        <w:t>, the licensing event</w:t>
      </w:r>
      <w:r w:rsidRPr="00586982" w:rsidR="00C55CB1">
        <w:rPr>
          <w:rFonts w:ascii="Times New Roman" w:hAnsi="Times New Roman" w:cs="Times New Roman"/>
        </w:rPr>
        <w:t xml:space="preserve"> list should be </w:t>
      </w:r>
      <w:r w:rsidRPr="00586982" w:rsidR="00343305">
        <w:rPr>
          <w:rFonts w:ascii="Times New Roman" w:hAnsi="Times New Roman" w:cs="Times New Roman"/>
        </w:rPr>
        <w:t xml:space="preserve">compared </w:t>
      </w:r>
      <w:r w:rsidRPr="00586982" w:rsidR="00C128B7">
        <w:rPr>
          <w:rFonts w:ascii="Times New Roman" w:hAnsi="Times New Roman" w:cs="Times New Roman"/>
        </w:rPr>
        <w:t xml:space="preserve">with </w:t>
      </w:r>
      <w:r w:rsidRPr="00586982" w:rsidR="004C69F7">
        <w:rPr>
          <w:rFonts w:ascii="Times New Roman" w:hAnsi="Times New Roman" w:cs="Times New Roman"/>
        </w:rPr>
        <w:t>that</w:t>
      </w:r>
      <w:r w:rsidRPr="00586982" w:rsidR="00C128B7">
        <w:rPr>
          <w:rFonts w:ascii="Times New Roman" w:hAnsi="Times New Roman" w:cs="Times New Roman"/>
        </w:rPr>
        <w:t xml:space="preserve"> for similar plants </w:t>
      </w:r>
      <w:r w:rsidRPr="00586982" w:rsidR="00343305">
        <w:rPr>
          <w:rFonts w:ascii="Times New Roman" w:hAnsi="Times New Roman" w:cs="Times New Roman"/>
        </w:rPr>
        <w:t>or type of plants</w:t>
      </w:r>
      <w:r w:rsidRPr="00586982" w:rsidR="002E6F8D">
        <w:rPr>
          <w:rFonts w:ascii="Times New Roman" w:hAnsi="Times New Roman" w:cs="Times New Roman"/>
        </w:rPr>
        <w:t xml:space="preserve"> and</w:t>
      </w:r>
      <w:r w:rsidRPr="00586982" w:rsidR="00703355">
        <w:rPr>
          <w:rFonts w:ascii="Times New Roman" w:hAnsi="Times New Roman" w:cs="Times New Roman"/>
        </w:rPr>
        <w:t>, for LWR</w:t>
      </w:r>
      <w:r w:rsidRPr="00586982" w:rsidR="005436BD">
        <w:rPr>
          <w:rFonts w:ascii="Times New Roman" w:hAnsi="Times New Roman" w:cs="Times New Roman"/>
        </w:rPr>
        <w:t>s</w:t>
      </w:r>
      <w:r w:rsidRPr="00586982" w:rsidR="00703355">
        <w:rPr>
          <w:rFonts w:ascii="Times New Roman" w:hAnsi="Times New Roman" w:cs="Times New Roman"/>
        </w:rPr>
        <w:t xml:space="preserve">, with </w:t>
      </w:r>
      <w:r w:rsidRPr="00586982" w:rsidR="00235706">
        <w:rPr>
          <w:rFonts w:ascii="Times New Roman" w:hAnsi="Times New Roman" w:cs="Times New Roman"/>
        </w:rPr>
        <w:t xml:space="preserve">the SRP. </w:t>
      </w:r>
      <w:r w:rsidRPr="00586982" w:rsidR="0086605F">
        <w:rPr>
          <w:rFonts w:ascii="Times New Roman" w:hAnsi="Times New Roman" w:cs="Times New Roman"/>
          <w:color w:val="000000"/>
          <w:sz w:val="23"/>
          <w:szCs w:val="23"/>
        </w:rPr>
        <w:t xml:space="preserve">Any identified </w:t>
      </w:r>
      <w:r w:rsidRPr="00586982" w:rsidR="008215DA">
        <w:rPr>
          <w:rFonts w:ascii="Times New Roman" w:hAnsi="Times New Roman" w:cs="Times New Roman"/>
          <w:color w:val="000000"/>
          <w:sz w:val="23"/>
          <w:szCs w:val="23"/>
        </w:rPr>
        <w:t xml:space="preserve">differences </w:t>
      </w:r>
      <w:r w:rsidRPr="00586982" w:rsidR="0086605F">
        <w:rPr>
          <w:rFonts w:ascii="Times New Roman" w:hAnsi="Times New Roman" w:cs="Times New Roman"/>
          <w:color w:val="000000"/>
          <w:sz w:val="23"/>
          <w:szCs w:val="23"/>
        </w:rPr>
        <w:t>should be justified</w:t>
      </w:r>
      <w:r w:rsidRPr="00586982" w:rsidR="008215DA">
        <w:rPr>
          <w:rFonts w:ascii="Times New Roman" w:hAnsi="Times New Roman" w:cs="Times New Roman"/>
          <w:color w:val="000000"/>
          <w:sz w:val="23"/>
          <w:szCs w:val="23"/>
        </w:rPr>
        <w:t>.</w:t>
      </w:r>
    </w:p>
    <w:p w:rsidR="000C3E0D" w:rsidRPr="00F851DF" w:rsidP="002F3C90" w14:paraId="30545A48" w14:textId="77777777">
      <w:pPr>
        <w:spacing w:after="0" w:line="240" w:lineRule="auto"/>
        <w:ind w:left="720" w:hanging="720"/>
        <w:rPr>
          <w:rFonts w:ascii="Times New Roman" w:hAnsi="Times New Roman" w:cs="Times New Roman"/>
          <w:b/>
        </w:rPr>
      </w:pPr>
    </w:p>
    <w:p w:rsidR="00A35E1D" w:rsidRPr="00586982" w:rsidP="002F3C90" w14:paraId="65F9B5F6" w14:textId="23DBD1C8">
      <w:pPr>
        <w:pStyle w:val="Heading3"/>
        <w:spacing w:line="240" w:lineRule="auto"/>
        <w:ind w:left="0" w:firstLine="0"/>
        <w:rPr>
          <w:b w:val="0"/>
          <w:i/>
        </w:rPr>
      </w:pPr>
      <w:r w:rsidRPr="00F645A9">
        <w:rPr>
          <w:i/>
        </w:rPr>
        <w:t xml:space="preserve">Conduct </w:t>
      </w:r>
      <w:r w:rsidRPr="00F645A9" w:rsidR="008713F4">
        <w:rPr>
          <w:i/>
        </w:rPr>
        <w:t>an Independent Review and Complete Q</w:t>
      </w:r>
      <w:r w:rsidR="00DC62BB">
        <w:rPr>
          <w:i/>
        </w:rPr>
        <w:t xml:space="preserve">uality </w:t>
      </w:r>
      <w:r w:rsidRPr="00F645A9" w:rsidR="00B21167">
        <w:rPr>
          <w:i/>
        </w:rPr>
        <w:t>A</w:t>
      </w:r>
      <w:r w:rsidR="00DC62BB">
        <w:rPr>
          <w:i/>
        </w:rPr>
        <w:t>ssurance</w:t>
      </w:r>
      <w:r w:rsidRPr="00F645A9" w:rsidR="008713F4">
        <w:rPr>
          <w:i/>
        </w:rPr>
        <w:t xml:space="preserve"> Activities for </w:t>
      </w:r>
      <w:r w:rsidRPr="00F645A9" w:rsidR="000D6655">
        <w:rPr>
          <w:i/>
        </w:rPr>
        <w:t>the</w:t>
      </w:r>
      <w:r w:rsidRPr="00F645A9" w:rsidR="008713F4">
        <w:rPr>
          <w:i/>
        </w:rPr>
        <w:t xml:space="preserve"> Licensing Event Identification (</w:t>
      </w:r>
      <w:r w:rsidRPr="00F645A9">
        <w:rPr>
          <w:i/>
        </w:rPr>
        <w:t>Box</w:t>
      </w:r>
      <w:r w:rsidR="00DC62BB">
        <w:rPr>
          <w:i/>
        </w:rPr>
        <w:t> </w:t>
      </w:r>
      <w:r w:rsidRPr="00F645A9" w:rsidR="008713F4">
        <w:rPr>
          <w:i/>
        </w:rPr>
        <w:t>2</w:t>
      </w:r>
      <w:r w:rsidRPr="00F645A9" w:rsidR="00DD5F1D">
        <w:rPr>
          <w:i/>
        </w:rPr>
        <w:t>5</w:t>
      </w:r>
      <w:r w:rsidRPr="00F645A9" w:rsidR="008713F4">
        <w:rPr>
          <w:i/>
        </w:rPr>
        <w:t xml:space="preserve">, </w:t>
      </w:r>
      <w:r w:rsidRPr="00F645A9">
        <w:rPr>
          <w:i/>
        </w:rPr>
        <w:t xml:space="preserve">Principle </w:t>
      </w:r>
      <w:r w:rsidRPr="00F645A9" w:rsidR="008713F4">
        <w:rPr>
          <w:i/>
        </w:rPr>
        <w:t>#5)</w:t>
      </w:r>
    </w:p>
    <w:p w:rsidR="005C026D" w:rsidP="002F3C90" w14:paraId="470817C8" w14:textId="6DF3C30B">
      <w:pPr>
        <w:keepNext/>
        <w:spacing w:after="0" w:line="240" w:lineRule="auto"/>
        <w:ind w:left="720" w:hanging="720"/>
        <w:rPr>
          <w:rFonts w:ascii="Times New Roman" w:hAnsi="Times New Roman" w:cs="Times New Roman"/>
        </w:rPr>
      </w:pPr>
    </w:p>
    <w:p w:rsidR="00F851DF" w:rsidRPr="00586982" w:rsidP="002F3C90" w14:paraId="74EF1BF8" w14:textId="23BDCBF4">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The process and results of the licensing event </w:t>
      </w:r>
      <w:r w:rsidRPr="00586982" w:rsidR="00A2275A">
        <w:rPr>
          <w:rFonts w:ascii="Times New Roman" w:hAnsi="Times New Roman" w:cs="Times New Roman"/>
        </w:rPr>
        <w:t xml:space="preserve">identification </w:t>
      </w:r>
      <w:r w:rsidRPr="00586982">
        <w:rPr>
          <w:rFonts w:ascii="Times New Roman" w:hAnsi="Times New Roman" w:cs="Times New Roman"/>
        </w:rPr>
        <w:t xml:space="preserve">should be independently reviewed to </w:t>
      </w:r>
      <w:r w:rsidRPr="00586982" w:rsidR="00410C6A">
        <w:rPr>
          <w:rFonts w:ascii="Times New Roman" w:hAnsi="Times New Roman" w:cs="Times New Roman"/>
        </w:rPr>
        <w:t>en</w:t>
      </w:r>
      <w:r w:rsidRPr="00586982">
        <w:rPr>
          <w:rFonts w:ascii="Times New Roman" w:hAnsi="Times New Roman" w:cs="Times New Roman"/>
        </w:rPr>
        <w:t xml:space="preserve">sure that the list </w:t>
      </w:r>
      <w:r w:rsidRPr="00586982" w:rsidR="00F91493">
        <w:rPr>
          <w:rFonts w:ascii="Times New Roman" w:hAnsi="Times New Roman" w:cs="Times New Roman"/>
        </w:rPr>
        <w:t xml:space="preserve">of </w:t>
      </w:r>
      <w:r w:rsidRPr="00586982" w:rsidR="00F8273A">
        <w:rPr>
          <w:rFonts w:ascii="Times New Roman" w:hAnsi="Times New Roman" w:cs="Times New Roman"/>
        </w:rPr>
        <w:t>licensing events</w:t>
      </w:r>
      <w:r w:rsidRPr="00586982">
        <w:rPr>
          <w:rFonts w:ascii="Times New Roman" w:hAnsi="Times New Roman" w:cs="Times New Roman"/>
        </w:rPr>
        <w:t xml:space="preserve"> is complete. </w:t>
      </w:r>
      <w:r w:rsidRPr="00586982" w:rsidR="000075E4">
        <w:rPr>
          <w:rFonts w:ascii="Times New Roman" w:hAnsi="Times New Roman" w:cs="Times New Roman"/>
        </w:rPr>
        <w:t xml:space="preserve">The list of licensing events </w:t>
      </w:r>
      <w:r w:rsidRPr="00586982">
        <w:rPr>
          <w:rFonts w:ascii="Times New Roman" w:hAnsi="Times New Roman" w:cs="Times New Roman"/>
        </w:rPr>
        <w:t xml:space="preserve">should be developed under the relevant </w:t>
      </w:r>
      <w:r w:rsidRPr="00586982" w:rsidR="009A12F9">
        <w:rPr>
          <w:rFonts w:ascii="Times New Roman" w:hAnsi="Times New Roman" w:cs="Times New Roman"/>
        </w:rPr>
        <w:t>QA</w:t>
      </w:r>
      <w:r w:rsidRPr="00586982">
        <w:rPr>
          <w:rFonts w:ascii="Times New Roman" w:hAnsi="Times New Roman" w:cs="Times New Roman"/>
        </w:rPr>
        <w:t xml:space="preserve"> program for the selected licensing framework.</w:t>
      </w:r>
    </w:p>
    <w:p w:rsidR="00425D6E" w:rsidP="002F3C90" w14:paraId="5DE2478B" w14:textId="77777777">
      <w:pPr>
        <w:spacing w:after="0" w:line="240" w:lineRule="auto"/>
        <w:rPr>
          <w:rFonts w:ascii="Times New Roman" w:hAnsi="Times New Roman" w:cs="Times New Roman"/>
          <w:b/>
          <w:bCs/>
        </w:rPr>
      </w:pPr>
    </w:p>
    <w:p w:rsidR="00D82D4D" w:rsidRPr="00586982" w:rsidP="0021002A" w14:paraId="2795F5C2" w14:textId="1BE0B9DC">
      <w:pPr>
        <w:pStyle w:val="Heading2"/>
        <w:spacing w:line="240" w:lineRule="auto"/>
      </w:pPr>
      <w:r w:rsidRPr="00586982">
        <w:t>Documentation</w:t>
      </w:r>
    </w:p>
    <w:p w:rsidR="00966492" w:rsidP="002F3C90" w14:paraId="4D54802B" w14:textId="77777777">
      <w:pPr>
        <w:spacing w:after="0" w:line="240" w:lineRule="auto"/>
        <w:rPr>
          <w:rFonts w:ascii="Times New Roman" w:hAnsi="Times New Roman" w:cs="Times New Roman"/>
        </w:rPr>
      </w:pPr>
    </w:p>
    <w:p w:rsidR="00C65825" w:rsidP="002F3C90" w14:paraId="471D984D" w14:textId="430BBCCC">
      <w:pPr>
        <w:pStyle w:val="ListParagraph"/>
        <w:numPr>
          <w:ilvl w:val="0"/>
          <w:numId w:val="56"/>
        </w:numPr>
        <w:spacing w:after="0" w:line="240" w:lineRule="auto"/>
        <w:ind w:left="720" w:hanging="720"/>
        <w:rPr>
          <w:rFonts w:ascii="Times New Roman" w:hAnsi="Times New Roman" w:cs="Times New Roman"/>
        </w:rPr>
      </w:pPr>
      <w:r w:rsidRPr="006A0510">
        <w:rPr>
          <w:rFonts w:ascii="Times New Roman" w:hAnsi="Times New Roman" w:cs="Times New Roman"/>
        </w:rPr>
        <w:t>D</w:t>
      </w:r>
      <w:r w:rsidRPr="006A0510" w:rsidR="00160A0A">
        <w:rPr>
          <w:rFonts w:ascii="Times New Roman" w:hAnsi="Times New Roman" w:cs="Times New Roman"/>
        </w:rPr>
        <w:t>ocumentation</w:t>
      </w:r>
      <w:r w:rsidRPr="00586982" w:rsidR="009479B6">
        <w:rPr>
          <w:rFonts w:ascii="Times New Roman" w:hAnsi="Times New Roman" w:cs="Times New Roman"/>
        </w:rPr>
        <w:t xml:space="preserve"> of the analysis for </w:t>
      </w:r>
      <w:r w:rsidRPr="00586982" w:rsidR="00D274D9">
        <w:rPr>
          <w:rFonts w:ascii="Times New Roman" w:hAnsi="Times New Roman" w:cs="Times New Roman"/>
        </w:rPr>
        <w:t>identif</w:t>
      </w:r>
      <w:r w:rsidR="00DC62BB">
        <w:rPr>
          <w:rFonts w:ascii="Times New Roman" w:hAnsi="Times New Roman" w:cs="Times New Roman"/>
        </w:rPr>
        <w:t xml:space="preserve">ying </w:t>
      </w:r>
      <w:r w:rsidRPr="00586982" w:rsidR="009479B6">
        <w:rPr>
          <w:rFonts w:ascii="Times New Roman" w:hAnsi="Times New Roman" w:cs="Times New Roman"/>
        </w:rPr>
        <w:t>licensing events</w:t>
      </w:r>
      <w:r w:rsidRPr="00586982" w:rsidR="00160A0A">
        <w:rPr>
          <w:rFonts w:ascii="Times New Roman" w:hAnsi="Times New Roman" w:cs="Times New Roman"/>
        </w:rPr>
        <w:t xml:space="preserve"> should be sufficient to allow the staff to determine the acceptability of the analysis and the results.</w:t>
      </w:r>
      <w:r w:rsidRPr="00586982" w:rsidR="00A218DD">
        <w:rPr>
          <w:rFonts w:ascii="Times New Roman" w:hAnsi="Times New Roman" w:cs="Times New Roman"/>
        </w:rPr>
        <w:t xml:space="preserve"> </w:t>
      </w:r>
      <w:r w:rsidRPr="00586982" w:rsidR="00160A0A">
        <w:rPr>
          <w:rFonts w:ascii="Times New Roman" w:hAnsi="Times New Roman" w:cs="Times New Roman"/>
        </w:rPr>
        <w:t>Thus, the documentation should include information necessary for the staff to gain a full understanding of the technical bases of the analysis</w:t>
      </w:r>
      <w:r w:rsidRPr="00586982" w:rsidR="0070163A">
        <w:rPr>
          <w:rFonts w:ascii="Times New Roman" w:hAnsi="Times New Roman" w:cs="Times New Roman"/>
        </w:rPr>
        <w:t xml:space="preserve"> and the establishment of the licensing basis</w:t>
      </w:r>
      <w:r w:rsidRPr="00586982" w:rsidR="00160A0A">
        <w:rPr>
          <w:rFonts w:ascii="Times New Roman" w:hAnsi="Times New Roman" w:cs="Times New Roman"/>
        </w:rPr>
        <w:t>.</w:t>
      </w:r>
      <w:r w:rsidR="007D13FB">
        <w:rPr>
          <w:rFonts w:ascii="Times New Roman" w:hAnsi="Times New Roman" w:cs="Times New Roman"/>
        </w:rPr>
        <w:t xml:space="preserve"> </w:t>
      </w:r>
      <w:r w:rsidR="00EA1F40">
        <w:rPr>
          <w:rFonts w:ascii="Times New Roman" w:hAnsi="Times New Roman" w:cs="Times New Roman"/>
        </w:rPr>
        <w:t>This d</w:t>
      </w:r>
      <w:r w:rsidR="007D13FB">
        <w:rPr>
          <w:rFonts w:ascii="Times New Roman" w:hAnsi="Times New Roman" w:cs="Times New Roman"/>
        </w:rPr>
        <w:t xml:space="preserve">ocumentation should </w:t>
      </w:r>
      <w:r w:rsidR="00DA79D1">
        <w:rPr>
          <w:rFonts w:ascii="Times New Roman" w:hAnsi="Times New Roman" w:cs="Times New Roman"/>
        </w:rPr>
        <w:t>include information on the process used in the initiating event</w:t>
      </w:r>
      <w:r w:rsidR="000B7051">
        <w:rPr>
          <w:rFonts w:ascii="Times New Roman" w:hAnsi="Times New Roman" w:cs="Times New Roman"/>
        </w:rPr>
        <w:t xml:space="preserve"> search</w:t>
      </w:r>
      <w:r w:rsidR="00C41C9E">
        <w:rPr>
          <w:rFonts w:ascii="Times New Roman" w:hAnsi="Times New Roman" w:cs="Times New Roman"/>
        </w:rPr>
        <w:t>,</w:t>
      </w:r>
      <w:r w:rsidR="00AC6902">
        <w:rPr>
          <w:rFonts w:ascii="Times New Roman" w:hAnsi="Times New Roman" w:cs="Times New Roman"/>
        </w:rPr>
        <w:t xml:space="preserve"> </w:t>
      </w:r>
      <w:r w:rsidR="00403A11">
        <w:rPr>
          <w:rFonts w:ascii="Times New Roman" w:hAnsi="Times New Roman" w:cs="Times New Roman"/>
        </w:rPr>
        <w:t xml:space="preserve">the </w:t>
      </w:r>
      <w:r w:rsidR="00AC6902">
        <w:rPr>
          <w:rFonts w:ascii="Times New Roman" w:hAnsi="Times New Roman" w:cs="Times New Roman"/>
        </w:rPr>
        <w:t>event sequence analysis</w:t>
      </w:r>
      <w:r w:rsidR="004E5384">
        <w:rPr>
          <w:rFonts w:ascii="Times New Roman" w:hAnsi="Times New Roman" w:cs="Times New Roman"/>
        </w:rPr>
        <w:t xml:space="preserve"> and</w:t>
      </w:r>
      <w:r w:rsidR="008844AD">
        <w:rPr>
          <w:rFonts w:ascii="Times New Roman" w:hAnsi="Times New Roman" w:cs="Times New Roman"/>
        </w:rPr>
        <w:t xml:space="preserve"> </w:t>
      </w:r>
      <w:r w:rsidR="00C41C9E">
        <w:rPr>
          <w:rFonts w:ascii="Times New Roman" w:hAnsi="Times New Roman" w:cs="Times New Roman"/>
        </w:rPr>
        <w:t xml:space="preserve">licensing event definition, </w:t>
      </w:r>
      <w:r w:rsidR="008844AD">
        <w:rPr>
          <w:rFonts w:ascii="Times New Roman" w:hAnsi="Times New Roman" w:cs="Times New Roman"/>
        </w:rPr>
        <w:t>the applied methods</w:t>
      </w:r>
      <w:r w:rsidR="00DC62BB">
        <w:rPr>
          <w:rFonts w:ascii="Times New Roman" w:hAnsi="Times New Roman" w:cs="Times New Roman"/>
        </w:rPr>
        <w:t>,</w:t>
      </w:r>
      <w:r w:rsidR="008844AD">
        <w:rPr>
          <w:rFonts w:ascii="Times New Roman" w:hAnsi="Times New Roman" w:cs="Times New Roman"/>
        </w:rPr>
        <w:t xml:space="preserve"> and the results.  </w:t>
      </w:r>
    </w:p>
    <w:p w:rsidR="00C65825" w:rsidP="002F3C90" w14:paraId="60D724D7" w14:textId="77777777">
      <w:pPr>
        <w:pStyle w:val="ListParagraph"/>
        <w:spacing w:after="0" w:line="240" w:lineRule="auto"/>
        <w:ind w:left="360"/>
        <w:rPr>
          <w:rFonts w:ascii="Times New Roman" w:hAnsi="Times New Roman" w:cs="Times New Roman"/>
        </w:rPr>
      </w:pPr>
    </w:p>
    <w:p w:rsidR="00D3467D" w:rsidRPr="00FF54EC" w:rsidP="002F3C90" w14:paraId="67FD02E3" w14:textId="3D583C21">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 xml:space="preserve">For initiating events, documentation should include information </w:t>
      </w:r>
      <w:r w:rsidRPr="00FF54EC" w:rsidR="3846358D">
        <w:rPr>
          <w:rFonts w:ascii="Times New Roman" w:hAnsi="Times New Roman" w:cs="Times New Roman"/>
        </w:rPr>
        <w:t>about</w:t>
      </w:r>
      <w:r w:rsidRPr="00FF54EC">
        <w:rPr>
          <w:rFonts w:ascii="Times New Roman" w:hAnsi="Times New Roman" w:cs="Times New Roman"/>
        </w:rPr>
        <w:t xml:space="preserve"> the systematic search for initiators</w:t>
      </w:r>
      <w:r w:rsidR="007C4EE2">
        <w:rPr>
          <w:rFonts w:ascii="Times New Roman" w:hAnsi="Times New Roman" w:cs="Times New Roman"/>
        </w:rPr>
        <w:t>;</w:t>
      </w:r>
      <w:r w:rsidRPr="00FF54EC">
        <w:rPr>
          <w:rFonts w:ascii="Times New Roman" w:hAnsi="Times New Roman" w:cs="Times New Roman"/>
        </w:rPr>
        <w:t xml:space="preserve"> the approach to identifying initiating events specified to each identified radiological source</w:t>
      </w:r>
      <w:r w:rsidR="007C4EE2">
        <w:rPr>
          <w:rFonts w:ascii="Times New Roman" w:hAnsi="Times New Roman" w:cs="Times New Roman"/>
        </w:rPr>
        <w:t>;</w:t>
      </w:r>
      <w:r w:rsidRPr="00FF54EC">
        <w:rPr>
          <w:rFonts w:ascii="Times New Roman" w:hAnsi="Times New Roman" w:cs="Times New Roman"/>
        </w:rPr>
        <w:t xml:space="preserve"> the basis for grouping initiating events</w:t>
      </w:r>
      <w:r w:rsidR="007C4EE2">
        <w:rPr>
          <w:rFonts w:ascii="Times New Roman" w:hAnsi="Times New Roman" w:cs="Times New Roman"/>
        </w:rPr>
        <w:t>;</w:t>
      </w:r>
      <w:r w:rsidRPr="00FF54EC">
        <w:rPr>
          <w:rFonts w:ascii="Times New Roman" w:hAnsi="Times New Roman" w:cs="Times New Roman"/>
        </w:rPr>
        <w:t xml:space="preserve"> the basis for screening out any initiating event from further consideration</w:t>
      </w:r>
      <w:r w:rsidR="007C4EE2">
        <w:rPr>
          <w:rFonts w:ascii="Times New Roman" w:hAnsi="Times New Roman" w:cs="Times New Roman"/>
        </w:rPr>
        <w:t>;</w:t>
      </w:r>
      <w:r w:rsidRPr="00FF54EC">
        <w:rPr>
          <w:rFonts w:ascii="Times New Roman" w:hAnsi="Times New Roman" w:cs="Times New Roman"/>
        </w:rPr>
        <w:t xml:space="preserve"> the approach for assessing completeness and consistency of initiating events with previous relevant experience</w:t>
      </w:r>
      <w:r w:rsidR="007C4EE2">
        <w:rPr>
          <w:rFonts w:ascii="Times New Roman" w:hAnsi="Times New Roman" w:cs="Times New Roman"/>
        </w:rPr>
        <w:t>;</w:t>
      </w:r>
      <w:r w:rsidRPr="00FF54EC">
        <w:rPr>
          <w:rFonts w:ascii="Times New Roman" w:hAnsi="Times New Roman" w:cs="Times New Roman"/>
        </w:rPr>
        <w:t xml:space="preserve"> and any analysis assumptions, uncertainties</w:t>
      </w:r>
      <w:r w:rsidR="007C4EE2">
        <w:rPr>
          <w:rFonts w:ascii="Times New Roman" w:hAnsi="Times New Roman" w:cs="Times New Roman"/>
        </w:rPr>
        <w:t>,</w:t>
      </w:r>
      <w:r w:rsidRPr="00FF54EC">
        <w:rPr>
          <w:rFonts w:ascii="Times New Roman" w:hAnsi="Times New Roman" w:cs="Times New Roman"/>
        </w:rPr>
        <w:t xml:space="preserve"> and limitations. </w:t>
      </w:r>
    </w:p>
    <w:p w:rsidR="00D3467D" w:rsidRPr="00F9516A" w:rsidP="002F3C90" w14:paraId="7064AA82" w14:textId="77777777">
      <w:pPr>
        <w:spacing w:after="0" w:line="240" w:lineRule="auto"/>
        <w:ind w:left="1440" w:hanging="720"/>
        <w:rPr>
          <w:rFonts w:ascii="Times New Roman" w:hAnsi="Times New Roman" w:cs="Times New Roman"/>
        </w:rPr>
      </w:pPr>
    </w:p>
    <w:p w:rsidR="00D3467D" w:rsidRPr="00B66F41" w:rsidP="002F3C90" w14:paraId="60EE3A94" w14:textId="1934665C">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 xml:space="preserve">For </w:t>
      </w:r>
      <w:r w:rsidRPr="00FF54EC" w:rsidR="001A1FEF">
        <w:rPr>
          <w:rFonts w:ascii="Times New Roman" w:hAnsi="Times New Roman" w:cs="Times New Roman"/>
        </w:rPr>
        <w:t xml:space="preserve">event </w:t>
      </w:r>
      <w:r w:rsidRPr="00FF54EC" w:rsidR="00C85ADA">
        <w:rPr>
          <w:rFonts w:ascii="Times New Roman" w:hAnsi="Times New Roman" w:cs="Times New Roman"/>
        </w:rPr>
        <w:t>sequences</w:t>
      </w:r>
      <w:r w:rsidR="007C4EE2">
        <w:rPr>
          <w:rFonts w:ascii="Times New Roman" w:hAnsi="Times New Roman" w:cs="Times New Roman"/>
        </w:rPr>
        <w:t>,</w:t>
      </w:r>
      <w:r w:rsidRPr="00B66F41" w:rsidR="00E23511">
        <w:rPr>
          <w:rFonts w:ascii="Times New Roman" w:hAnsi="Times New Roman" w:cs="Times New Roman"/>
        </w:rPr>
        <w:t xml:space="preserve"> the documentation</w:t>
      </w:r>
      <w:r w:rsidRPr="00B66F41" w:rsidR="001A1FEF">
        <w:rPr>
          <w:rFonts w:ascii="Times New Roman" w:hAnsi="Times New Roman" w:cs="Times New Roman"/>
        </w:rPr>
        <w:t xml:space="preserve"> should include </w:t>
      </w:r>
      <w:r w:rsidRPr="00B66F41">
        <w:rPr>
          <w:rFonts w:ascii="Times New Roman" w:hAnsi="Times New Roman" w:cs="Times New Roman"/>
        </w:rPr>
        <w:t xml:space="preserve">information on </w:t>
      </w:r>
      <w:r w:rsidRPr="00B66F41" w:rsidR="000B0ADF">
        <w:rPr>
          <w:rFonts w:ascii="Times New Roman" w:hAnsi="Times New Roman" w:cs="Times New Roman"/>
        </w:rPr>
        <w:t>the linkage between the initiating events and event sequences</w:t>
      </w:r>
      <w:r w:rsidR="007C4EE2">
        <w:rPr>
          <w:rFonts w:ascii="Times New Roman" w:hAnsi="Times New Roman" w:cs="Times New Roman"/>
        </w:rPr>
        <w:t>;</w:t>
      </w:r>
      <w:r w:rsidRPr="00B66F41" w:rsidR="000B0ADF">
        <w:rPr>
          <w:rFonts w:ascii="Times New Roman" w:hAnsi="Times New Roman" w:cs="Times New Roman"/>
        </w:rPr>
        <w:t xml:space="preserve"> </w:t>
      </w:r>
      <w:r w:rsidRPr="00B66F41" w:rsidR="00170BBF">
        <w:rPr>
          <w:rFonts w:ascii="Times New Roman" w:hAnsi="Times New Roman" w:cs="Times New Roman"/>
        </w:rPr>
        <w:t xml:space="preserve">a description of </w:t>
      </w:r>
      <w:r w:rsidR="0066524C">
        <w:rPr>
          <w:rFonts w:ascii="Times New Roman" w:hAnsi="Times New Roman" w:cs="Times New Roman"/>
        </w:rPr>
        <w:t>each</w:t>
      </w:r>
      <w:r w:rsidRPr="00B66F41" w:rsidR="00170BBF">
        <w:rPr>
          <w:rFonts w:ascii="Times New Roman" w:hAnsi="Times New Roman" w:cs="Times New Roman"/>
        </w:rPr>
        <w:t xml:space="preserve"> event sequence</w:t>
      </w:r>
      <w:r w:rsidR="007C4EE2">
        <w:rPr>
          <w:rFonts w:ascii="Times New Roman" w:hAnsi="Times New Roman" w:cs="Times New Roman"/>
        </w:rPr>
        <w:t>,</w:t>
      </w:r>
      <w:r w:rsidRPr="00B66F41" w:rsidR="008100F2">
        <w:rPr>
          <w:rFonts w:ascii="Times New Roman" w:hAnsi="Times New Roman" w:cs="Times New Roman"/>
        </w:rPr>
        <w:t xml:space="preserve"> </w:t>
      </w:r>
      <w:r w:rsidRPr="00B66F41" w:rsidR="009303A9">
        <w:rPr>
          <w:rFonts w:ascii="Times New Roman" w:hAnsi="Times New Roman" w:cs="Times New Roman"/>
        </w:rPr>
        <w:t>including system response and operator actions</w:t>
      </w:r>
      <w:r w:rsidR="007C4EE2">
        <w:rPr>
          <w:rFonts w:ascii="Times New Roman" w:hAnsi="Times New Roman" w:cs="Times New Roman"/>
        </w:rPr>
        <w:t>;</w:t>
      </w:r>
      <w:r w:rsidRPr="00B66F41" w:rsidR="00395840">
        <w:rPr>
          <w:rFonts w:ascii="Times New Roman" w:hAnsi="Times New Roman" w:cs="Times New Roman"/>
        </w:rPr>
        <w:t xml:space="preserve"> </w:t>
      </w:r>
      <w:r w:rsidRPr="00B66F41">
        <w:rPr>
          <w:rFonts w:ascii="Times New Roman" w:hAnsi="Times New Roman" w:cs="Times New Roman"/>
        </w:rPr>
        <w:t>success criteria</w:t>
      </w:r>
      <w:r w:rsidR="007C4EE2">
        <w:rPr>
          <w:rFonts w:ascii="Times New Roman" w:hAnsi="Times New Roman" w:cs="Times New Roman"/>
        </w:rPr>
        <w:t>,</w:t>
      </w:r>
      <w:r w:rsidRPr="00B66F41">
        <w:rPr>
          <w:rFonts w:ascii="Times New Roman" w:hAnsi="Times New Roman" w:cs="Times New Roman"/>
        </w:rPr>
        <w:t xml:space="preserve"> including the bases for the criteria</w:t>
      </w:r>
      <w:r w:rsidR="007C4EE2">
        <w:rPr>
          <w:rFonts w:ascii="Times New Roman" w:hAnsi="Times New Roman" w:cs="Times New Roman"/>
        </w:rPr>
        <w:t>;</w:t>
      </w:r>
      <w:r w:rsidRPr="00B66F41">
        <w:rPr>
          <w:rFonts w:ascii="Times New Roman" w:hAnsi="Times New Roman" w:cs="Times New Roman"/>
        </w:rPr>
        <w:t xml:space="preserve"> </w:t>
      </w:r>
      <w:r w:rsidR="007C4EE2">
        <w:rPr>
          <w:rFonts w:ascii="Times New Roman" w:hAnsi="Times New Roman" w:cs="Times New Roman"/>
        </w:rPr>
        <w:t xml:space="preserve">a </w:t>
      </w:r>
      <w:r w:rsidRPr="00B66F41" w:rsidR="00395840">
        <w:rPr>
          <w:rFonts w:ascii="Times New Roman" w:hAnsi="Times New Roman" w:cs="Times New Roman"/>
        </w:rPr>
        <w:t xml:space="preserve">clear </w:t>
      </w:r>
      <w:r w:rsidRPr="00B66F41">
        <w:rPr>
          <w:rFonts w:ascii="Times New Roman" w:hAnsi="Times New Roman" w:cs="Times New Roman"/>
        </w:rPr>
        <w:t>definition</w:t>
      </w:r>
      <w:r w:rsidRPr="00B66F41" w:rsidR="00395840">
        <w:rPr>
          <w:rFonts w:ascii="Times New Roman" w:hAnsi="Times New Roman" w:cs="Times New Roman"/>
        </w:rPr>
        <w:t xml:space="preserve"> of </w:t>
      </w:r>
      <w:r w:rsidR="0066524C">
        <w:rPr>
          <w:rFonts w:ascii="Times New Roman" w:hAnsi="Times New Roman" w:cs="Times New Roman"/>
        </w:rPr>
        <w:t>each</w:t>
      </w:r>
      <w:r w:rsidRPr="00B66F41" w:rsidR="00395840">
        <w:rPr>
          <w:rFonts w:ascii="Times New Roman" w:hAnsi="Times New Roman" w:cs="Times New Roman"/>
        </w:rPr>
        <w:t xml:space="preserve"> event sequence end state</w:t>
      </w:r>
      <w:r w:rsidR="009879F2">
        <w:rPr>
          <w:rFonts w:ascii="Times New Roman" w:hAnsi="Times New Roman" w:cs="Times New Roman"/>
        </w:rPr>
        <w:t>;</w:t>
      </w:r>
      <w:r w:rsidRPr="00B66F41" w:rsidR="00395840">
        <w:rPr>
          <w:rFonts w:ascii="Times New Roman" w:hAnsi="Times New Roman" w:cs="Times New Roman"/>
        </w:rPr>
        <w:t xml:space="preserve"> </w:t>
      </w:r>
      <w:r w:rsidR="007C4EE2">
        <w:rPr>
          <w:rFonts w:ascii="Times New Roman" w:hAnsi="Times New Roman" w:cs="Times New Roman"/>
        </w:rPr>
        <w:t xml:space="preserve">the </w:t>
      </w:r>
      <w:r w:rsidRPr="00B66F41">
        <w:rPr>
          <w:rFonts w:ascii="Times New Roman" w:hAnsi="Times New Roman" w:cs="Times New Roman"/>
        </w:rPr>
        <w:t>analysis performed to support the event sequence analysis</w:t>
      </w:r>
      <w:r w:rsidR="007C4EE2">
        <w:rPr>
          <w:rFonts w:ascii="Times New Roman" w:hAnsi="Times New Roman" w:cs="Times New Roman"/>
        </w:rPr>
        <w:t>;</w:t>
      </w:r>
      <w:r w:rsidRPr="00B66F41">
        <w:rPr>
          <w:rFonts w:ascii="Times New Roman" w:hAnsi="Times New Roman" w:cs="Times New Roman"/>
        </w:rPr>
        <w:t xml:space="preserve"> and any analysis assumptions, uncertainties</w:t>
      </w:r>
      <w:r w:rsidR="007C4EE2">
        <w:rPr>
          <w:rFonts w:ascii="Times New Roman" w:hAnsi="Times New Roman" w:cs="Times New Roman"/>
        </w:rPr>
        <w:t>,</w:t>
      </w:r>
      <w:r w:rsidRPr="00B66F41">
        <w:rPr>
          <w:rFonts w:ascii="Times New Roman" w:hAnsi="Times New Roman" w:cs="Times New Roman"/>
        </w:rPr>
        <w:t xml:space="preserve"> and limitations.</w:t>
      </w:r>
    </w:p>
    <w:p w:rsidR="00D3467D" w:rsidRPr="00F9516A" w:rsidP="002F3C90" w14:paraId="2E4A3BA0" w14:textId="77777777">
      <w:pPr>
        <w:spacing w:after="0" w:line="240" w:lineRule="auto"/>
        <w:ind w:left="1440" w:hanging="720"/>
        <w:rPr>
          <w:rFonts w:ascii="Times New Roman" w:hAnsi="Times New Roman" w:cs="Times New Roman"/>
        </w:rPr>
      </w:pPr>
    </w:p>
    <w:p w:rsidR="0002434E" w:rsidP="002F3C90" w14:paraId="2961E4BA" w14:textId="7635769D">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For licensing events</w:t>
      </w:r>
      <w:r w:rsidRPr="00B66F41">
        <w:rPr>
          <w:rFonts w:ascii="Times New Roman" w:hAnsi="Times New Roman" w:cs="Times New Roman"/>
        </w:rPr>
        <w:t>, the documentation should include information on the method and basis for grouping the event sequences into licensing events</w:t>
      </w:r>
      <w:r w:rsidR="007C4EE2">
        <w:rPr>
          <w:rFonts w:ascii="Times New Roman" w:hAnsi="Times New Roman" w:cs="Times New Roman"/>
        </w:rPr>
        <w:t>;</w:t>
      </w:r>
      <w:r w:rsidRPr="00B66F41">
        <w:rPr>
          <w:rFonts w:ascii="Times New Roman" w:hAnsi="Times New Roman" w:cs="Times New Roman"/>
        </w:rPr>
        <w:t xml:space="preserve"> the selection of limiting cases for each group of licensing events</w:t>
      </w:r>
      <w:r w:rsidR="007C4EE2">
        <w:rPr>
          <w:rFonts w:ascii="Times New Roman" w:hAnsi="Times New Roman" w:cs="Times New Roman"/>
        </w:rPr>
        <w:t>;</w:t>
      </w:r>
      <w:r w:rsidRPr="00B66F41">
        <w:rPr>
          <w:rFonts w:ascii="Times New Roman" w:hAnsi="Times New Roman" w:cs="Times New Roman"/>
        </w:rPr>
        <w:t xml:space="preserve"> the approach for assessing completeness and consistency of licensing events with similar plants or type of plants</w:t>
      </w:r>
      <w:r w:rsidR="007C4EE2">
        <w:rPr>
          <w:rFonts w:ascii="Times New Roman" w:hAnsi="Times New Roman" w:cs="Times New Roman"/>
        </w:rPr>
        <w:t>;</w:t>
      </w:r>
      <w:r w:rsidRPr="00B66F41">
        <w:rPr>
          <w:rFonts w:ascii="Times New Roman" w:hAnsi="Times New Roman" w:cs="Times New Roman"/>
        </w:rPr>
        <w:t xml:space="preserve"> and any analysis assumptions, uncertainties</w:t>
      </w:r>
      <w:r w:rsidR="007C4EE2">
        <w:rPr>
          <w:rFonts w:ascii="Times New Roman" w:hAnsi="Times New Roman" w:cs="Times New Roman"/>
        </w:rPr>
        <w:t>,</w:t>
      </w:r>
      <w:r w:rsidRPr="00B66F41">
        <w:rPr>
          <w:rFonts w:ascii="Times New Roman" w:hAnsi="Times New Roman" w:cs="Times New Roman"/>
        </w:rPr>
        <w:t xml:space="preserve"> and limitations.</w:t>
      </w:r>
    </w:p>
    <w:p w:rsidR="007C4EE2" w:rsidRPr="00B66F41" w:rsidP="002F3C90" w14:paraId="26FCA2AC" w14:textId="77777777">
      <w:pPr>
        <w:pStyle w:val="ListParagraph"/>
        <w:spacing w:after="0" w:line="240" w:lineRule="auto"/>
        <w:rPr>
          <w:rFonts w:ascii="Times New Roman" w:hAnsi="Times New Roman" w:cs="Times New Roman"/>
        </w:rPr>
      </w:pPr>
    </w:p>
    <w:p w:rsidR="0003791E" w:rsidP="002F3C90" w14:paraId="602C99A7" w14:textId="77777777">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Documentation should be archived and preserved as lifetime quality records</w:t>
      </w:r>
      <w:r w:rsidRPr="00586982" w:rsidR="00B92438">
        <w:rPr>
          <w:rFonts w:ascii="Times New Roman" w:hAnsi="Times New Roman" w:cs="Times New Roman"/>
        </w:rPr>
        <w:t>.</w:t>
      </w:r>
    </w:p>
    <w:p w:rsidR="0003791E" w:rsidP="002F3C90" w14:paraId="787A86FF" w14:textId="77777777">
      <w:pPr>
        <w:pStyle w:val="ListParagraph"/>
        <w:spacing w:after="0" w:line="240" w:lineRule="auto"/>
        <w:rPr>
          <w:rFonts w:ascii="Times New Roman" w:hAnsi="Times New Roman" w:cs="Times New Roman"/>
        </w:rPr>
      </w:pPr>
    </w:p>
    <w:p w:rsidR="001E1992" w:rsidRPr="00352574" w:rsidP="002F3C90" w14:paraId="0CFE7956" w14:textId="7CB18768">
      <w:pPr>
        <w:pStyle w:val="ListParagraph"/>
        <w:numPr>
          <w:ilvl w:val="0"/>
          <w:numId w:val="56"/>
        </w:numPr>
        <w:spacing w:after="0" w:line="240" w:lineRule="auto"/>
        <w:ind w:left="720" w:hanging="720"/>
        <w:rPr>
          <w:rFonts w:ascii="Times New Roman" w:hAnsi="Times New Roman" w:cs="Times New Roman"/>
        </w:rPr>
      </w:pPr>
      <w:r w:rsidRPr="0002434E">
        <w:rPr>
          <w:rFonts w:ascii="Times New Roman" w:hAnsi="Times New Roman" w:cs="Times New Roman"/>
        </w:rPr>
        <w:t>Submittal documentation should follow the application-specific guidance</w:t>
      </w:r>
      <w:r>
        <w:rPr>
          <w:rFonts w:ascii="Times New Roman" w:hAnsi="Times New Roman" w:cs="Times New Roman"/>
        </w:rPr>
        <w:t xml:space="preserve"> under the selected regulatory framework.</w:t>
      </w:r>
      <w:r w:rsidRPr="00352574">
        <w:rPr>
          <w:rFonts w:ascii="Times New Roman" w:hAnsi="Times New Roman" w:cs="Times New Roman"/>
        </w:rPr>
        <w:br w:type="page"/>
      </w:r>
    </w:p>
    <w:p w:rsidR="00D33842" w:rsidRPr="00C62937" w:rsidP="002F3C90" w14:paraId="34BA9885" w14:textId="5EA6AE52">
      <w:pPr>
        <w:pStyle w:val="Heading1"/>
        <w:spacing w:line="240" w:lineRule="auto"/>
      </w:pPr>
      <w:r w:rsidRPr="00C62937">
        <w:t xml:space="preserve">D. </w:t>
      </w:r>
      <w:r w:rsidR="00064630">
        <w:t xml:space="preserve"> </w:t>
      </w:r>
      <w:r w:rsidRPr="00C62937">
        <w:t>IMPLEMENTATION</w:t>
      </w:r>
    </w:p>
    <w:p w:rsidR="001E1992" w:rsidRPr="00352574" w:rsidP="002F3C90" w14:paraId="0E32385D" w14:textId="37A8F3C5">
      <w:pPr>
        <w:spacing w:after="0" w:line="240" w:lineRule="auto"/>
        <w:rPr>
          <w:rFonts w:ascii="Times New Roman" w:hAnsi="Times New Roman" w:cs="Times New Roman"/>
        </w:rPr>
      </w:pPr>
    </w:p>
    <w:p w:rsidR="007A6F0D" w:rsidRPr="00352574" w:rsidP="002F3C90" w14:paraId="6BE13E3E" w14:textId="66CF55A4">
      <w:pPr>
        <w:spacing w:after="0" w:line="240" w:lineRule="auto"/>
        <w:ind w:firstLine="720"/>
        <w:rPr>
          <w:rFonts w:ascii="Times New Roman" w:hAnsi="Times New Roman" w:cs="Times New Roman"/>
        </w:rPr>
      </w:pPr>
      <w:r w:rsidRPr="009C5169">
        <w:rPr>
          <w:rFonts w:ascii="Times New Roman" w:hAnsi="Times New Roman" w:cs="Times New Roman"/>
        </w:rPr>
        <w:t xml:space="preserve">The NRC staff may use this </w:t>
      </w:r>
      <w:r w:rsidR="00770837">
        <w:rPr>
          <w:rFonts w:ascii="Times New Roman" w:hAnsi="Times New Roman" w:cs="Times New Roman"/>
        </w:rPr>
        <w:t>RG</w:t>
      </w:r>
      <w:r w:rsidRPr="009C5169">
        <w:rPr>
          <w:rFonts w:ascii="Times New Roman" w:hAnsi="Times New Roman" w:cs="Times New Roman"/>
        </w:rPr>
        <w:t xml:space="preserve"> as a reference in its regulatory processes, such as licensing, inspection, or enforcement. However, t</w:t>
      </w:r>
      <w:r w:rsidRPr="009C5169">
        <w:rPr>
          <w:rFonts w:ascii="Times New Roman" w:hAnsi="Times New Roman" w:cs="Times New Roman"/>
        </w:rPr>
        <w:t xml:space="preserve">he NRC staff does not intend to use the guidance in this </w:t>
      </w:r>
      <w:r w:rsidR="00770837">
        <w:rPr>
          <w:rFonts w:ascii="Times New Roman" w:hAnsi="Times New Roman" w:cs="Times New Roman"/>
        </w:rPr>
        <w:t>RG</w:t>
      </w:r>
      <w:r w:rsidRPr="009C5169">
        <w:rPr>
          <w:rFonts w:ascii="Times New Roman" w:hAnsi="Times New Roman" w:cs="Times New Roman"/>
        </w:rPr>
        <w:t xml:space="preserve"> to support NRC staff actions</w:t>
      </w:r>
      <w:r w:rsidRPr="009C5169">
        <w:rPr>
          <w:rFonts w:ascii="Times New Roman" w:hAnsi="Times New Roman" w:cs="Times New Roman"/>
        </w:rPr>
        <w:t xml:space="preserve"> in a manner that would constitute backfitting as that term is defined in </w:t>
      </w:r>
      <w:r w:rsidRPr="00C53A56" w:rsidR="00C53A56">
        <w:rPr>
          <w:rFonts w:ascii="Times New Roman" w:hAnsi="Times New Roman" w:cs="Times New Roman"/>
        </w:rPr>
        <w:t>10</w:t>
      </w:r>
      <w:r w:rsidR="00DB4302">
        <w:rPr>
          <w:rFonts w:ascii="Times New Roman" w:hAnsi="Times New Roman" w:cs="Times New Roman"/>
        </w:rPr>
        <w:t> </w:t>
      </w:r>
      <w:r w:rsidRPr="00C53A56" w:rsidR="00C53A56">
        <w:rPr>
          <w:rFonts w:ascii="Times New Roman" w:hAnsi="Times New Roman" w:cs="Times New Roman"/>
        </w:rPr>
        <w:t>CFR</w:t>
      </w:r>
      <w:r w:rsidR="00DB4302">
        <w:rPr>
          <w:rFonts w:ascii="Times New Roman" w:hAnsi="Times New Roman" w:cs="Times New Roman"/>
        </w:rPr>
        <w:t> </w:t>
      </w:r>
      <w:r w:rsidRPr="00C53A56" w:rsidR="00C53A56">
        <w:rPr>
          <w:rFonts w:ascii="Times New Roman" w:hAnsi="Times New Roman" w:cs="Times New Roman"/>
        </w:rPr>
        <w:t>50.109, “Backfitting,”</w:t>
      </w:r>
      <w:r w:rsidR="007F6649">
        <w:rPr>
          <w:rFonts w:ascii="Times New Roman" w:hAnsi="Times New Roman" w:cs="Times New Roman"/>
        </w:rPr>
        <w:t xml:space="preserve"> and </w:t>
      </w:r>
      <w:r w:rsidRPr="00C50E9D" w:rsidR="00105EC4">
        <w:rPr>
          <w:rFonts w:ascii="Times New Roman" w:hAnsi="Times New Roman" w:cs="Times New Roman"/>
        </w:rPr>
        <w:t>10</w:t>
      </w:r>
      <w:r w:rsidR="00DB4302">
        <w:rPr>
          <w:rFonts w:ascii="Times New Roman" w:hAnsi="Times New Roman" w:cs="Times New Roman"/>
        </w:rPr>
        <w:t> </w:t>
      </w:r>
      <w:r w:rsidRPr="00C50E9D" w:rsidR="00105EC4">
        <w:rPr>
          <w:rFonts w:ascii="Times New Roman" w:hAnsi="Times New Roman" w:cs="Times New Roman"/>
        </w:rPr>
        <w:t>CFR</w:t>
      </w:r>
      <w:r w:rsidR="00DB4302">
        <w:rPr>
          <w:rFonts w:ascii="Times New Roman" w:hAnsi="Times New Roman" w:cs="Times New Roman"/>
        </w:rPr>
        <w:t> </w:t>
      </w:r>
      <w:r w:rsidRPr="00C50E9D" w:rsidR="00105EC4">
        <w:rPr>
          <w:rFonts w:ascii="Times New Roman" w:hAnsi="Times New Roman" w:cs="Times New Roman"/>
        </w:rPr>
        <w:t>53.1590</w:t>
      </w:r>
      <w:r w:rsidRPr="00C50E9D" w:rsidR="00105EC4">
        <w:rPr>
          <w:rFonts w:ascii="Times New Roman" w:hAnsi="Times New Roman"/>
        </w:rPr>
        <w:t xml:space="preserve">, “Backfitting,” </w:t>
      </w:r>
      <w:r w:rsidRPr="008F1111">
        <w:rPr>
          <w:rFonts w:ascii="Times New Roman" w:hAnsi="Times New Roman" w:cs="Times New Roman"/>
        </w:rPr>
        <w:t xml:space="preserve">and </w:t>
      </w:r>
      <w:r w:rsidRPr="008F1111">
        <w:rPr>
          <w:rFonts w:ascii="Times New Roman" w:hAnsi="Times New Roman" w:cs="Times New Roman"/>
        </w:rPr>
        <w:t xml:space="preserve">as </w:t>
      </w:r>
      <w:r w:rsidRPr="008F1111">
        <w:rPr>
          <w:rFonts w:ascii="Times New Roman" w:hAnsi="Times New Roman" w:cs="Times New Roman"/>
        </w:rPr>
        <w:t xml:space="preserve">described in </w:t>
      </w:r>
      <w:r w:rsidRPr="008F1111">
        <w:rPr>
          <w:rFonts w:ascii="Times New Roman" w:hAnsi="Times New Roman" w:cs="Times New Roman"/>
        </w:rPr>
        <w:t>NRC Management Directive</w:t>
      </w:r>
      <w:r w:rsidR="00DB4302">
        <w:rPr>
          <w:rFonts w:ascii="Times New Roman" w:hAnsi="Times New Roman" w:cs="Times New Roman"/>
        </w:rPr>
        <w:t> </w:t>
      </w:r>
      <w:r w:rsidRPr="008F1111">
        <w:rPr>
          <w:rFonts w:ascii="Times New Roman" w:hAnsi="Times New Roman" w:cs="Times New Roman"/>
        </w:rPr>
        <w:t>8.4, “Management of Backfitting, Forward Fitting, Issue Finality, and Information Requests” (Ref.</w:t>
      </w:r>
      <w:r w:rsidR="00DB4302">
        <w:rPr>
          <w:rFonts w:ascii="Times New Roman" w:hAnsi="Times New Roman" w:cs="Times New Roman"/>
        </w:rPr>
        <w:t> </w:t>
      </w:r>
      <w:r w:rsidRPr="008F1111" w:rsidR="00FB4A18">
        <w:rPr>
          <w:rFonts w:ascii="Times New Roman" w:hAnsi="Times New Roman" w:cs="Times New Roman"/>
        </w:rPr>
        <w:t>2</w:t>
      </w:r>
      <w:r w:rsidR="00FB4A18">
        <w:rPr>
          <w:rFonts w:ascii="Times New Roman" w:hAnsi="Times New Roman" w:cs="Times New Roman"/>
        </w:rPr>
        <w:t>8</w:t>
      </w:r>
      <w:r w:rsidRPr="008F1111">
        <w:rPr>
          <w:rFonts w:ascii="Times New Roman" w:hAnsi="Times New Roman" w:cs="Times New Roman"/>
        </w:rPr>
        <w:t>),</w:t>
      </w:r>
      <w:r w:rsidRPr="009C5169">
        <w:rPr>
          <w:rFonts w:ascii="Times New Roman" w:hAnsi="Times New Roman" w:cs="Times New Roman"/>
        </w:rPr>
        <w:t xml:space="preserve"> nor does the NRC staff intend to use the guidance to affect the issue finality of an approval under</w:t>
      </w:r>
      <w:r w:rsidR="00E9359C">
        <w:rPr>
          <w:rFonts w:ascii="Times New Roman" w:hAnsi="Times New Roman" w:cs="Times New Roman"/>
        </w:rPr>
        <w:t xml:space="preserve"> </w:t>
      </w:r>
      <w:r w:rsidRPr="00E9359C" w:rsidR="00E9359C">
        <w:rPr>
          <w:rFonts w:ascii="Times New Roman" w:hAnsi="Times New Roman" w:cs="Times New Roman"/>
        </w:rPr>
        <w:t>10</w:t>
      </w:r>
      <w:r w:rsidR="00DB4302">
        <w:rPr>
          <w:rFonts w:ascii="Times New Roman" w:hAnsi="Times New Roman" w:cs="Times New Roman"/>
        </w:rPr>
        <w:t> </w:t>
      </w:r>
      <w:r w:rsidRPr="00E9359C" w:rsidR="00E9359C">
        <w:rPr>
          <w:rFonts w:ascii="Times New Roman" w:hAnsi="Times New Roman" w:cs="Times New Roman"/>
        </w:rPr>
        <w:t>CFR</w:t>
      </w:r>
      <w:r w:rsidR="00DB4302">
        <w:rPr>
          <w:rFonts w:ascii="Times New Roman" w:hAnsi="Times New Roman" w:cs="Times New Roman"/>
        </w:rPr>
        <w:t> </w:t>
      </w:r>
      <w:r w:rsidRPr="00E9359C" w:rsidR="00E9359C">
        <w:rPr>
          <w:rFonts w:ascii="Times New Roman" w:hAnsi="Times New Roman" w:cs="Times New Roman"/>
        </w:rPr>
        <w:t>Part</w:t>
      </w:r>
      <w:r w:rsidR="00DB4302">
        <w:rPr>
          <w:rFonts w:ascii="Times New Roman" w:hAnsi="Times New Roman" w:cs="Times New Roman"/>
        </w:rPr>
        <w:t> </w:t>
      </w:r>
      <w:r w:rsidRPr="00E9359C" w:rsidR="00E9359C">
        <w:rPr>
          <w:rFonts w:ascii="Times New Roman" w:hAnsi="Times New Roman" w:cs="Times New Roman"/>
        </w:rPr>
        <w:t xml:space="preserve">52, “Licenses, Certifications, and Approvals for Nuclear Power Plants,” or </w:t>
      </w:r>
      <w:r w:rsidRPr="00F10C5B" w:rsidR="00F10C5B">
        <w:rPr>
          <w:rFonts w:ascii="Times New Roman" w:hAnsi="Times New Roman" w:cs="Times New Roman"/>
        </w:rPr>
        <w:t>10 CFR</w:t>
      </w:r>
      <w:r w:rsidR="00DB4302">
        <w:rPr>
          <w:rFonts w:ascii="Times New Roman" w:hAnsi="Times New Roman" w:cs="Times New Roman"/>
        </w:rPr>
        <w:t> </w:t>
      </w:r>
      <w:r w:rsidRPr="00F10C5B" w:rsidR="00F10C5B">
        <w:rPr>
          <w:rFonts w:ascii="Times New Roman" w:hAnsi="Times New Roman" w:cs="Times New Roman"/>
        </w:rPr>
        <w:t>Part</w:t>
      </w:r>
      <w:r w:rsidR="00DB4302">
        <w:rPr>
          <w:rFonts w:ascii="Times New Roman" w:hAnsi="Times New Roman" w:cs="Times New Roman"/>
        </w:rPr>
        <w:t> </w:t>
      </w:r>
      <w:r w:rsidRPr="00F10C5B" w:rsidR="00F10C5B">
        <w:rPr>
          <w:rFonts w:ascii="Times New Roman" w:hAnsi="Times New Roman" w:cs="Times New Roman"/>
        </w:rPr>
        <w:t>53, Subpart</w:t>
      </w:r>
      <w:r w:rsidR="00DB4302">
        <w:rPr>
          <w:rFonts w:ascii="Times New Roman" w:hAnsi="Times New Roman" w:cs="Times New Roman"/>
        </w:rPr>
        <w:t> </w:t>
      </w:r>
      <w:r w:rsidRPr="00F10C5B" w:rsidR="00F10C5B">
        <w:rPr>
          <w:rFonts w:ascii="Times New Roman" w:hAnsi="Times New Roman" w:cs="Times New Roman"/>
        </w:rPr>
        <w:t>H, “Licenses, Certifications</w:t>
      </w:r>
      <w:r w:rsidR="00907924">
        <w:rPr>
          <w:rFonts w:ascii="Times New Roman" w:hAnsi="Times New Roman" w:cs="Times New Roman"/>
        </w:rPr>
        <w:t>,</w:t>
      </w:r>
      <w:r w:rsidRPr="00F10C5B" w:rsidR="00F10C5B">
        <w:rPr>
          <w:rFonts w:ascii="Times New Roman" w:hAnsi="Times New Roman" w:cs="Times New Roman"/>
        </w:rPr>
        <w:t xml:space="preserve"> and Approvals.” </w:t>
      </w:r>
      <w:r w:rsidRPr="009C5169">
        <w:rPr>
          <w:rFonts w:ascii="Times New Roman" w:hAnsi="Times New Roman" w:cs="Times New Roman"/>
        </w:rPr>
        <w:t xml:space="preserve">The staff also does not intend to use the guidance to support NRC staff actions in a manner that </w:t>
      </w:r>
      <w:r w:rsidRPr="009C5169">
        <w:rPr>
          <w:rFonts w:ascii="Times New Roman" w:hAnsi="Times New Roman" w:cs="Times New Roman"/>
        </w:rPr>
        <w:t>constitute</w:t>
      </w:r>
      <w:r w:rsidRPr="009C5169">
        <w:rPr>
          <w:rFonts w:ascii="Times New Roman" w:hAnsi="Times New Roman" w:cs="Times New Roman"/>
        </w:rPr>
        <w:t>s</w:t>
      </w:r>
      <w:r w:rsidRPr="009C5169">
        <w:rPr>
          <w:rFonts w:ascii="Times New Roman" w:hAnsi="Times New Roman" w:cs="Times New Roman"/>
        </w:rPr>
        <w:t xml:space="preserve"> forward fitting as that term is defined and described in Management Directive</w:t>
      </w:r>
      <w:r w:rsidR="00DB4302">
        <w:rPr>
          <w:rFonts w:ascii="Times New Roman" w:hAnsi="Times New Roman" w:cs="Times New Roman"/>
        </w:rPr>
        <w:t> </w:t>
      </w:r>
      <w:r w:rsidRPr="009C5169">
        <w:rPr>
          <w:rFonts w:ascii="Times New Roman" w:hAnsi="Times New Roman" w:cs="Times New Roman"/>
        </w:rPr>
        <w:t>8.4.</w:t>
      </w:r>
      <w:r w:rsidRPr="009C5169">
        <w:rPr>
          <w:rFonts w:ascii="Times New Roman" w:hAnsi="Times New Roman" w:cs="Times New Roman"/>
        </w:rPr>
        <w:t xml:space="preserve"> If a licensee believes that the NRC is using this </w:t>
      </w:r>
      <w:r w:rsidR="00770837">
        <w:rPr>
          <w:rFonts w:ascii="Times New Roman" w:hAnsi="Times New Roman" w:cs="Times New Roman"/>
        </w:rPr>
        <w:t>RG</w:t>
      </w:r>
      <w:r w:rsidRPr="009C5169">
        <w:rPr>
          <w:rFonts w:ascii="Times New Roman" w:hAnsi="Times New Roman" w:cs="Times New Roman"/>
        </w:rPr>
        <w:t xml:space="preserve"> in a manner inconsistent with the discussion in this Implementation section, then the licensee may file a backfitting or forward fitting appeal with the NRC in accordance with the process in Management Directive</w:t>
      </w:r>
      <w:r w:rsidR="00DB4302">
        <w:rPr>
          <w:rFonts w:ascii="Times New Roman" w:hAnsi="Times New Roman" w:cs="Times New Roman"/>
        </w:rPr>
        <w:t> </w:t>
      </w:r>
      <w:r w:rsidRPr="009C5169">
        <w:rPr>
          <w:rFonts w:ascii="Times New Roman" w:hAnsi="Times New Roman" w:cs="Times New Roman"/>
        </w:rPr>
        <w:t>8.4.</w:t>
      </w:r>
    </w:p>
    <w:p w:rsidR="00441329" w:rsidRPr="00352574" w:rsidP="002F3C90" w14:paraId="539A09E9" w14:textId="174853D9">
      <w:pPr>
        <w:spacing w:after="0" w:line="240" w:lineRule="auto"/>
        <w:rPr>
          <w:rFonts w:ascii="Times New Roman" w:hAnsi="Times New Roman" w:cs="Times New Roman"/>
        </w:rPr>
      </w:pPr>
    </w:p>
    <w:p w:rsidR="00656668" w:rsidRPr="00352574" w:rsidP="002F3C90" w14:paraId="13D37648" w14:textId="77777777">
      <w:pPr>
        <w:spacing w:after="0" w:line="240" w:lineRule="auto"/>
        <w:jc w:val="center"/>
        <w:rPr>
          <w:rFonts w:ascii="Times New Roman" w:hAnsi="Times New Roman" w:cs="Times New Roman"/>
          <w:b/>
          <w:bCs/>
        </w:rPr>
      </w:pPr>
      <w:r w:rsidRPr="00352574">
        <w:rPr>
          <w:rFonts w:ascii="Times New Roman" w:hAnsi="Times New Roman" w:cs="Times New Roman"/>
          <w:b/>
          <w:bCs/>
        </w:rPr>
        <w:br w:type="page"/>
      </w:r>
    </w:p>
    <w:p w:rsidR="0080596B" w:rsidP="002F3C90" w14:paraId="0FEA40AA" w14:textId="5396AFF1">
      <w:pPr>
        <w:pStyle w:val="Heading1"/>
        <w:spacing w:after="280" w:line="240" w:lineRule="auto"/>
      </w:pPr>
      <w:r>
        <w:t>ACRONYMS AND ABBREVIATIONS</w:t>
      </w:r>
    </w:p>
    <w:tbl>
      <w:tblPr>
        <w:tblW w:w="0" w:type="auto"/>
        <w:jc w:val="center"/>
        <w:tblCellMar>
          <w:top w:w="72" w:type="dxa"/>
          <w:left w:w="0" w:type="dxa"/>
          <w:bottom w:w="72" w:type="dxa"/>
          <w:right w:w="0" w:type="dxa"/>
        </w:tblCellMar>
        <w:tblLook w:val="04A0"/>
      </w:tblPr>
      <w:tblGrid>
        <w:gridCol w:w="1800"/>
        <w:gridCol w:w="7560"/>
      </w:tblGrid>
      <w:tr w14:paraId="589231D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RPr="00586982" w:rsidP="002F3C90" w14:paraId="21B522FF" w14:textId="0EE0BB60">
            <w:pPr>
              <w:spacing w:after="0" w:line="240" w:lineRule="auto"/>
              <w:contextualSpacing/>
              <w:rPr>
                <w:rFonts w:ascii="Times New Roman" w:hAnsi="Times New Roman" w:cs="Times New Roman"/>
                <w:b/>
                <w:bCs/>
              </w:rPr>
            </w:pPr>
            <w:r>
              <w:rPr>
                <w:rFonts w:ascii="Times New Roman" w:hAnsi="Times New Roman" w:cs="Times New Roman"/>
                <w:b/>
                <w:bCs/>
              </w:rPr>
              <w:t>A</w:t>
            </w:r>
            <w:r w:rsidR="009D5435">
              <w:rPr>
                <w:rFonts w:ascii="Times New Roman" w:hAnsi="Times New Roman" w:cs="Times New Roman"/>
                <w:b/>
                <w:bCs/>
              </w:rPr>
              <w:t>CRS</w:t>
            </w:r>
          </w:p>
        </w:tc>
        <w:tc>
          <w:tcPr>
            <w:tcW w:w="7560" w:type="dxa"/>
          </w:tcPr>
          <w:p w:rsidR="00737C78" w:rsidRPr="00586982" w:rsidP="002F3C90" w14:paraId="3D0C4C35" w14:textId="3277EF6A">
            <w:pPr>
              <w:spacing w:after="0" w:line="240" w:lineRule="auto"/>
              <w:contextualSpacing/>
              <w:rPr>
                <w:rFonts w:ascii="Times New Roman" w:hAnsi="Times New Roman" w:cs="Times New Roman"/>
              </w:rPr>
            </w:pPr>
            <w:r>
              <w:rPr>
                <w:rFonts w:ascii="Times New Roman" w:hAnsi="Times New Roman" w:cs="Times New Roman"/>
              </w:rPr>
              <w:t>A</w:t>
            </w:r>
            <w:r w:rsidR="00A5455D">
              <w:rPr>
                <w:rFonts w:ascii="Times New Roman" w:hAnsi="Times New Roman" w:cs="Times New Roman"/>
              </w:rPr>
              <w:t xml:space="preserve">dvisory Committee on Reactor Safeguards </w:t>
            </w:r>
          </w:p>
        </w:tc>
      </w:tr>
      <w:tr w14:paraId="28285F5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C0043" w:rsidP="002F3C90" w14:paraId="3A48D196" w14:textId="3641F5A4">
            <w:pPr>
              <w:spacing w:after="0" w:line="240" w:lineRule="auto"/>
              <w:contextualSpacing/>
              <w:rPr>
                <w:rFonts w:ascii="Times New Roman" w:hAnsi="Times New Roman" w:cs="Times New Roman"/>
                <w:b/>
                <w:bCs/>
              </w:rPr>
            </w:pPr>
            <w:r>
              <w:rPr>
                <w:rFonts w:ascii="Times New Roman" w:hAnsi="Times New Roman" w:cs="Times New Roman"/>
                <w:b/>
                <w:bCs/>
              </w:rPr>
              <w:t>ADAMS</w:t>
            </w:r>
          </w:p>
        </w:tc>
        <w:tc>
          <w:tcPr>
            <w:tcW w:w="7560" w:type="dxa"/>
          </w:tcPr>
          <w:p w:rsidR="00FC0043" w:rsidP="002F3C90" w14:paraId="169D35DF" w14:textId="6EDB6BE4">
            <w:pPr>
              <w:spacing w:after="0" w:line="240" w:lineRule="auto"/>
              <w:contextualSpacing/>
              <w:rPr>
                <w:rFonts w:ascii="Times New Roman" w:hAnsi="Times New Roman" w:cs="Times New Roman"/>
              </w:rPr>
            </w:pPr>
            <w:r>
              <w:rPr>
                <w:rFonts w:ascii="Times New Roman" w:hAnsi="Times New Roman" w:cs="Times New Roman"/>
              </w:rPr>
              <w:t>Agencywide Documents Access and Management System</w:t>
            </w:r>
          </w:p>
        </w:tc>
      </w:tr>
      <w:tr w14:paraId="2C2BB35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9D5435" w:rsidP="002F3C90" w14:paraId="442A7CC5" w14:textId="736E2DF9">
            <w:pPr>
              <w:spacing w:after="0" w:line="240" w:lineRule="auto"/>
              <w:contextualSpacing/>
              <w:rPr>
                <w:rFonts w:ascii="Times New Roman" w:hAnsi="Times New Roman" w:cs="Times New Roman"/>
                <w:b/>
                <w:bCs/>
              </w:rPr>
            </w:pPr>
            <w:r>
              <w:rPr>
                <w:rFonts w:ascii="Times New Roman" w:hAnsi="Times New Roman" w:cs="Times New Roman"/>
                <w:b/>
                <w:bCs/>
              </w:rPr>
              <w:t>AEC</w:t>
            </w:r>
          </w:p>
        </w:tc>
        <w:tc>
          <w:tcPr>
            <w:tcW w:w="7560" w:type="dxa"/>
          </w:tcPr>
          <w:p w:rsidR="009D5435" w:rsidP="002F3C90" w14:paraId="2D01767F" w14:textId="2AC0CE7C">
            <w:pPr>
              <w:spacing w:after="0" w:line="240" w:lineRule="auto"/>
              <w:contextualSpacing/>
              <w:rPr>
                <w:rFonts w:ascii="Times New Roman" w:hAnsi="Times New Roman" w:cs="Times New Roman"/>
              </w:rPr>
            </w:pPr>
            <w:r>
              <w:rPr>
                <w:rFonts w:ascii="Times New Roman" w:hAnsi="Times New Roman" w:cs="Times New Roman"/>
              </w:rPr>
              <w:t>Atomic Energy Commission</w:t>
            </w:r>
          </w:p>
        </w:tc>
      </w:tr>
      <w:tr w14:paraId="7237744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603E5A" w:rsidRPr="00603E5A" w:rsidP="002F3C90" w14:paraId="22FE5A09" w14:textId="5EE44E1F">
            <w:pPr>
              <w:spacing w:after="0" w:line="240" w:lineRule="auto"/>
              <w:contextualSpacing/>
              <w:rPr>
                <w:rFonts w:ascii="Times New Roman" w:hAnsi="Times New Roman" w:cs="Times New Roman"/>
                <w:b/>
                <w:bCs/>
              </w:rPr>
            </w:pPr>
            <w:r>
              <w:rPr>
                <w:rFonts w:ascii="Times New Roman" w:hAnsi="Times New Roman" w:cs="Times New Roman"/>
                <w:b/>
                <w:bCs/>
              </w:rPr>
              <w:t>AOO</w:t>
            </w:r>
          </w:p>
        </w:tc>
        <w:tc>
          <w:tcPr>
            <w:tcW w:w="7560" w:type="dxa"/>
          </w:tcPr>
          <w:p w:rsidR="00603E5A" w:rsidP="002F3C90" w14:paraId="12D0E03E" w14:textId="21592E35">
            <w:pPr>
              <w:spacing w:after="0" w:line="240" w:lineRule="auto"/>
              <w:contextualSpacing/>
              <w:rPr>
                <w:rFonts w:ascii="Times New Roman" w:hAnsi="Times New Roman" w:cs="Times New Roman"/>
              </w:rPr>
            </w:pPr>
            <w:r>
              <w:rPr>
                <w:rFonts w:ascii="Times New Roman" w:hAnsi="Times New Roman" w:cs="Times New Roman"/>
              </w:rPr>
              <w:t xml:space="preserve">anticipated operational occurrence </w:t>
            </w:r>
          </w:p>
        </w:tc>
      </w:tr>
      <w:tr w14:paraId="38B5EF9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94CB6" w:rsidP="002F3C90" w14:paraId="28A739B2" w14:textId="77777777">
            <w:pPr>
              <w:spacing w:line="240" w:lineRule="auto"/>
              <w:contextualSpacing/>
              <w:rPr>
                <w:rFonts w:ascii="Times New Roman" w:hAnsi="Times New Roman" w:cs="Times New Roman"/>
                <w:b/>
                <w:bCs/>
              </w:rPr>
            </w:pPr>
            <w:r>
              <w:rPr>
                <w:rFonts w:ascii="Times New Roman" w:hAnsi="Times New Roman" w:cs="Times New Roman"/>
                <w:b/>
                <w:bCs/>
              </w:rPr>
              <w:t>ATWS</w:t>
            </w:r>
          </w:p>
        </w:tc>
        <w:tc>
          <w:tcPr>
            <w:tcW w:w="7560" w:type="dxa"/>
          </w:tcPr>
          <w:p w:rsidR="00794CB6" w:rsidP="002F3C90" w14:paraId="325D19DD" w14:textId="77777777">
            <w:pPr>
              <w:spacing w:line="240" w:lineRule="auto"/>
              <w:contextualSpacing/>
              <w:rPr>
                <w:rFonts w:ascii="Times New Roman" w:hAnsi="Times New Roman" w:cs="Times New Roman"/>
              </w:rPr>
            </w:pPr>
            <w:r>
              <w:rPr>
                <w:rFonts w:ascii="Times New Roman" w:hAnsi="Times New Roman" w:cs="Times New Roman"/>
              </w:rPr>
              <w:t>Anticipated Transients Without Scram</w:t>
            </w:r>
          </w:p>
        </w:tc>
      </w:tr>
      <w:tr w14:paraId="34B9A53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623B3E" w:rsidP="002F3C90" w14:paraId="6AF79312" w14:textId="6F81547A">
            <w:pPr>
              <w:spacing w:after="0" w:line="240" w:lineRule="auto"/>
              <w:contextualSpacing/>
              <w:rPr>
                <w:rFonts w:ascii="Times New Roman" w:hAnsi="Times New Roman" w:cs="Times New Roman"/>
                <w:b/>
                <w:bCs/>
              </w:rPr>
            </w:pPr>
            <w:r>
              <w:rPr>
                <w:rFonts w:ascii="Times New Roman" w:hAnsi="Times New Roman" w:cs="Times New Roman"/>
                <w:b/>
                <w:bCs/>
              </w:rPr>
              <w:t>BDBE</w:t>
            </w:r>
          </w:p>
        </w:tc>
        <w:tc>
          <w:tcPr>
            <w:tcW w:w="7560" w:type="dxa"/>
          </w:tcPr>
          <w:p w:rsidR="00623B3E" w:rsidP="002F3C90" w14:paraId="36D21698" w14:textId="551BCFBB">
            <w:pPr>
              <w:spacing w:after="0" w:line="240" w:lineRule="auto"/>
              <w:contextualSpacing/>
              <w:rPr>
                <w:rFonts w:ascii="Times New Roman" w:hAnsi="Times New Roman" w:cs="Times New Roman"/>
              </w:rPr>
            </w:pPr>
            <w:r>
              <w:rPr>
                <w:rFonts w:ascii="Times New Roman" w:hAnsi="Times New Roman" w:cs="Times New Roman"/>
              </w:rPr>
              <w:t>beyond-design</w:t>
            </w:r>
            <w:r>
              <w:rPr>
                <w:rFonts w:ascii="Times New Roman" w:hAnsi="Times New Roman" w:cs="Times New Roman"/>
              </w:rPr>
              <w:t>-basis event</w:t>
            </w:r>
          </w:p>
        </w:tc>
      </w:tr>
      <w:tr w14:paraId="2CB16E9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RPr="00586982" w:rsidP="002F3C90" w14:paraId="76F68213" w14:textId="77777777">
            <w:pPr>
              <w:spacing w:line="240" w:lineRule="auto"/>
              <w:contextualSpacing/>
              <w:rPr>
                <w:rFonts w:ascii="Times New Roman" w:hAnsi="Times New Roman" w:cs="Times New Roman"/>
                <w:b/>
                <w:bCs/>
              </w:rPr>
            </w:pPr>
            <w:r w:rsidRPr="00586982">
              <w:rPr>
                <w:rFonts w:ascii="Times New Roman" w:hAnsi="Times New Roman" w:cs="Times New Roman"/>
                <w:b/>
                <w:bCs/>
              </w:rPr>
              <w:t>CCA</w:t>
            </w:r>
          </w:p>
        </w:tc>
        <w:tc>
          <w:tcPr>
            <w:tcW w:w="7560" w:type="dxa"/>
          </w:tcPr>
          <w:p w:rsidR="00737C78" w:rsidRPr="00737C78" w:rsidP="002F3C90" w14:paraId="69E90D55" w14:textId="77777777">
            <w:pPr>
              <w:spacing w:line="240" w:lineRule="auto"/>
              <w:contextualSpacing/>
              <w:rPr>
                <w:rFonts w:ascii="Times New Roman" w:hAnsi="Times New Roman" w:cs="Times New Roman"/>
              </w:rPr>
            </w:pPr>
            <w:r>
              <w:rPr>
                <w:rFonts w:ascii="Times New Roman" w:hAnsi="Times New Roman" w:cs="Times New Roman"/>
              </w:rPr>
              <w:t>Cause Consequence Analysis</w:t>
            </w:r>
          </w:p>
        </w:tc>
      </w:tr>
      <w:tr w14:paraId="39E690D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P="002F3C90" w14:paraId="320407F2" w14:textId="77777777">
            <w:pPr>
              <w:spacing w:line="240" w:lineRule="auto"/>
              <w:contextualSpacing/>
              <w:rPr>
                <w:rFonts w:ascii="Times New Roman" w:hAnsi="Times New Roman" w:cs="Times New Roman"/>
                <w:b/>
                <w:bCs/>
              </w:rPr>
            </w:pPr>
            <w:r>
              <w:rPr>
                <w:rFonts w:ascii="Times New Roman" w:hAnsi="Times New Roman" w:cs="Times New Roman"/>
                <w:b/>
                <w:bCs/>
              </w:rPr>
              <w:t>CCFA</w:t>
            </w:r>
          </w:p>
        </w:tc>
        <w:tc>
          <w:tcPr>
            <w:tcW w:w="7560" w:type="dxa"/>
          </w:tcPr>
          <w:p w:rsidR="00737C78" w:rsidP="002F3C90" w14:paraId="5FB18FCD" w14:textId="77777777">
            <w:pPr>
              <w:spacing w:line="240" w:lineRule="auto"/>
              <w:contextualSpacing/>
              <w:rPr>
                <w:rFonts w:ascii="Times New Roman" w:hAnsi="Times New Roman" w:cs="Times New Roman"/>
              </w:rPr>
            </w:pPr>
            <w:r>
              <w:rPr>
                <w:rFonts w:ascii="Times New Roman" w:hAnsi="Times New Roman" w:cs="Times New Roman"/>
              </w:rPr>
              <w:t>Common Cause Failure Analysis</w:t>
            </w:r>
          </w:p>
        </w:tc>
      </w:tr>
      <w:tr w14:paraId="2625CFBD"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P="002F3C90" w14:paraId="74555BE1" w14:textId="31FA1089">
            <w:pPr>
              <w:spacing w:after="0" w:line="240" w:lineRule="auto"/>
              <w:contextualSpacing/>
              <w:rPr>
                <w:rFonts w:ascii="Times New Roman" w:hAnsi="Times New Roman" w:cs="Times New Roman"/>
                <w:b/>
                <w:bCs/>
              </w:rPr>
            </w:pPr>
            <w:r>
              <w:rPr>
                <w:rFonts w:ascii="Times New Roman" w:hAnsi="Times New Roman" w:cs="Times New Roman"/>
                <w:b/>
                <w:bCs/>
              </w:rPr>
              <w:t>CFR</w:t>
            </w:r>
          </w:p>
        </w:tc>
        <w:tc>
          <w:tcPr>
            <w:tcW w:w="7560" w:type="dxa"/>
          </w:tcPr>
          <w:p w:rsidR="00737C78" w:rsidRPr="00D15BFC" w:rsidP="002F3C90" w14:paraId="09B2A9B9" w14:textId="3EB0B9DC">
            <w:pPr>
              <w:spacing w:after="0" w:line="240" w:lineRule="auto"/>
              <w:contextualSpacing/>
              <w:rPr>
                <w:rFonts w:ascii="Times New Roman" w:hAnsi="Times New Roman"/>
                <w:i/>
              </w:rPr>
            </w:pPr>
            <w:r w:rsidRPr="00D15BFC">
              <w:rPr>
                <w:rFonts w:ascii="Times New Roman" w:hAnsi="Times New Roman"/>
                <w:i/>
              </w:rPr>
              <w:t>Code of Federal Regulations</w:t>
            </w:r>
          </w:p>
        </w:tc>
      </w:tr>
      <w:tr w14:paraId="738D58D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P="002F3C90" w14:paraId="7F5D270A" w14:textId="5313CBAB">
            <w:pPr>
              <w:spacing w:after="0" w:line="240" w:lineRule="auto"/>
              <w:contextualSpacing/>
              <w:rPr>
                <w:rFonts w:ascii="Times New Roman" w:hAnsi="Times New Roman" w:cs="Times New Roman"/>
                <w:b/>
                <w:bCs/>
              </w:rPr>
            </w:pPr>
            <w:r>
              <w:rPr>
                <w:rFonts w:ascii="Times New Roman" w:hAnsi="Times New Roman" w:cs="Times New Roman"/>
                <w:b/>
                <w:bCs/>
              </w:rPr>
              <w:t>CP</w:t>
            </w:r>
          </w:p>
        </w:tc>
        <w:tc>
          <w:tcPr>
            <w:tcW w:w="7560" w:type="dxa"/>
          </w:tcPr>
          <w:p w:rsidR="00737C78" w:rsidP="002F3C90" w14:paraId="33AF9FAC" w14:textId="70E88933">
            <w:pPr>
              <w:spacing w:after="0" w:line="240" w:lineRule="auto"/>
              <w:contextualSpacing/>
              <w:rPr>
                <w:rFonts w:ascii="Times New Roman" w:hAnsi="Times New Roman" w:cs="Times New Roman"/>
              </w:rPr>
            </w:pPr>
            <w:r>
              <w:rPr>
                <w:rFonts w:ascii="Times New Roman" w:hAnsi="Times New Roman" w:cs="Times New Roman"/>
              </w:rPr>
              <w:t>construction permit</w:t>
            </w:r>
          </w:p>
        </w:tc>
      </w:tr>
      <w:tr w14:paraId="7A63FD1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P="002F3C90" w14:paraId="198F2924" w14:textId="3F485673">
            <w:pPr>
              <w:spacing w:after="0" w:line="240" w:lineRule="auto"/>
              <w:contextualSpacing/>
              <w:rPr>
                <w:rFonts w:ascii="Times New Roman" w:hAnsi="Times New Roman" w:cs="Times New Roman"/>
                <w:b/>
                <w:bCs/>
              </w:rPr>
            </w:pPr>
            <w:r>
              <w:rPr>
                <w:rFonts w:ascii="Times New Roman" w:hAnsi="Times New Roman" w:cs="Times New Roman"/>
                <w:b/>
                <w:bCs/>
              </w:rPr>
              <w:t>COL</w:t>
            </w:r>
          </w:p>
        </w:tc>
        <w:tc>
          <w:tcPr>
            <w:tcW w:w="7560" w:type="dxa"/>
          </w:tcPr>
          <w:p w:rsidR="00737C78" w:rsidP="002F3C90" w14:paraId="242A008E" w14:textId="26916A68">
            <w:pPr>
              <w:spacing w:after="0" w:line="240" w:lineRule="auto"/>
              <w:contextualSpacing/>
              <w:rPr>
                <w:rFonts w:ascii="Times New Roman" w:hAnsi="Times New Roman" w:cs="Times New Roman"/>
              </w:rPr>
            </w:pPr>
            <w:r>
              <w:rPr>
                <w:rFonts w:ascii="Times New Roman" w:hAnsi="Times New Roman" w:cs="Times New Roman"/>
              </w:rPr>
              <w:t>combined license</w:t>
            </w:r>
          </w:p>
        </w:tc>
      </w:tr>
      <w:tr w14:paraId="4C014FF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37C78" w:rsidP="002F3C90" w14:paraId="7F350C56" w14:textId="3D53B7E3">
            <w:pPr>
              <w:spacing w:after="0" w:line="240" w:lineRule="auto"/>
              <w:contextualSpacing/>
              <w:rPr>
                <w:rFonts w:ascii="Times New Roman" w:hAnsi="Times New Roman" w:cs="Times New Roman"/>
                <w:b/>
                <w:bCs/>
              </w:rPr>
            </w:pPr>
            <w:r>
              <w:rPr>
                <w:rFonts w:ascii="Times New Roman" w:hAnsi="Times New Roman" w:cs="Times New Roman"/>
                <w:b/>
                <w:bCs/>
              </w:rPr>
              <w:t>DBA</w:t>
            </w:r>
          </w:p>
        </w:tc>
        <w:tc>
          <w:tcPr>
            <w:tcW w:w="7560" w:type="dxa"/>
          </w:tcPr>
          <w:p w:rsidR="00737C78" w:rsidP="002F3C90" w14:paraId="31274EA8" w14:textId="133342E8">
            <w:pPr>
              <w:spacing w:after="0" w:line="240" w:lineRule="auto"/>
              <w:contextualSpacing/>
              <w:rPr>
                <w:rFonts w:ascii="Times New Roman" w:hAnsi="Times New Roman" w:cs="Times New Roman"/>
              </w:rPr>
            </w:pPr>
            <w:r>
              <w:rPr>
                <w:rFonts w:ascii="Times New Roman" w:hAnsi="Times New Roman" w:cs="Times New Roman"/>
              </w:rPr>
              <w:t>design-basis accident</w:t>
            </w:r>
          </w:p>
        </w:tc>
      </w:tr>
      <w:tr w14:paraId="19B9481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A5485D" w:rsidP="002F3C90" w14:paraId="236B2C17" w14:textId="592457E0">
            <w:pPr>
              <w:spacing w:after="0" w:line="240" w:lineRule="auto"/>
              <w:contextualSpacing/>
              <w:rPr>
                <w:rFonts w:ascii="Times New Roman" w:hAnsi="Times New Roman" w:cs="Times New Roman"/>
                <w:b/>
                <w:bCs/>
              </w:rPr>
            </w:pPr>
            <w:r>
              <w:rPr>
                <w:rFonts w:ascii="Times New Roman" w:hAnsi="Times New Roman" w:cs="Times New Roman"/>
                <w:b/>
                <w:bCs/>
              </w:rPr>
              <w:t>DBE</w:t>
            </w:r>
          </w:p>
        </w:tc>
        <w:tc>
          <w:tcPr>
            <w:tcW w:w="7560" w:type="dxa"/>
          </w:tcPr>
          <w:p w:rsidR="00A5485D" w:rsidP="002F3C90" w14:paraId="61872C3F" w14:textId="1BEB3FD3">
            <w:pPr>
              <w:spacing w:after="0" w:line="240" w:lineRule="auto"/>
              <w:contextualSpacing/>
              <w:rPr>
                <w:rFonts w:ascii="Times New Roman" w:hAnsi="Times New Roman" w:cs="Times New Roman"/>
              </w:rPr>
            </w:pPr>
            <w:r>
              <w:rPr>
                <w:rFonts w:ascii="Times New Roman" w:hAnsi="Times New Roman" w:cs="Times New Roman"/>
              </w:rPr>
              <w:t>design-basis event</w:t>
            </w:r>
          </w:p>
        </w:tc>
      </w:tr>
      <w:tr w14:paraId="12935F7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435B2C" w:rsidP="002F3C90" w14:paraId="28DE1CA9" w14:textId="7035E006">
            <w:pPr>
              <w:spacing w:after="0" w:line="240" w:lineRule="auto"/>
              <w:contextualSpacing/>
              <w:rPr>
                <w:rFonts w:ascii="Times New Roman" w:hAnsi="Times New Roman" w:cs="Times New Roman"/>
                <w:b/>
                <w:bCs/>
              </w:rPr>
            </w:pPr>
            <w:r>
              <w:rPr>
                <w:rFonts w:ascii="Times New Roman" w:hAnsi="Times New Roman" w:cs="Times New Roman"/>
                <w:b/>
                <w:bCs/>
              </w:rPr>
              <w:t>DC</w:t>
            </w:r>
          </w:p>
        </w:tc>
        <w:tc>
          <w:tcPr>
            <w:tcW w:w="7560" w:type="dxa"/>
          </w:tcPr>
          <w:p w:rsidR="00435B2C" w:rsidP="002F3C90" w14:paraId="6BFE3710" w14:textId="67B0FCA0">
            <w:pPr>
              <w:spacing w:after="0" w:line="240" w:lineRule="auto"/>
              <w:contextualSpacing/>
              <w:rPr>
                <w:rFonts w:ascii="Times New Roman" w:hAnsi="Times New Roman" w:cs="Times New Roman"/>
              </w:rPr>
            </w:pPr>
            <w:r>
              <w:rPr>
                <w:rFonts w:ascii="Times New Roman" w:hAnsi="Times New Roman" w:cs="Times New Roman"/>
              </w:rPr>
              <w:t>design certification</w:t>
            </w:r>
          </w:p>
        </w:tc>
      </w:tr>
      <w:tr w14:paraId="0932589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435B2C" w:rsidP="002F3C90" w14:paraId="2CB2A4D9" w14:textId="77777777">
            <w:pPr>
              <w:spacing w:line="240" w:lineRule="auto"/>
              <w:contextualSpacing/>
              <w:rPr>
                <w:rFonts w:ascii="Times New Roman" w:hAnsi="Times New Roman" w:cs="Times New Roman"/>
                <w:b/>
                <w:bCs/>
              </w:rPr>
            </w:pPr>
            <w:r>
              <w:rPr>
                <w:rFonts w:ascii="Times New Roman" w:hAnsi="Times New Roman" w:cs="Times New Roman"/>
                <w:b/>
                <w:bCs/>
              </w:rPr>
              <w:t>DFM</w:t>
            </w:r>
          </w:p>
        </w:tc>
        <w:tc>
          <w:tcPr>
            <w:tcW w:w="7560" w:type="dxa"/>
          </w:tcPr>
          <w:p w:rsidR="00435B2C" w:rsidP="002F3C90" w14:paraId="5C6AD320" w14:textId="77777777">
            <w:pPr>
              <w:spacing w:line="240" w:lineRule="auto"/>
              <w:contextualSpacing/>
              <w:rPr>
                <w:rFonts w:ascii="Times New Roman" w:hAnsi="Times New Roman" w:cs="Times New Roman"/>
              </w:rPr>
            </w:pPr>
            <w:r>
              <w:rPr>
                <w:rFonts w:ascii="Times New Roman" w:hAnsi="Times New Roman" w:cs="Times New Roman"/>
              </w:rPr>
              <w:t>Double Failure Matrix</w:t>
            </w:r>
          </w:p>
        </w:tc>
      </w:tr>
      <w:tr w14:paraId="004572D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844315" w:rsidP="002F3C90" w14:paraId="6B7DEDF3" w14:textId="77777777">
            <w:pPr>
              <w:spacing w:line="240" w:lineRule="auto"/>
              <w:contextualSpacing/>
              <w:rPr>
                <w:rFonts w:ascii="Times New Roman" w:hAnsi="Times New Roman" w:cs="Times New Roman"/>
                <w:b/>
                <w:bCs/>
              </w:rPr>
            </w:pPr>
            <w:r>
              <w:rPr>
                <w:rFonts w:ascii="Times New Roman" w:hAnsi="Times New Roman" w:cs="Times New Roman"/>
                <w:b/>
                <w:bCs/>
              </w:rPr>
              <w:t>FaHA</w:t>
            </w:r>
          </w:p>
        </w:tc>
        <w:tc>
          <w:tcPr>
            <w:tcW w:w="7560" w:type="dxa"/>
          </w:tcPr>
          <w:p w:rsidR="00844315" w:rsidP="002F3C90" w14:paraId="591E7398" w14:textId="77777777">
            <w:pPr>
              <w:spacing w:line="240" w:lineRule="auto"/>
              <w:contextualSpacing/>
              <w:rPr>
                <w:rFonts w:ascii="Times New Roman" w:hAnsi="Times New Roman" w:cs="Times New Roman"/>
              </w:rPr>
            </w:pPr>
            <w:r>
              <w:rPr>
                <w:rFonts w:ascii="Times New Roman" w:hAnsi="Times New Roman" w:cs="Times New Roman"/>
              </w:rPr>
              <w:t xml:space="preserve">Fault Hazard Analysis </w:t>
            </w:r>
          </w:p>
        </w:tc>
      </w:tr>
      <w:tr w14:paraId="22D0E80D"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56211" w:rsidP="002F3C90" w14:paraId="7E3D7D00" w14:textId="20319A0F">
            <w:pPr>
              <w:spacing w:after="0" w:line="240" w:lineRule="auto"/>
              <w:contextualSpacing/>
              <w:rPr>
                <w:rFonts w:ascii="Times New Roman" w:hAnsi="Times New Roman" w:cs="Times New Roman"/>
                <w:b/>
                <w:bCs/>
              </w:rPr>
            </w:pPr>
            <w:r>
              <w:rPr>
                <w:rFonts w:ascii="Times New Roman" w:hAnsi="Times New Roman" w:cs="Times New Roman"/>
                <w:b/>
                <w:bCs/>
              </w:rPr>
              <w:t>FMEA</w:t>
            </w:r>
          </w:p>
        </w:tc>
        <w:tc>
          <w:tcPr>
            <w:tcW w:w="7560" w:type="dxa"/>
          </w:tcPr>
          <w:p w:rsidR="00F56211" w:rsidP="002F3C90" w14:paraId="17F16589" w14:textId="709DCEF3">
            <w:pPr>
              <w:spacing w:after="0" w:line="240" w:lineRule="auto"/>
              <w:contextualSpacing/>
              <w:rPr>
                <w:rFonts w:ascii="Times New Roman" w:hAnsi="Times New Roman" w:cs="Times New Roman"/>
              </w:rPr>
            </w:pPr>
            <w:r>
              <w:rPr>
                <w:rFonts w:ascii="Times New Roman" w:hAnsi="Times New Roman" w:cs="Times New Roman"/>
              </w:rPr>
              <w:t xml:space="preserve">failure modes and effects analysis </w:t>
            </w:r>
          </w:p>
        </w:tc>
      </w:tr>
      <w:tr w14:paraId="7AE230D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46748D" w:rsidP="002F3C90" w14:paraId="1D500489" w14:textId="32BF441C">
            <w:pPr>
              <w:spacing w:after="0" w:line="240" w:lineRule="auto"/>
              <w:contextualSpacing/>
              <w:rPr>
                <w:rFonts w:ascii="Times New Roman" w:hAnsi="Times New Roman" w:cs="Times New Roman"/>
                <w:b/>
                <w:bCs/>
              </w:rPr>
            </w:pPr>
            <w:r>
              <w:rPr>
                <w:rFonts w:ascii="Times New Roman" w:hAnsi="Times New Roman" w:cs="Times New Roman"/>
                <w:b/>
                <w:bCs/>
              </w:rPr>
              <w:t>FMECA</w:t>
            </w:r>
          </w:p>
        </w:tc>
        <w:tc>
          <w:tcPr>
            <w:tcW w:w="7560" w:type="dxa"/>
          </w:tcPr>
          <w:p w:rsidR="0046748D" w:rsidP="002F3C90" w14:paraId="21CAC487" w14:textId="684CF1B3">
            <w:pPr>
              <w:spacing w:after="0" w:line="240" w:lineRule="auto"/>
              <w:contextualSpacing/>
              <w:rPr>
                <w:rFonts w:ascii="Times New Roman" w:hAnsi="Times New Roman" w:cs="Times New Roman"/>
              </w:rPr>
            </w:pPr>
            <w:r w:rsidRPr="00762851">
              <w:rPr>
                <w:rFonts w:ascii="Times New Roman" w:hAnsi="Times New Roman" w:cs="Times New Roman"/>
              </w:rPr>
              <w:t>Failure Mode Effects and Criticality Analysis</w:t>
            </w:r>
          </w:p>
        </w:tc>
      </w:tr>
      <w:tr w14:paraId="3B2D552E"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ED7E95" w:rsidP="002F3C90" w14:paraId="59D104B5" w14:textId="0B1905B5">
            <w:pPr>
              <w:spacing w:after="0" w:line="240" w:lineRule="auto"/>
              <w:contextualSpacing/>
              <w:rPr>
                <w:rFonts w:ascii="Times New Roman" w:hAnsi="Times New Roman" w:cs="Times New Roman"/>
                <w:b/>
                <w:bCs/>
              </w:rPr>
            </w:pPr>
            <w:r>
              <w:rPr>
                <w:rFonts w:ascii="Times New Roman" w:hAnsi="Times New Roman" w:cs="Times New Roman"/>
                <w:b/>
                <w:bCs/>
              </w:rPr>
              <w:t>FR</w:t>
            </w:r>
          </w:p>
        </w:tc>
        <w:tc>
          <w:tcPr>
            <w:tcW w:w="7560" w:type="dxa"/>
          </w:tcPr>
          <w:p w:rsidR="00ED7E95" w:rsidRPr="00D15BFC" w:rsidP="002F3C90" w14:paraId="42AE7E3A" w14:textId="553A93F0">
            <w:pPr>
              <w:spacing w:after="0" w:line="240" w:lineRule="auto"/>
              <w:contextualSpacing/>
              <w:rPr>
                <w:rFonts w:ascii="Times New Roman" w:hAnsi="Times New Roman"/>
                <w:i/>
              </w:rPr>
            </w:pPr>
            <w:r w:rsidRPr="007707BA">
              <w:rPr>
                <w:rFonts w:ascii="Times New Roman" w:hAnsi="Times New Roman" w:cs="Times New Roman"/>
                <w:i/>
                <w:iCs/>
              </w:rPr>
              <w:t>Federal Register</w:t>
            </w:r>
          </w:p>
        </w:tc>
      </w:tr>
      <w:tr w14:paraId="6B66B37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429C8" w:rsidP="002F3C90" w14:paraId="1DE9C0A8" w14:textId="4C816C53">
            <w:pPr>
              <w:spacing w:after="0" w:line="240" w:lineRule="auto"/>
              <w:contextualSpacing/>
              <w:rPr>
                <w:rFonts w:ascii="Times New Roman" w:hAnsi="Times New Roman" w:cs="Times New Roman"/>
                <w:b/>
                <w:bCs/>
              </w:rPr>
            </w:pPr>
            <w:r>
              <w:rPr>
                <w:rFonts w:ascii="Times New Roman" w:hAnsi="Times New Roman" w:cs="Times New Roman"/>
                <w:b/>
                <w:bCs/>
              </w:rPr>
              <w:t>FTA</w:t>
            </w:r>
          </w:p>
        </w:tc>
        <w:tc>
          <w:tcPr>
            <w:tcW w:w="7560" w:type="dxa"/>
          </w:tcPr>
          <w:p w:rsidR="00F429C8" w:rsidRPr="006E2BCA" w:rsidP="002F3C90" w14:paraId="2B90C1C7" w14:textId="0E2F4256">
            <w:pPr>
              <w:spacing w:after="0" w:line="240" w:lineRule="auto"/>
              <w:contextualSpacing/>
              <w:rPr>
                <w:rFonts w:ascii="Times New Roman" w:hAnsi="Times New Roman" w:cs="Times New Roman"/>
              </w:rPr>
            </w:pPr>
            <w:r>
              <w:rPr>
                <w:rFonts w:ascii="Times New Roman" w:hAnsi="Times New Roman" w:cs="Times New Roman"/>
              </w:rPr>
              <w:t>fault tree analysis</w:t>
            </w:r>
          </w:p>
        </w:tc>
      </w:tr>
      <w:tr w14:paraId="5886392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5F3CB7" w:rsidP="002F3C90" w14:paraId="17A4B0CB" w14:textId="77777777">
            <w:pPr>
              <w:spacing w:line="240" w:lineRule="auto"/>
              <w:contextualSpacing/>
              <w:rPr>
                <w:rFonts w:ascii="Times New Roman" w:hAnsi="Times New Roman" w:cs="Times New Roman"/>
                <w:b/>
                <w:bCs/>
              </w:rPr>
            </w:pPr>
            <w:r>
              <w:rPr>
                <w:rFonts w:ascii="Times New Roman" w:hAnsi="Times New Roman" w:cs="Times New Roman"/>
                <w:b/>
                <w:bCs/>
              </w:rPr>
              <w:t>FuHA</w:t>
            </w:r>
          </w:p>
        </w:tc>
        <w:tc>
          <w:tcPr>
            <w:tcW w:w="7560" w:type="dxa"/>
          </w:tcPr>
          <w:p w:rsidR="005F3CB7" w:rsidP="002F3C90" w14:paraId="241F1C1D" w14:textId="77777777">
            <w:pPr>
              <w:spacing w:line="240" w:lineRule="auto"/>
              <w:contextualSpacing/>
              <w:rPr>
                <w:rFonts w:ascii="Times New Roman" w:hAnsi="Times New Roman" w:cs="Times New Roman"/>
              </w:rPr>
            </w:pPr>
            <w:r>
              <w:rPr>
                <w:rFonts w:ascii="Times New Roman" w:hAnsi="Times New Roman" w:cs="Times New Roman"/>
              </w:rPr>
              <w:t>Functional Hazard Analysis</w:t>
            </w:r>
          </w:p>
        </w:tc>
      </w:tr>
      <w:tr w14:paraId="6C805EB3"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A56963" w:rsidP="002F3C90" w14:paraId="304ABAD3" w14:textId="77777777">
            <w:pPr>
              <w:spacing w:line="240" w:lineRule="auto"/>
              <w:contextualSpacing/>
              <w:rPr>
                <w:rFonts w:ascii="Times New Roman" w:hAnsi="Times New Roman" w:cs="Times New Roman"/>
                <w:b/>
                <w:bCs/>
              </w:rPr>
            </w:pPr>
            <w:r>
              <w:rPr>
                <w:rFonts w:ascii="Times New Roman" w:hAnsi="Times New Roman" w:cs="Times New Roman"/>
                <w:b/>
                <w:bCs/>
              </w:rPr>
              <w:t>F&amp;Os</w:t>
            </w:r>
          </w:p>
        </w:tc>
        <w:tc>
          <w:tcPr>
            <w:tcW w:w="7560" w:type="dxa"/>
          </w:tcPr>
          <w:p w:rsidR="00A56963" w:rsidP="002F3C90" w14:paraId="3DEDF297" w14:textId="77777777">
            <w:pPr>
              <w:spacing w:line="240" w:lineRule="auto"/>
              <w:contextualSpacing/>
              <w:rPr>
                <w:rFonts w:ascii="Times New Roman" w:hAnsi="Times New Roman" w:cs="Times New Roman"/>
              </w:rPr>
            </w:pPr>
            <w:r>
              <w:rPr>
                <w:rFonts w:ascii="Times New Roman" w:hAnsi="Times New Roman" w:cs="Times New Roman"/>
              </w:rPr>
              <w:t>Facts and Observations</w:t>
            </w:r>
          </w:p>
        </w:tc>
      </w:tr>
      <w:tr w14:paraId="168477B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A56963" w:rsidP="002F3C90" w14:paraId="30DCCABA" w14:textId="43B82FF2">
            <w:pPr>
              <w:spacing w:after="0" w:line="240" w:lineRule="auto"/>
              <w:contextualSpacing/>
              <w:rPr>
                <w:rFonts w:ascii="Times New Roman" w:hAnsi="Times New Roman" w:cs="Times New Roman"/>
                <w:b/>
                <w:bCs/>
              </w:rPr>
            </w:pPr>
            <w:r>
              <w:rPr>
                <w:rFonts w:ascii="Times New Roman" w:hAnsi="Times New Roman" w:cs="Times New Roman"/>
                <w:b/>
                <w:bCs/>
              </w:rPr>
              <w:t>HAZOP</w:t>
            </w:r>
          </w:p>
        </w:tc>
        <w:tc>
          <w:tcPr>
            <w:tcW w:w="7560" w:type="dxa"/>
          </w:tcPr>
          <w:p w:rsidR="00A56963" w:rsidP="002F3C90" w14:paraId="215A0BD4" w14:textId="342350A8">
            <w:pPr>
              <w:spacing w:after="0" w:line="240" w:lineRule="auto"/>
              <w:contextualSpacing/>
              <w:rPr>
                <w:rFonts w:ascii="Times New Roman" w:hAnsi="Times New Roman" w:cs="Times New Roman"/>
              </w:rPr>
            </w:pPr>
            <w:r>
              <w:rPr>
                <w:rFonts w:ascii="Times New Roman" w:hAnsi="Times New Roman" w:cs="Times New Roman"/>
              </w:rPr>
              <w:t xml:space="preserve">hazard and operability  </w:t>
            </w:r>
          </w:p>
        </w:tc>
      </w:tr>
      <w:tr w14:paraId="55FC116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E44091" w:rsidP="002F3C90" w14:paraId="517E345B" w14:textId="6EA6C897">
            <w:pPr>
              <w:spacing w:after="0" w:line="240" w:lineRule="auto"/>
              <w:contextualSpacing/>
              <w:rPr>
                <w:rFonts w:ascii="Times New Roman" w:hAnsi="Times New Roman" w:cs="Times New Roman"/>
                <w:b/>
                <w:bCs/>
              </w:rPr>
            </w:pPr>
            <w:r>
              <w:rPr>
                <w:rFonts w:ascii="Times New Roman" w:hAnsi="Times New Roman" w:cs="Times New Roman"/>
                <w:b/>
                <w:bCs/>
              </w:rPr>
              <w:t>HIIEs</w:t>
            </w:r>
          </w:p>
        </w:tc>
        <w:tc>
          <w:tcPr>
            <w:tcW w:w="7560" w:type="dxa"/>
          </w:tcPr>
          <w:p w:rsidR="00E44091" w:rsidP="002F3C90" w14:paraId="71AB5C2D" w14:textId="24B2364D">
            <w:pPr>
              <w:spacing w:after="0" w:line="240" w:lineRule="auto"/>
              <w:contextualSpacing/>
              <w:rPr>
                <w:rFonts w:ascii="Times New Roman" w:hAnsi="Times New Roman" w:cs="Times New Roman"/>
              </w:rPr>
            </w:pPr>
            <w:r>
              <w:rPr>
                <w:rFonts w:ascii="Times New Roman" w:hAnsi="Times New Roman" w:cs="Times New Roman"/>
              </w:rPr>
              <w:t>h</w:t>
            </w:r>
            <w:r>
              <w:rPr>
                <w:rFonts w:ascii="Times New Roman" w:hAnsi="Times New Roman" w:cs="Times New Roman"/>
              </w:rPr>
              <w:t>uman-</w:t>
            </w:r>
            <w:r>
              <w:rPr>
                <w:rFonts w:ascii="Times New Roman" w:hAnsi="Times New Roman" w:cs="Times New Roman"/>
              </w:rPr>
              <w:t>induced initiating events</w:t>
            </w:r>
          </w:p>
        </w:tc>
      </w:tr>
      <w:tr w14:paraId="09C714B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57479C" w:rsidP="002F3C90" w14:paraId="78BF103D" w14:textId="440C3435">
            <w:pPr>
              <w:spacing w:after="0" w:line="240" w:lineRule="auto"/>
              <w:contextualSpacing/>
              <w:rPr>
                <w:rFonts w:ascii="Times New Roman" w:hAnsi="Times New Roman" w:cs="Times New Roman"/>
                <w:b/>
                <w:bCs/>
              </w:rPr>
            </w:pPr>
            <w:r>
              <w:rPr>
                <w:rFonts w:ascii="Times New Roman" w:hAnsi="Times New Roman" w:cs="Times New Roman"/>
                <w:b/>
                <w:bCs/>
              </w:rPr>
              <w:t>IAEA</w:t>
            </w:r>
          </w:p>
        </w:tc>
        <w:tc>
          <w:tcPr>
            <w:tcW w:w="7560" w:type="dxa"/>
          </w:tcPr>
          <w:p w:rsidR="0057479C" w:rsidP="002F3C90" w14:paraId="54DEFE1A" w14:textId="47CB11C4">
            <w:pPr>
              <w:spacing w:after="0" w:line="240" w:lineRule="auto"/>
              <w:contextualSpacing/>
              <w:rPr>
                <w:rFonts w:ascii="Times New Roman" w:hAnsi="Times New Roman" w:cs="Times New Roman"/>
              </w:rPr>
            </w:pPr>
            <w:r>
              <w:rPr>
                <w:rFonts w:ascii="Times New Roman" w:hAnsi="Times New Roman" w:cs="Times New Roman"/>
              </w:rPr>
              <w:t>International Atomic Energy Agency</w:t>
            </w:r>
          </w:p>
        </w:tc>
      </w:tr>
      <w:tr w14:paraId="0B5B85B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E1470" w:rsidP="002F3C90" w14:paraId="28FB2F87" w14:textId="04875856">
            <w:pPr>
              <w:spacing w:after="0" w:line="240" w:lineRule="auto"/>
              <w:contextualSpacing/>
              <w:rPr>
                <w:rFonts w:ascii="Times New Roman" w:hAnsi="Times New Roman" w:cs="Times New Roman"/>
                <w:b/>
                <w:bCs/>
              </w:rPr>
            </w:pPr>
            <w:r>
              <w:rPr>
                <w:rFonts w:ascii="Times New Roman" w:hAnsi="Times New Roman" w:cs="Times New Roman"/>
                <w:b/>
                <w:bCs/>
              </w:rPr>
              <w:t>IE</w:t>
            </w:r>
          </w:p>
        </w:tc>
        <w:tc>
          <w:tcPr>
            <w:tcW w:w="7560" w:type="dxa"/>
          </w:tcPr>
          <w:p w:rsidR="00FE1470" w:rsidP="002F3C90" w14:paraId="475B0F01" w14:textId="560173A2">
            <w:pPr>
              <w:spacing w:after="0" w:line="240" w:lineRule="auto"/>
              <w:contextualSpacing/>
              <w:rPr>
                <w:rFonts w:ascii="Times New Roman" w:hAnsi="Times New Roman" w:cs="Times New Roman"/>
              </w:rPr>
            </w:pPr>
            <w:r>
              <w:rPr>
                <w:rFonts w:ascii="Times New Roman" w:hAnsi="Times New Roman" w:cs="Times New Roman"/>
              </w:rPr>
              <w:t>initiating event</w:t>
            </w:r>
          </w:p>
        </w:tc>
      </w:tr>
      <w:tr w14:paraId="47C97B3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0B02AD" w:rsidP="002F3C90" w14:paraId="335D30B2" w14:textId="0533D7E4">
            <w:pPr>
              <w:spacing w:after="0" w:line="240" w:lineRule="auto"/>
              <w:contextualSpacing/>
              <w:rPr>
                <w:rFonts w:ascii="Times New Roman" w:hAnsi="Times New Roman" w:cs="Times New Roman"/>
                <w:b/>
                <w:bCs/>
              </w:rPr>
            </w:pPr>
            <w:r>
              <w:rPr>
                <w:rFonts w:ascii="Times New Roman" w:hAnsi="Times New Roman" w:cs="Times New Roman"/>
                <w:b/>
                <w:bCs/>
              </w:rPr>
              <w:t>ISA</w:t>
            </w:r>
          </w:p>
        </w:tc>
        <w:tc>
          <w:tcPr>
            <w:tcW w:w="7560" w:type="dxa"/>
          </w:tcPr>
          <w:p w:rsidR="000B02AD" w:rsidP="002F3C90" w14:paraId="1921FBE7" w14:textId="10BE0285">
            <w:pPr>
              <w:spacing w:after="0" w:line="240" w:lineRule="auto"/>
              <w:contextualSpacing/>
              <w:rPr>
                <w:rFonts w:ascii="Times New Roman" w:hAnsi="Times New Roman" w:cs="Times New Roman"/>
              </w:rPr>
            </w:pPr>
            <w:r>
              <w:rPr>
                <w:rFonts w:ascii="Times New Roman" w:hAnsi="Times New Roman" w:cs="Times New Roman"/>
              </w:rPr>
              <w:t>integrated safety assessment</w:t>
            </w:r>
          </w:p>
        </w:tc>
      </w:tr>
      <w:tr w14:paraId="05A50AE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C0043" w:rsidP="002F3C90" w14:paraId="76EB41E4" w14:textId="647354AC">
            <w:pPr>
              <w:spacing w:after="0" w:line="240" w:lineRule="auto"/>
              <w:contextualSpacing/>
              <w:rPr>
                <w:rFonts w:ascii="Times New Roman" w:hAnsi="Times New Roman" w:cs="Times New Roman"/>
                <w:b/>
                <w:bCs/>
              </w:rPr>
            </w:pPr>
            <w:r>
              <w:rPr>
                <w:rFonts w:ascii="Times New Roman" w:hAnsi="Times New Roman" w:cs="Times New Roman"/>
                <w:b/>
                <w:bCs/>
              </w:rPr>
              <w:t>ISG</w:t>
            </w:r>
          </w:p>
        </w:tc>
        <w:tc>
          <w:tcPr>
            <w:tcW w:w="7560" w:type="dxa"/>
          </w:tcPr>
          <w:p w:rsidR="00FC0043" w:rsidP="002F3C90" w14:paraId="3A4BB67F" w14:textId="5E6D174F">
            <w:pPr>
              <w:spacing w:after="0" w:line="240" w:lineRule="auto"/>
              <w:contextualSpacing/>
              <w:rPr>
                <w:rFonts w:ascii="Times New Roman" w:hAnsi="Times New Roman" w:cs="Times New Roman"/>
              </w:rPr>
            </w:pPr>
            <w:r>
              <w:rPr>
                <w:rFonts w:ascii="Times New Roman" w:hAnsi="Times New Roman" w:cs="Times New Roman"/>
              </w:rPr>
              <w:t>interim staff guidance</w:t>
            </w:r>
          </w:p>
        </w:tc>
      </w:tr>
      <w:tr w14:paraId="353C1C1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71381A" w:rsidP="002F3C90" w14:paraId="0957FF25" w14:textId="6BD5275A">
            <w:pPr>
              <w:spacing w:after="0" w:line="240" w:lineRule="auto"/>
              <w:contextualSpacing/>
              <w:rPr>
                <w:rFonts w:ascii="Times New Roman" w:hAnsi="Times New Roman" w:cs="Times New Roman"/>
                <w:b/>
                <w:bCs/>
              </w:rPr>
            </w:pPr>
            <w:r>
              <w:rPr>
                <w:rFonts w:ascii="Times New Roman" w:hAnsi="Times New Roman" w:cs="Times New Roman"/>
                <w:b/>
                <w:bCs/>
              </w:rPr>
              <w:t>LMP</w:t>
            </w:r>
          </w:p>
        </w:tc>
        <w:tc>
          <w:tcPr>
            <w:tcW w:w="7560" w:type="dxa"/>
          </w:tcPr>
          <w:p w:rsidR="0071381A" w:rsidP="002F3C90" w14:paraId="0FE3E7B1" w14:textId="5F018A4F">
            <w:pPr>
              <w:spacing w:after="0" w:line="240" w:lineRule="auto"/>
              <w:contextualSpacing/>
              <w:rPr>
                <w:rFonts w:ascii="Times New Roman" w:hAnsi="Times New Roman" w:cs="Times New Roman"/>
              </w:rPr>
            </w:pPr>
            <w:r>
              <w:rPr>
                <w:rFonts w:ascii="Times New Roman" w:hAnsi="Times New Roman" w:cs="Times New Roman"/>
              </w:rPr>
              <w:t>L</w:t>
            </w:r>
            <w:r w:rsidRPr="009C73D5" w:rsidR="00A310DF">
              <w:rPr>
                <w:rFonts w:ascii="Times New Roman" w:hAnsi="Times New Roman" w:cs="Times New Roman"/>
              </w:rPr>
              <w:t xml:space="preserve">icensing </w:t>
            </w:r>
            <w:r>
              <w:rPr>
                <w:rFonts w:ascii="Times New Roman" w:hAnsi="Times New Roman" w:cs="Times New Roman"/>
              </w:rPr>
              <w:t>M</w:t>
            </w:r>
            <w:r w:rsidRPr="009C73D5" w:rsidR="00A310DF">
              <w:rPr>
                <w:rFonts w:ascii="Times New Roman" w:hAnsi="Times New Roman" w:cs="Times New Roman"/>
              </w:rPr>
              <w:t xml:space="preserve">odernization </w:t>
            </w:r>
            <w:r>
              <w:rPr>
                <w:rFonts w:ascii="Times New Roman" w:hAnsi="Times New Roman" w:cs="Times New Roman"/>
              </w:rPr>
              <w:t>P</w:t>
            </w:r>
            <w:r w:rsidRPr="009C73D5" w:rsidR="00A310DF">
              <w:rPr>
                <w:rFonts w:ascii="Times New Roman" w:hAnsi="Times New Roman" w:cs="Times New Roman"/>
              </w:rPr>
              <w:t>roject</w:t>
            </w:r>
          </w:p>
        </w:tc>
      </w:tr>
      <w:tr w14:paraId="57F4E41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5B5C8D" w:rsidP="002F3C90" w14:paraId="0C7CA0EE" w14:textId="1EA5695E">
            <w:pPr>
              <w:spacing w:after="0" w:line="240" w:lineRule="auto"/>
              <w:contextualSpacing/>
              <w:rPr>
                <w:rFonts w:ascii="Times New Roman" w:hAnsi="Times New Roman" w:cs="Times New Roman"/>
                <w:b/>
                <w:bCs/>
              </w:rPr>
            </w:pPr>
            <w:r>
              <w:rPr>
                <w:rFonts w:ascii="Times New Roman" w:hAnsi="Times New Roman" w:cs="Times New Roman"/>
                <w:b/>
                <w:bCs/>
              </w:rPr>
              <w:t>LWR</w:t>
            </w:r>
          </w:p>
        </w:tc>
        <w:tc>
          <w:tcPr>
            <w:tcW w:w="7560" w:type="dxa"/>
          </w:tcPr>
          <w:p w:rsidR="005B5C8D" w:rsidRPr="009C73D5" w:rsidP="002F3C90" w14:paraId="24367360" w14:textId="5722B0A4">
            <w:pPr>
              <w:spacing w:after="0" w:line="240" w:lineRule="auto"/>
              <w:contextualSpacing/>
              <w:rPr>
                <w:rFonts w:ascii="Times New Roman" w:hAnsi="Times New Roman" w:cs="Times New Roman"/>
              </w:rPr>
            </w:pPr>
            <w:r>
              <w:rPr>
                <w:rFonts w:ascii="Times New Roman" w:hAnsi="Times New Roman" w:cs="Times New Roman"/>
              </w:rPr>
              <w:t>light-water reactor</w:t>
            </w:r>
          </w:p>
        </w:tc>
      </w:tr>
      <w:tr w14:paraId="17E8DDD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5B5C8D" w:rsidP="002F3C90" w14:paraId="779AC03B" w14:textId="77777777">
            <w:pPr>
              <w:spacing w:line="240" w:lineRule="auto"/>
              <w:contextualSpacing/>
              <w:rPr>
                <w:rFonts w:ascii="Times New Roman" w:hAnsi="Times New Roman" w:cs="Times New Roman"/>
                <w:b/>
                <w:bCs/>
              </w:rPr>
            </w:pPr>
            <w:r>
              <w:rPr>
                <w:rFonts w:ascii="Times New Roman" w:hAnsi="Times New Roman" w:cs="Times New Roman"/>
                <w:b/>
                <w:bCs/>
              </w:rPr>
              <w:t>MA</w:t>
            </w:r>
          </w:p>
        </w:tc>
        <w:tc>
          <w:tcPr>
            <w:tcW w:w="7560" w:type="dxa"/>
          </w:tcPr>
          <w:p w:rsidR="005B5C8D" w:rsidP="002F3C90" w14:paraId="06CD9564" w14:textId="77777777">
            <w:pPr>
              <w:spacing w:line="240" w:lineRule="auto"/>
              <w:contextualSpacing/>
              <w:rPr>
                <w:rFonts w:ascii="Times New Roman" w:hAnsi="Times New Roman" w:cs="Times New Roman"/>
              </w:rPr>
            </w:pPr>
            <w:r>
              <w:rPr>
                <w:rFonts w:ascii="Times New Roman" w:hAnsi="Times New Roman" w:cs="Times New Roman"/>
              </w:rPr>
              <w:t>Markov Analysis</w:t>
            </w:r>
          </w:p>
        </w:tc>
      </w:tr>
      <w:tr w14:paraId="61321F6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287790" w:rsidP="002F3C90" w14:paraId="3113449E" w14:textId="2E888A57">
            <w:pPr>
              <w:spacing w:after="0" w:line="240" w:lineRule="auto"/>
              <w:contextualSpacing/>
              <w:rPr>
                <w:rFonts w:ascii="Times New Roman" w:hAnsi="Times New Roman" w:cs="Times New Roman"/>
                <w:b/>
                <w:bCs/>
              </w:rPr>
            </w:pPr>
            <w:r>
              <w:rPr>
                <w:rFonts w:ascii="Times New Roman" w:hAnsi="Times New Roman" w:cs="Times New Roman"/>
                <w:b/>
                <w:bCs/>
              </w:rPr>
              <w:t>ML</w:t>
            </w:r>
          </w:p>
        </w:tc>
        <w:tc>
          <w:tcPr>
            <w:tcW w:w="7560" w:type="dxa"/>
          </w:tcPr>
          <w:p w:rsidR="00287790" w:rsidP="002F3C90" w14:paraId="4B3C3E62" w14:textId="49AF1423">
            <w:pPr>
              <w:spacing w:after="0" w:line="240" w:lineRule="auto"/>
              <w:contextualSpacing/>
              <w:rPr>
                <w:rFonts w:ascii="Times New Roman" w:hAnsi="Times New Roman" w:cs="Times New Roman"/>
              </w:rPr>
            </w:pPr>
            <w:r>
              <w:rPr>
                <w:rFonts w:ascii="Times New Roman" w:hAnsi="Times New Roman" w:cs="Times New Roman"/>
              </w:rPr>
              <w:t>manufacturing license</w:t>
            </w:r>
          </w:p>
        </w:tc>
      </w:tr>
      <w:tr w14:paraId="682FC4A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B61FA7" w:rsidP="002F3C90" w14:paraId="361C4642" w14:textId="5BCB9B96">
            <w:pPr>
              <w:spacing w:after="0" w:line="240" w:lineRule="auto"/>
              <w:contextualSpacing/>
              <w:rPr>
                <w:rFonts w:ascii="Times New Roman" w:hAnsi="Times New Roman" w:cs="Times New Roman"/>
                <w:b/>
                <w:bCs/>
              </w:rPr>
            </w:pPr>
            <w:r>
              <w:rPr>
                <w:rFonts w:ascii="Times New Roman" w:hAnsi="Times New Roman" w:cs="Times New Roman"/>
                <w:b/>
                <w:bCs/>
              </w:rPr>
              <w:t>MLD</w:t>
            </w:r>
          </w:p>
        </w:tc>
        <w:tc>
          <w:tcPr>
            <w:tcW w:w="7560" w:type="dxa"/>
          </w:tcPr>
          <w:p w:rsidR="00B61FA7" w:rsidP="002F3C90" w14:paraId="75C02A9D" w14:textId="5E8F383E">
            <w:pPr>
              <w:spacing w:after="0" w:line="240" w:lineRule="auto"/>
              <w:contextualSpacing/>
              <w:rPr>
                <w:rFonts w:ascii="Times New Roman" w:hAnsi="Times New Roman" w:cs="Times New Roman"/>
              </w:rPr>
            </w:pPr>
            <w:r>
              <w:rPr>
                <w:rFonts w:ascii="Times New Roman" w:hAnsi="Times New Roman" w:cs="Times New Roman"/>
              </w:rPr>
              <w:t>master logic diagram</w:t>
            </w:r>
          </w:p>
        </w:tc>
      </w:tr>
      <w:tr w14:paraId="2769F36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3D099A" w:rsidP="002F3C90" w14:paraId="763386F4" w14:textId="217C13FC">
            <w:pPr>
              <w:spacing w:after="0" w:line="240" w:lineRule="auto"/>
              <w:contextualSpacing/>
              <w:rPr>
                <w:rFonts w:ascii="Times New Roman" w:hAnsi="Times New Roman" w:cs="Times New Roman"/>
                <w:b/>
                <w:bCs/>
              </w:rPr>
            </w:pPr>
            <w:r>
              <w:rPr>
                <w:rFonts w:ascii="Times New Roman" w:hAnsi="Times New Roman" w:cs="Times New Roman"/>
                <w:b/>
                <w:bCs/>
              </w:rPr>
              <w:t>NEI</w:t>
            </w:r>
          </w:p>
        </w:tc>
        <w:tc>
          <w:tcPr>
            <w:tcW w:w="7560" w:type="dxa"/>
          </w:tcPr>
          <w:p w:rsidR="003D099A" w:rsidP="002F3C90" w14:paraId="31CD2DFC" w14:textId="03631357">
            <w:pPr>
              <w:spacing w:after="0" w:line="240" w:lineRule="auto"/>
              <w:contextualSpacing/>
              <w:rPr>
                <w:rFonts w:ascii="Times New Roman" w:hAnsi="Times New Roman" w:cs="Times New Roman"/>
              </w:rPr>
            </w:pPr>
            <w:r>
              <w:rPr>
                <w:rFonts w:ascii="Times New Roman" w:hAnsi="Times New Roman" w:cs="Times New Roman"/>
              </w:rPr>
              <w:t>Nuclear Energy Institute</w:t>
            </w:r>
          </w:p>
        </w:tc>
      </w:tr>
      <w:tr w14:paraId="0C74FA6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CC7538" w:rsidP="002F3C90" w14:paraId="4D0701C0" w14:textId="15D1A4A4">
            <w:pPr>
              <w:spacing w:after="0" w:line="240" w:lineRule="auto"/>
              <w:contextualSpacing/>
              <w:rPr>
                <w:rFonts w:ascii="Times New Roman" w:hAnsi="Times New Roman" w:cs="Times New Roman"/>
                <w:b/>
                <w:bCs/>
              </w:rPr>
            </w:pPr>
            <w:r>
              <w:rPr>
                <w:rFonts w:ascii="Times New Roman" w:hAnsi="Times New Roman" w:cs="Times New Roman"/>
                <w:b/>
                <w:bCs/>
              </w:rPr>
              <w:t>NRC</w:t>
            </w:r>
          </w:p>
        </w:tc>
        <w:tc>
          <w:tcPr>
            <w:tcW w:w="7560" w:type="dxa"/>
          </w:tcPr>
          <w:p w:rsidR="00CC7538" w:rsidP="002F3C90" w14:paraId="20DAFEFD" w14:textId="6998B926">
            <w:pPr>
              <w:spacing w:after="0" w:line="240" w:lineRule="auto"/>
              <w:contextualSpacing/>
              <w:rPr>
                <w:rFonts w:ascii="Times New Roman" w:hAnsi="Times New Roman" w:cs="Times New Roman"/>
              </w:rPr>
            </w:pPr>
            <w:r>
              <w:rPr>
                <w:rFonts w:ascii="Times New Roman" w:hAnsi="Times New Roman" w:cs="Times New Roman"/>
              </w:rPr>
              <w:t>U.S. Nuclear Regulatory Commission</w:t>
            </w:r>
          </w:p>
        </w:tc>
      </w:tr>
      <w:tr w14:paraId="60495EA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E46C17" w:rsidP="002F3C90" w14:paraId="1BFD7498" w14:textId="469A8932">
            <w:pPr>
              <w:spacing w:after="0" w:line="240" w:lineRule="auto"/>
              <w:contextualSpacing/>
              <w:rPr>
                <w:rFonts w:ascii="Times New Roman" w:hAnsi="Times New Roman" w:cs="Times New Roman"/>
                <w:b/>
                <w:bCs/>
              </w:rPr>
            </w:pPr>
            <w:r>
              <w:rPr>
                <w:rFonts w:ascii="Times New Roman" w:hAnsi="Times New Roman" w:cs="Times New Roman"/>
                <w:b/>
                <w:bCs/>
              </w:rPr>
              <w:t>OL</w:t>
            </w:r>
          </w:p>
        </w:tc>
        <w:tc>
          <w:tcPr>
            <w:tcW w:w="7560" w:type="dxa"/>
          </w:tcPr>
          <w:p w:rsidR="00E46C17" w:rsidP="002F3C90" w14:paraId="656EA1FD" w14:textId="1BD64DB6">
            <w:pPr>
              <w:spacing w:after="0" w:line="240" w:lineRule="auto"/>
              <w:contextualSpacing/>
              <w:rPr>
                <w:rFonts w:ascii="Times New Roman" w:hAnsi="Times New Roman" w:cs="Times New Roman"/>
              </w:rPr>
            </w:pPr>
            <w:r>
              <w:rPr>
                <w:rFonts w:ascii="Times New Roman" w:hAnsi="Times New Roman" w:cs="Times New Roman"/>
              </w:rPr>
              <w:t>operating license</w:t>
            </w:r>
          </w:p>
        </w:tc>
      </w:tr>
      <w:tr w14:paraId="678B53B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6D5DA1" w:rsidP="002F3C90" w14:paraId="122068ED" w14:textId="77777777">
            <w:pPr>
              <w:spacing w:line="240" w:lineRule="auto"/>
              <w:contextualSpacing/>
              <w:rPr>
                <w:rFonts w:ascii="Times New Roman" w:hAnsi="Times New Roman" w:cs="Times New Roman"/>
                <w:b/>
                <w:bCs/>
              </w:rPr>
            </w:pPr>
            <w:r>
              <w:rPr>
                <w:rFonts w:ascii="Times New Roman" w:hAnsi="Times New Roman" w:cs="Times New Roman"/>
                <w:b/>
                <w:bCs/>
              </w:rPr>
              <w:t>O</w:t>
            </w:r>
            <w:r w:rsidR="00853BA3">
              <w:rPr>
                <w:rFonts w:ascii="Times New Roman" w:hAnsi="Times New Roman" w:cs="Times New Roman"/>
                <w:b/>
                <w:bCs/>
              </w:rPr>
              <w:t>&amp;SHA</w:t>
            </w:r>
          </w:p>
        </w:tc>
        <w:tc>
          <w:tcPr>
            <w:tcW w:w="7560" w:type="dxa"/>
          </w:tcPr>
          <w:p w:rsidR="006D5DA1" w:rsidP="002F3C90" w14:paraId="006616F5" w14:textId="77777777">
            <w:pPr>
              <w:spacing w:line="240" w:lineRule="auto"/>
              <w:contextualSpacing/>
              <w:rPr>
                <w:rFonts w:ascii="Times New Roman" w:hAnsi="Times New Roman" w:cs="Times New Roman"/>
              </w:rPr>
            </w:pPr>
            <w:r>
              <w:rPr>
                <w:rFonts w:ascii="Times New Roman" w:hAnsi="Times New Roman" w:cs="Times New Roman"/>
              </w:rPr>
              <w:t>Operating and Support Hazard Analysis</w:t>
            </w:r>
          </w:p>
        </w:tc>
      </w:tr>
      <w:tr w14:paraId="0E8013A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2C51E4" w:rsidP="002F3C90" w14:paraId="31776406" w14:textId="6FF864D3">
            <w:pPr>
              <w:spacing w:after="0" w:line="240" w:lineRule="auto"/>
              <w:contextualSpacing/>
              <w:rPr>
                <w:rFonts w:ascii="Times New Roman" w:hAnsi="Times New Roman" w:cs="Times New Roman"/>
                <w:b/>
                <w:bCs/>
              </w:rPr>
            </w:pPr>
            <w:r>
              <w:rPr>
                <w:rFonts w:ascii="Times New Roman" w:hAnsi="Times New Roman" w:cs="Times New Roman"/>
                <w:b/>
                <w:bCs/>
              </w:rPr>
              <w:t>PHA</w:t>
            </w:r>
          </w:p>
        </w:tc>
        <w:tc>
          <w:tcPr>
            <w:tcW w:w="7560" w:type="dxa"/>
          </w:tcPr>
          <w:p w:rsidR="002C51E4" w:rsidP="002F3C90" w14:paraId="4C45028F" w14:textId="023F9933">
            <w:pPr>
              <w:spacing w:after="0" w:line="240" w:lineRule="auto"/>
              <w:contextualSpacing/>
              <w:rPr>
                <w:rFonts w:ascii="Times New Roman" w:hAnsi="Times New Roman" w:cs="Times New Roman"/>
              </w:rPr>
            </w:pPr>
            <w:r>
              <w:rPr>
                <w:rFonts w:ascii="Times New Roman" w:hAnsi="Times New Roman" w:cs="Times New Roman"/>
              </w:rPr>
              <w:t>preliminary hazard</w:t>
            </w:r>
            <w:r w:rsidR="00A32C16">
              <w:rPr>
                <w:rFonts w:ascii="Times New Roman" w:hAnsi="Times New Roman" w:cs="Times New Roman"/>
              </w:rPr>
              <w:t>s</w:t>
            </w:r>
            <w:r>
              <w:rPr>
                <w:rFonts w:ascii="Times New Roman" w:hAnsi="Times New Roman" w:cs="Times New Roman"/>
              </w:rPr>
              <w:t xml:space="preserve"> analysis </w:t>
            </w:r>
          </w:p>
        </w:tc>
      </w:tr>
      <w:tr w14:paraId="4709B94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76EDF" w:rsidP="002F3C90" w14:paraId="2E7CA8CC" w14:textId="2A6F8520">
            <w:pPr>
              <w:spacing w:after="0" w:line="240" w:lineRule="auto"/>
              <w:contextualSpacing/>
              <w:rPr>
                <w:rFonts w:ascii="Times New Roman" w:hAnsi="Times New Roman" w:cs="Times New Roman"/>
                <w:b/>
                <w:bCs/>
              </w:rPr>
            </w:pPr>
            <w:r>
              <w:rPr>
                <w:rFonts w:ascii="Times New Roman" w:hAnsi="Times New Roman" w:cs="Times New Roman"/>
                <w:b/>
                <w:bCs/>
              </w:rPr>
              <w:t>PRA</w:t>
            </w:r>
          </w:p>
        </w:tc>
        <w:tc>
          <w:tcPr>
            <w:tcW w:w="7560" w:type="dxa"/>
          </w:tcPr>
          <w:p w:rsidR="00F76EDF" w:rsidP="002F3C90" w14:paraId="7F64547A" w14:textId="5CE4DDA4">
            <w:pPr>
              <w:spacing w:after="0" w:line="240" w:lineRule="auto"/>
              <w:contextualSpacing/>
              <w:rPr>
                <w:rFonts w:ascii="Times New Roman" w:hAnsi="Times New Roman" w:cs="Times New Roman"/>
              </w:rPr>
            </w:pPr>
            <w:r>
              <w:rPr>
                <w:rFonts w:ascii="Times New Roman" w:hAnsi="Times New Roman" w:cs="Times New Roman"/>
              </w:rPr>
              <w:t>probabilistic risk assessment</w:t>
            </w:r>
          </w:p>
        </w:tc>
      </w:tr>
      <w:tr w14:paraId="472F283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E1FD9" w:rsidP="002F3C90" w14:paraId="4026E559" w14:textId="5EC85C95">
            <w:pPr>
              <w:spacing w:after="0" w:line="240" w:lineRule="auto"/>
              <w:contextualSpacing/>
              <w:rPr>
                <w:rFonts w:ascii="Times New Roman" w:hAnsi="Times New Roman" w:cs="Times New Roman"/>
                <w:b/>
                <w:bCs/>
              </w:rPr>
            </w:pPr>
            <w:r>
              <w:rPr>
                <w:rFonts w:ascii="Times New Roman" w:hAnsi="Times New Roman" w:cs="Times New Roman"/>
                <w:b/>
                <w:bCs/>
              </w:rPr>
              <w:t>QA</w:t>
            </w:r>
          </w:p>
        </w:tc>
        <w:tc>
          <w:tcPr>
            <w:tcW w:w="7560" w:type="dxa"/>
          </w:tcPr>
          <w:p w:rsidR="00FE1FD9" w:rsidP="002F3C90" w14:paraId="2F396046" w14:textId="5317CB8C">
            <w:pPr>
              <w:spacing w:after="0" w:line="240" w:lineRule="auto"/>
              <w:contextualSpacing/>
              <w:rPr>
                <w:rFonts w:ascii="Times New Roman" w:hAnsi="Times New Roman" w:cs="Times New Roman"/>
              </w:rPr>
            </w:pPr>
            <w:r>
              <w:rPr>
                <w:rFonts w:ascii="Times New Roman" w:hAnsi="Times New Roman" w:cs="Times New Roman"/>
              </w:rPr>
              <w:t>quality assurance</w:t>
            </w:r>
          </w:p>
        </w:tc>
      </w:tr>
      <w:tr w14:paraId="2C5718E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76EDF" w:rsidP="002F3C90" w14:paraId="02BEEEBA" w14:textId="751CBC15">
            <w:pPr>
              <w:spacing w:after="0" w:line="240" w:lineRule="auto"/>
              <w:contextualSpacing/>
              <w:rPr>
                <w:rFonts w:ascii="Times New Roman" w:hAnsi="Times New Roman" w:cs="Times New Roman"/>
                <w:b/>
                <w:bCs/>
              </w:rPr>
            </w:pPr>
            <w:r>
              <w:rPr>
                <w:rFonts w:ascii="Times New Roman" w:hAnsi="Times New Roman" w:cs="Times New Roman"/>
                <w:b/>
                <w:bCs/>
              </w:rPr>
              <w:t>RG</w:t>
            </w:r>
          </w:p>
        </w:tc>
        <w:tc>
          <w:tcPr>
            <w:tcW w:w="7560" w:type="dxa"/>
          </w:tcPr>
          <w:p w:rsidR="00F76EDF" w:rsidP="002F3C90" w14:paraId="71D8FC61" w14:textId="3AD9B94E">
            <w:pPr>
              <w:spacing w:after="0" w:line="240" w:lineRule="auto"/>
              <w:contextualSpacing/>
              <w:rPr>
                <w:rFonts w:ascii="Times New Roman" w:hAnsi="Times New Roman" w:cs="Times New Roman"/>
              </w:rPr>
            </w:pPr>
            <w:r>
              <w:rPr>
                <w:rFonts w:ascii="Times New Roman" w:hAnsi="Times New Roman" w:cs="Times New Roman"/>
              </w:rPr>
              <w:t>regulatory guide</w:t>
            </w:r>
          </w:p>
        </w:tc>
      </w:tr>
      <w:tr w14:paraId="16B2F55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2F1DF3" w:rsidP="002F3C90" w14:paraId="241F6B6A" w14:textId="2842FE84">
            <w:pPr>
              <w:spacing w:after="0" w:line="240" w:lineRule="auto"/>
              <w:contextualSpacing/>
              <w:rPr>
                <w:rFonts w:ascii="Times New Roman" w:hAnsi="Times New Roman" w:cs="Times New Roman"/>
                <w:b/>
                <w:bCs/>
              </w:rPr>
            </w:pPr>
            <w:r>
              <w:rPr>
                <w:rFonts w:ascii="Times New Roman" w:hAnsi="Times New Roman" w:cs="Times New Roman"/>
                <w:b/>
                <w:bCs/>
              </w:rPr>
              <w:t>RTNSS</w:t>
            </w:r>
          </w:p>
        </w:tc>
        <w:tc>
          <w:tcPr>
            <w:tcW w:w="7560" w:type="dxa"/>
          </w:tcPr>
          <w:p w:rsidR="002F1DF3" w:rsidP="002F3C90" w14:paraId="6468773B" w14:textId="1DEE6948">
            <w:pPr>
              <w:spacing w:after="0" w:line="240" w:lineRule="auto"/>
              <w:contextualSpacing/>
              <w:rPr>
                <w:rFonts w:ascii="Times New Roman" w:hAnsi="Times New Roman" w:cs="Times New Roman"/>
              </w:rPr>
            </w:pPr>
            <w:r>
              <w:rPr>
                <w:rFonts w:ascii="Times New Roman" w:hAnsi="Times New Roman" w:cs="Times New Roman"/>
              </w:rPr>
              <w:t xml:space="preserve">regulatory treatment of </w:t>
            </w:r>
            <w:r>
              <w:rPr>
                <w:rFonts w:ascii="Times New Roman" w:hAnsi="Times New Roman" w:cs="Times New Roman"/>
              </w:rPr>
              <w:t>nonsafety</w:t>
            </w:r>
            <w:r>
              <w:rPr>
                <w:rFonts w:ascii="Times New Roman" w:hAnsi="Times New Roman" w:cs="Times New Roman"/>
              </w:rPr>
              <w:t xml:space="preserve"> systems</w:t>
            </w:r>
          </w:p>
        </w:tc>
      </w:tr>
      <w:tr w14:paraId="7C286ACF"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C9574E" w:rsidP="002F3C90" w14:paraId="57563B6A" w14:textId="6707EA06">
            <w:pPr>
              <w:spacing w:after="0" w:line="240" w:lineRule="auto"/>
              <w:contextualSpacing/>
              <w:rPr>
                <w:rFonts w:ascii="Times New Roman" w:hAnsi="Times New Roman" w:cs="Times New Roman"/>
                <w:b/>
                <w:bCs/>
              </w:rPr>
            </w:pPr>
            <w:r>
              <w:rPr>
                <w:rFonts w:ascii="Times New Roman" w:hAnsi="Times New Roman" w:cs="Times New Roman"/>
                <w:b/>
                <w:bCs/>
              </w:rPr>
              <w:t>SDA</w:t>
            </w:r>
          </w:p>
        </w:tc>
        <w:tc>
          <w:tcPr>
            <w:tcW w:w="7560" w:type="dxa"/>
          </w:tcPr>
          <w:p w:rsidR="00C9574E" w:rsidP="002F3C90" w14:paraId="22323BAF" w14:textId="5D79594C">
            <w:pPr>
              <w:spacing w:after="0" w:line="240" w:lineRule="auto"/>
              <w:contextualSpacing/>
              <w:rPr>
                <w:rFonts w:ascii="Times New Roman" w:hAnsi="Times New Roman" w:cs="Times New Roman"/>
              </w:rPr>
            </w:pPr>
            <w:r>
              <w:rPr>
                <w:rFonts w:ascii="Times New Roman" w:hAnsi="Times New Roman" w:cs="Times New Roman"/>
              </w:rPr>
              <w:t>standard design approval</w:t>
            </w:r>
          </w:p>
        </w:tc>
      </w:tr>
      <w:tr w14:paraId="297B7C8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3F1CA5" w:rsidP="002F3C90" w14:paraId="3EAFD248" w14:textId="77777777">
            <w:pPr>
              <w:spacing w:line="240" w:lineRule="auto"/>
              <w:contextualSpacing/>
              <w:rPr>
                <w:rFonts w:ascii="Times New Roman" w:hAnsi="Times New Roman" w:cs="Times New Roman"/>
                <w:b/>
                <w:bCs/>
              </w:rPr>
            </w:pPr>
            <w:r>
              <w:rPr>
                <w:rFonts w:ascii="Times New Roman" w:hAnsi="Times New Roman" w:cs="Times New Roman"/>
                <w:b/>
                <w:bCs/>
              </w:rPr>
              <w:t>SHA</w:t>
            </w:r>
          </w:p>
        </w:tc>
        <w:tc>
          <w:tcPr>
            <w:tcW w:w="7560" w:type="dxa"/>
          </w:tcPr>
          <w:p w:rsidR="003F1CA5" w:rsidP="002F3C90" w14:paraId="7A22F0C4" w14:textId="77777777">
            <w:pPr>
              <w:spacing w:line="240" w:lineRule="auto"/>
              <w:contextualSpacing/>
              <w:rPr>
                <w:rFonts w:ascii="Times New Roman" w:hAnsi="Times New Roman" w:cs="Times New Roman"/>
              </w:rPr>
            </w:pPr>
            <w:r>
              <w:rPr>
                <w:rFonts w:ascii="Times New Roman" w:hAnsi="Times New Roman" w:cs="Times New Roman"/>
              </w:rPr>
              <w:t>System</w:t>
            </w:r>
            <w:r w:rsidR="00BE268B">
              <w:rPr>
                <w:rFonts w:ascii="Times New Roman" w:hAnsi="Times New Roman" w:cs="Times New Roman"/>
              </w:rPr>
              <w:t xml:space="preserve"> Hazard Analysis </w:t>
            </w:r>
          </w:p>
        </w:tc>
      </w:tr>
      <w:tr w14:paraId="2C9BCEF3"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46748D" w:rsidP="002F3C90" w14:paraId="09DBAD26" w14:textId="40FCADA2">
            <w:pPr>
              <w:spacing w:line="240" w:lineRule="auto"/>
              <w:contextualSpacing/>
              <w:rPr>
                <w:rFonts w:ascii="Times New Roman" w:hAnsi="Times New Roman" w:cs="Times New Roman"/>
                <w:b/>
                <w:bCs/>
              </w:rPr>
            </w:pPr>
            <w:r>
              <w:rPr>
                <w:rFonts w:ascii="Times New Roman" w:hAnsi="Times New Roman" w:cs="Times New Roman"/>
                <w:b/>
                <w:bCs/>
              </w:rPr>
              <w:t>SLFMEA</w:t>
            </w:r>
          </w:p>
        </w:tc>
        <w:tc>
          <w:tcPr>
            <w:tcW w:w="7560" w:type="dxa"/>
          </w:tcPr>
          <w:p w:rsidR="0046748D" w:rsidP="002F3C90" w14:paraId="4B8E4938" w14:textId="51A4BA3F">
            <w:pPr>
              <w:spacing w:line="240" w:lineRule="auto"/>
              <w:contextualSpacing/>
              <w:rPr>
                <w:rFonts w:ascii="Times New Roman" w:hAnsi="Times New Roman" w:cs="Times New Roman"/>
              </w:rPr>
            </w:pPr>
            <w:r w:rsidRPr="00ED2EE5">
              <w:rPr>
                <w:rFonts w:ascii="Times New Roman" w:hAnsi="Times New Roman" w:cs="Times New Roman"/>
              </w:rPr>
              <w:t>System-Level Failure Modes and Effects Analysis</w:t>
            </w:r>
          </w:p>
        </w:tc>
      </w:tr>
      <w:tr w14:paraId="47A2B70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35468" w:rsidP="002F3C90" w14:paraId="0B6BF7DF" w14:textId="31B7B787">
            <w:pPr>
              <w:spacing w:after="0" w:line="240" w:lineRule="auto"/>
              <w:contextualSpacing/>
              <w:rPr>
                <w:rFonts w:ascii="Times New Roman" w:hAnsi="Times New Roman" w:cs="Times New Roman"/>
                <w:b/>
                <w:bCs/>
              </w:rPr>
            </w:pPr>
            <w:r>
              <w:rPr>
                <w:rFonts w:ascii="Times New Roman" w:hAnsi="Times New Roman" w:cs="Times New Roman"/>
                <w:b/>
                <w:bCs/>
              </w:rPr>
              <w:t>SRP</w:t>
            </w:r>
          </w:p>
        </w:tc>
        <w:tc>
          <w:tcPr>
            <w:tcW w:w="7560" w:type="dxa"/>
          </w:tcPr>
          <w:p w:rsidR="00F35468" w:rsidP="002F3C90" w14:paraId="4810CD59" w14:textId="653BCEBE">
            <w:pPr>
              <w:spacing w:after="0" w:line="240" w:lineRule="auto"/>
              <w:contextualSpacing/>
              <w:rPr>
                <w:rFonts w:ascii="Times New Roman" w:hAnsi="Times New Roman" w:cs="Times New Roman"/>
              </w:rPr>
            </w:pPr>
            <w:r>
              <w:rPr>
                <w:rFonts w:ascii="Times New Roman" w:hAnsi="Times New Roman" w:cs="Times New Roman"/>
              </w:rPr>
              <w:t>S</w:t>
            </w:r>
            <w:r w:rsidR="00A310DF">
              <w:rPr>
                <w:rFonts w:ascii="Times New Roman" w:hAnsi="Times New Roman" w:cs="Times New Roman"/>
              </w:rPr>
              <w:t xml:space="preserve">tandard </w:t>
            </w:r>
            <w:r>
              <w:rPr>
                <w:rFonts w:ascii="Times New Roman" w:hAnsi="Times New Roman" w:cs="Times New Roman"/>
              </w:rPr>
              <w:t>R</w:t>
            </w:r>
            <w:r w:rsidR="00A310DF">
              <w:rPr>
                <w:rFonts w:ascii="Times New Roman" w:hAnsi="Times New Roman" w:cs="Times New Roman"/>
              </w:rPr>
              <w:t xml:space="preserve">eview </w:t>
            </w:r>
            <w:r>
              <w:rPr>
                <w:rFonts w:ascii="Times New Roman" w:hAnsi="Times New Roman" w:cs="Times New Roman"/>
              </w:rPr>
              <w:t>P</w:t>
            </w:r>
            <w:r w:rsidR="00A310DF">
              <w:rPr>
                <w:rFonts w:ascii="Times New Roman" w:hAnsi="Times New Roman" w:cs="Times New Roman"/>
              </w:rPr>
              <w:t>lan</w:t>
            </w:r>
          </w:p>
        </w:tc>
      </w:tr>
      <w:tr w14:paraId="0552CFE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tcPr>
          <w:p w:rsidR="00F35468" w:rsidP="002F3C90" w14:paraId="7A98B3A1" w14:textId="540C821E">
            <w:pPr>
              <w:spacing w:after="0" w:line="240" w:lineRule="auto"/>
              <w:contextualSpacing/>
              <w:rPr>
                <w:rFonts w:ascii="Times New Roman" w:hAnsi="Times New Roman" w:cs="Times New Roman"/>
                <w:b/>
                <w:bCs/>
              </w:rPr>
            </w:pPr>
            <w:r>
              <w:rPr>
                <w:rFonts w:ascii="Times New Roman" w:hAnsi="Times New Roman" w:cs="Times New Roman"/>
                <w:b/>
                <w:bCs/>
              </w:rPr>
              <w:t>SSC</w:t>
            </w:r>
          </w:p>
        </w:tc>
        <w:tc>
          <w:tcPr>
            <w:tcW w:w="7560" w:type="dxa"/>
          </w:tcPr>
          <w:p w:rsidR="00F35468" w:rsidP="002F3C90" w14:paraId="4F3026F1" w14:textId="065D5F10">
            <w:pPr>
              <w:spacing w:after="0" w:line="240" w:lineRule="auto"/>
              <w:contextualSpacing/>
              <w:rPr>
                <w:rFonts w:ascii="Times New Roman" w:hAnsi="Times New Roman" w:cs="Times New Roman"/>
              </w:rPr>
            </w:pPr>
            <w:r>
              <w:rPr>
                <w:rFonts w:ascii="Times New Roman" w:hAnsi="Times New Roman" w:cs="Times New Roman"/>
              </w:rPr>
              <w:t>structure, system, and component</w:t>
            </w:r>
          </w:p>
        </w:tc>
      </w:tr>
    </w:tbl>
    <w:p w:rsidR="00F11EA8" w:rsidP="002F3C90" w14:paraId="6508E7E5" w14:textId="77777777">
      <w:pPr>
        <w:spacing w:after="0" w:line="240" w:lineRule="auto"/>
        <w:rPr>
          <w:rFonts w:ascii="Times New Roman" w:hAnsi="Times New Roman" w:eastAsiaTheme="majorEastAsia" w:cs="Times New Roman"/>
          <w:b/>
          <w:bCs/>
          <w:sz w:val="28"/>
          <w:szCs w:val="28"/>
        </w:rPr>
      </w:pPr>
      <w:r>
        <w:br w:type="page"/>
      </w:r>
    </w:p>
    <w:p w:rsidR="006C7FE8" w:rsidRPr="00352574" w:rsidP="002F3C90" w14:paraId="0AE0E8A3" w14:textId="06DCF0A7">
      <w:pPr>
        <w:pStyle w:val="Heading1"/>
        <w:spacing w:line="240" w:lineRule="auto"/>
      </w:pPr>
      <w:r w:rsidRPr="00352574">
        <w:t>REFERENCES</w:t>
      </w:r>
      <w:r>
        <w:rPr>
          <w:rStyle w:val="FootnoteReference"/>
          <w:b w:val="0"/>
          <w:bCs w:val="0"/>
        </w:rPr>
        <w:footnoteReference w:id="3"/>
      </w:r>
    </w:p>
    <w:p w:rsidR="00441329" w:rsidRPr="00D15BFC" w:rsidP="002F3C90" w14:paraId="1D47C65F" w14:textId="7BFFF580">
      <w:pPr>
        <w:spacing w:after="0" w:line="240" w:lineRule="auto"/>
        <w:rPr>
          <w:rFonts w:ascii="Times New Roman" w:hAnsi="Times New Roman"/>
          <w:sz w:val="28"/>
        </w:rPr>
      </w:pPr>
    </w:p>
    <w:p w:rsidR="00441329" w:rsidRPr="00C35FE9" w:rsidP="002F3C90" w14:paraId="77D3604C" w14:textId="635035EB">
      <w:pPr>
        <w:pStyle w:val="ListParagraph"/>
        <w:numPr>
          <w:ilvl w:val="0"/>
          <w:numId w:val="4"/>
        </w:numPr>
        <w:spacing w:after="0" w:line="240" w:lineRule="auto"/>
        <w:ind w:hanging="720"/>
        <w:rPr>
          <w:rFonts w:ascii="Times New Roman" w:hAnsi="Times New Roman" w:cs="Times New Roman"/>
        </w:rPr>
      </w:pPr>
      <w:r w:rsidRPr="00C35FE9">
        <w:rPr>
          <w:rFonts w:ascii="Times New Roman" w:hAnsi="Times New Roman" w:cs="Times New Roman"/>
          <w:i/>
          <w:iCs/>
        </w:rPr>
        <w:t>U.S.</w:t>
      </w:r>
      <w:r w:rsidR="00A102AB">
        <w:rPr>
          <w:rFonts w:ascii="Times New Roman" w:hAnsi="Times New Roman" w:cs="Times New Roman"/>
          <w:i/>
          <w:iCs/>
        </w:rPr>
        <w:t> </w:t>
      </w:r>
      <w:r w:rsidRPr="00C35FE9">
        <w:rPr>
          <w:rFonts w:ascii="Times New Roman" w:hAnsi="Times New Roman" w:cs="Times New Roman"/>
          <w:i/>
          <w:iCs/>
        </w:rPr>
        <w:t>Code of Federal Regulations</w:t>
      </w:r>
      <w:r w:rsidRPr="00C35FE9">
        <w:rPr>
          <w:rFonts w:ascii="Times New Roman" w:hAnsi="Times New Roman" w:cs="Times New Roman"/>
        </w:rPr>
        <w:t xml:space="preserve"> (CFR)</w:t>
      </w:r>
      <w:r w:rsidR="009E3DF3">
        <w:rPr>
          <w:rFonts w:ascii="Times New Roman" w:hAnsi="Times New Roman" w:cs="Times New Roman"/>
        </w:rPr>
        <w:t>,</w:t>
      </w:r>
      <w:r w:rsidRPr="00C35FE9">
        <w:rPr>
          <w:rFonts w:ascii="Times New Roman" w:hAnsi="Times New Roman" w:cs="Times New Roman"/>
        </w:rPr>
        <w:t xml:space="preserve"> “Domestic Licensing of Production and Utilization</w:t>
      </w:r>
      <w:r>
        <w:rPr>
          <w:rFonts w:ascii="Times New Roman" w:hAnsi="Times New Roman" w:cs="Times New Roman"/>
        </w:rPr>
        <w:t xml:space="preserve"> </w:t>
      </w:r>
      <w:r w:rsidRPr="00C35FE9">
        <w:rPr>
          <w:rFonts w:ascii="Times New Roman" w:hAnsi="Times New Roman" w:cs="Times New Roman"/>
        </w:rPr>
        <w:t>Facilities,” Part</w:t>
      </w:r>
      <w:r w:rsidR="00886869">
        <w:rPr>
          <w:rFonts w:ascii="Times New Roman" w:hAnsi="Times New Roman" w:cs="Times New Roman"/>
        </w:rPr>
        <w:t> </w:t>
      </w:r>
      <w:r w:rsidRPr="00C35FE9">
        <w:rPr>
          <w:rFonts w:ascii="Times New Roman" w:hAnsi="Times New Roman" w:cs="Times New Roman"/>
        </w:rPr>
        <w:t>50, Chapter</w:t>
      </w:r>
      <w:r w:rsidR="00886869">
        <w:rPr>
          <w:rFonts w:ascii="Times New Roman" w:hAnsi="Times New Roman" w:cs="Times New Roman"/>
        </w:rPr>
        <w:t> </w:t>
      </w:r>
      <w:r w:rsidR="00097AD2">
        <w:rPr>
          <w:rFonts w:ascii="Times New Roman" w:hAnsi="Times New Roman" w:cs="Times New Roman"/>
        </w:rPr>
        <w:t>I</w:t>
      </w:r>
      <w:r w:rsidRPr="00C35FE9">
        <w:rPr>
          <w:rFonts w:ascii="Times New Roman" w:hAnsi="Times New Roman" w:cs="Times New Roman"/>
        </w:rPr>
        <w:t>, Title</w:t>
      </w:r>
      <w:r w:rsidR="00886869">
        <w:rPr>
          <w:rFonts w:ascii="Times New Roman" w:hAnsi="Times New Roman" w:cs="Times New Roman"/>
        </w:rPr>
        <w:t> </w:t>
      </w:r>
      <w:r w:rsidRPr="00C35FE9">
        <w:rPr>
          <w:rFonts w:ascii="Times New Roman" w:hAnsi="Times New Roman" w:cs="Times New Roman"/>
        </w:rPr>
        <w:t>10, “Energy.”</w:t>
      </w:r>
    </w:p>
    <w:p w:rsidR="007D7417" w:rsidP="002F3C90" w14:paraId="6A78AB04" w14:textId="6B426371">
      <w:pPr>
        <w:spacing w:after="0" w:line="240" w:lineRule="auto"/>
        <w:ind w:hanging="720"/>
        <w:rPr>
          <w:rFonts w:ascii="Times New Roman" w:hAnsi="Times New Roman" w:cs="Times New Roman"/>
        </w:rPr>
      </w:pPr>
    </w:p>
    <w:p w:rsidR="007D7417" w:rsidP="002F3C90" w14:paraId="65B78FC0" w14:textId="327DCD58">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CFR</w:t>
      </w:r>
      <w:r w:rsidR="00FD3E13">
        <w:rPr>
          <w:rFonts w:ascii="Times New Roman" w:hAnsi="Times New Roman" w:cs="Times New Roman"/>
        </w:rPr>
        <w:t>,</w:t>
      </w:r>
      <w:r>
        <w:rPr>
          <w:rFonts w:ascii="Times New Roman" w:hAnsi="Times New Roman" w:cs="Times New Roman"/>
        </w:rPr>
        <w:t xml:space="preserve"> </w:t>
      </w:r>
      <w:r w:rsidRPr="00151ADC">
        <w:rPr>
          <w:rFonts w:ascii="Times New Roman" w:hAnsi="Times New Roman" w:cs="Times New Roman"/>
        </w:rPr>
        <w:t>“Licenses, Certifications, and Approvals for Nuclear Power Plants,” Part</w:t>
      </w:r>
      <w:r w:rsidR="00DB1DA4">
        <w:rPr>
          <w:rFonts w:ascii="Times New Roman" w:hAnsi="Times New Roman" w:cs="Times New Roman"/>
        </w:rPr>
        <w:t> </w:t>
      </w:r>
      <w:r w:rsidRPr="00151ADC">
        <w:rPr>
          <w:rFonts w:ascii="Times New Roman" w:hAnsi="Times New Roman" w:cs="Times New Roman"/>
        </w:rPr>
        <w:t>52, Chapter</w:t>
      </w:r>
      <w:r w:rsidR="00DB1DA4">
        <w:rPr>
          <w:rFonts w:ascii="Times New Roman" w:hAnsi="Times New Roman" w:cs="Times New Roman"/>
        </w:rPr>
        <w:t> </w:t>
      </w:r>
      <w:r w:rsidR="00097AD2">
        <w:rPr>
          <w:rFonts w:ascii="Times New Roman" w:hAnsi="Times New Roman" w:cs="Times New Roman"/>
        </w:rPr>
        <w:t>I</w:t>
      </w:r>
      <w:r w:rsidRPr="00151ADC">
        <w:rPr>
          <w:rFonts w:ascii="Times New Roman" w:hAnsi="Times New Roman" w:cs="Times New Roman"/>
        </w:rPr>
        <w:t>,</w:t>
      </w:r>
      <w:r w:rsidR="006F67B3">
        <w:rPr>
          <w:rFonts w:ascii="Times New Roman" w:hAnsi="Times New Roman" w:cs="Times New Roman"/>
        </w:rPr>
        <w:t xml:space="preserve"> </w:t>
      </w:r>
      <w:r w:rsidRPr="006F67B3">
        <w:rPr>
          <w:rFonts w:ascii="Times New Roman" w:hAnsi="Times New Roman" w:cs="Times New Roman"/>
        </w:rPr>
        <w:t>Title</w:t>
      </w:r>
      <w:r w:rsidR="00DB1DA4">
        <w:rPr>
          <w:rFonts w:ascii="Times New Roman" w:hAnsi="Times New Roman" w:cs="Times New Roman"/>
        </w:rPr>
        <w:t> </w:t>
      </w:r>
      <w:r w:rsidRPr="006F67B3">
        <w:rPr>
          <w:rFonts w:ascii="Times New Roman" w:hAnsi="Times New Roman" w:cs="Times New Roman"/>
        </w:rPr>
        <w:t>10, “Energy.”</w:t>
      </w:r>
    </w:p>
    <w:p w:rsidR="006F67B3" w:rsidRPr="006F67B3" w:rsidP="002F3C90" w14:paraId="37C43C3F" w14:textId="77777777">
      <w:pPr>
        <w:pStyle w:val="ListParagraph"/>
        <w:spacing w:after="0" w:line="240" w:lineRule="auto"/>
        <w:rPr>
          <w:rFonts w:ascii="Times New Roman" w:hAnsi="Times New Roman" w:cs="Times New Roman"/>
        </w:rPr>
      </w:pPr>
    </w:p>
    <w:p w:rsidR="007D7417" w:rsidP="0021002A" w14:paraId="66C9F928" w14:textId="5F4887AC">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CFR</w:t>
      </w:r>
      <w:r w:rsidR="00FD3E13">
        <w:rPr>
          <w:rFonts w:ascii="Times New Roman" w:hAnsi="Times New Roman" w:cs="Times New Roman"/>
        </w:rPr>
        <w:t>,</w:t>
      </w:r>
      <w:r>
        <w:rPr>
          <w:rFonts w:ascii="Times New Roman" w:hAnsi="Times New Roman" w:cs="Times New Roman"/>
        </w:rPr>
        <w:t xml:space="preserve"> “</w:t>
      </w:r>
      <w:r w:rsidRPr="006F67B3">
        <w:rPr>
          <w:rFonts w:ascii="Times New Roman" w:hAnsi="Times New Roman" w:cs="Times New Roman"/>
        </w:rPr>
        <w:t>Risk-Informed, Technology-Inclusive Regulatory Framework for Commercial Nuclear Plants</w:t>
      </w:r>
      <w:r>
        <w:rPr>
          <w:rFonts w:ascii="Times New Roman" w:hAnsi="Times New Roman" w:cs="Times New Roman"/>
        </w:rPr>
        <w:t xml:space="preserve">,” </w:t>
      </w:r>
      <w:r w:rsidR="004C2138">
        <w:rPr>
          <w:rFonts w:ascii="Times New Roman" w:hAnsi="Times New Roman" w:cs="Times New Roman"/>
        </w:rPr>
        <w:t>Part</w:t>
      </w:r>
      <w:r w:rsidR="00DB1DA4">
        <w:rPr>
          <w:rFonts w:ascii="Times New Roman" w:hAnsi="Times New Roman" w:cs="Times New Roman"/>
        </w:rPr>
        <w:t> </w:t>
      </w:r>
      <w:r w:rsidR="004C2138">
        <w:rPr>
          <w:rFonts w:ascii="Times New Roman" w:hAnsi="Times New Roman" w:cs="Times New Roman"/>
        </w:rPr>
        <w:t>53</w:t>
      </w:r>
      <w:r w:rsidR="00835F2B">
        <w:rPr>
          <w:rFonts w:ascii="Times New Roman" w:hAnsi="Times New Roman" w:cs="Times New Roman"/>
        </w:rPr>
        <w:t>, Chapter</w:t>
      </w:r>
      <w:r w:rsidR="00DB1DA4">
        <w:rPr>
          <w:rFonts w:ascii="Times New Roman" w:hAnsi="Times New Roman" w:cs="Times New Roman"/>
        </w:rPr>
        <w:t> </w:t>
      </w:r>
      <w:r w:rsidR="00097AD2">
        <w:rPr>
          <w:rFonts w:ascii="Times New Roman" w:hAnsi="Times New Roman" w:cs="Times New Roman"/>
        </w:rPr>
        <w:t>I</w:t>
      </w:r>
      <w:r w:rsidR="00835F2B">
        <w:rPr>
          <w:rFonts w:ascii="Times New Roman" w:hAnsi="Times New Roman" w:cs="Times New Roman"/>
        </w:rPr>
        <w:t>, Title</w:t>
      </w:r>
      <w:r w:rsidR="00DB1DA4">
        <w:rPr>
          <w:rFonts w:ascii="Times New Roman" w:hAnsi="Times New Roman" w:cs="Times New Roman"/>
        </w:rPr>
        <w:t> </w:t>
      </w:r>
      <w:r w:rsidR="00835F2B">
        <w:rPr>
          <w:rFonts w:ascii="Times New Roman" w:hAnsi="Times New Roman" w:cs="Times New Roman"/>
        </w:rPr>
        <w:t>10, “Energy.”</w:t>
      </w:r>
    </w:p>
    <w:p w:rsidR="007D7417" w:rsidP="002F3C90" w14:paraId="77C20D14" w14:textId="6C1D7ADF">
      <w:pPr>
        <w:spacing w:after="0" w:line="240" w:lineRule="auto"/>
        <w:ind w:hanging="720"/>
        <w:rPr>
          <w:rFonts w:ascii="Times New Roman" w:hAnsi="Times New Roman" w:cs="Times New Roman"/>
        </w:rPr>
      </w:pPr>
    </w:p>
    <w:p w:rsidR="00460F90" w:rsidP="0021002A" w14:paraId="74493889" w14:textId="6831996D">
      <w:pPr>
        <w:pStyle w:val="ListParagraph"/>
        <w:numPr>
          <w:ilvl w:val="0"/>
          <w:numId w:val="4"/>
        </w:numPr>
        <w:spacing w:after="0" w:line="240" w:lineRule="auto"/>
        <w:ind w:hanging="720"/>
        <w:rPr>
          <w:rFonts w:ascii="Times New Roman" w:hAnsi="Times New Roman" w:cs="Times New Roman"/>
        </w:rPr>
      </w:pPr>
      <w:r w:rsidRPr="00460F90">
        <w:rPr>
          <w:rFonts w:ascii="Times New Roman" w:hAnsi="Times New Roman" w:cs="Times New Roman"/>
        </w:rPr>
        <w:t xml:space="preserve">CFR, “Reactor Site Criteria.” </w:t>
      </w:r>
      <w:r w:rsidRPr="00460F90" w:rsidR="008C5449">
        <w:rPr>
          <w:rFonts w:ascii="Times New Roman" w:hAnsi="Times New Roman" w:cs="Times New Roman"/>
        </w:rPr>
        <w:t>Part 100</w:t>
      </w:r>
      <w:r w:rsidRPr="00460F90">
        <w:rPr>
          <w:rFonts w:ascii="Times New Roman" w:hAnsi="Times New Roman" w:cs="Times New Roman"/>
        </w:rPr>
        <w:t>,</w:t>
      </w:r>
      <w:r w:rsidRPr="00460F90" w:rsidR="008C5449">
        <w:rPr>
          <w:rFonts w:ascii="Times New Roman" w:hAnsi="Times New Roman" w:cs="Times New Roman"/>
        </w:rPr>
        <w:t xml:space="preserve"> </w:t>
      </w:r>
      <w:r w:rsidRPr="00BE641E">
        <w:rPr>
          <w:rFonts w:ascii="Times New Roman" w:hAnsi="Times New Roman" w:cs="Times New Roman"/>
        </w:rPr>
        <w:t>Chapter I</w:t>
      </w:r>
      <w:r w:rsidRPr="00460F90" w:rsidR="008C5449">
        <w:rPr>
          <w:rFonts w:ascii="Times New Roman" w:hAnsi="Times New Roman" w:cs="Times New Roman"/>
        </w:rPr>
        <w:t xml:space="preserve">, Title 10, </w:t>
      </w:r>
      <w:r>
        <w:rPr>
          <w:rFonts w:ascii="Times New Roman" w:hAnsi="Times New Roman" w:cs="Times New Roman"/>
        </w:rPr>
        <w:t>“</w:t>
      </w:r>
      <w:r w:rsidRPr="00BE641E" w:rsidR="008C5449">
        <w:rPr>
          <w:rFonts w:ascii="Times New Roman" w:hAnsi="Times New Roman" w:cs="Times New Roman"/>
        </w:rPr>
        <w:t>Energy</w:t>
      </w:r>
      <w:r>
        <w:rPr>
          <w:rFonts w:ascii="Times New Roman" w:hAnsi="Times New Roman" w:cs="Times New Roman"/>
        </w:rPr>
        <w:t>.”</w:t>
      </w:r>
    </w:p>
    <w:p w:rsidR="009807FF" w:rsidRPr="00460F90" w:rsidP="0021002A" w14:paraId="587C93B6" w14:textId="3106821B">
      <w:pPr>
        <w:spacing w:after="0" w:line="240" w:lineRule="auto"/>
      </w:pPr>
      <w:r w:rsidRPr="00BE641E">
        <w:rPr>
          <w:rFonts w:ascii="Times New Roman" w:hAnsi="Times New Roman" w:cs="Times New Roman"/>
        </w:rPr>
        <w:t xml:space="preserve"> </w:t>
      </w:r>
    </w:p>
    <w:p w:rsidR="004A61FC" w:rsidRPr="00F710C5" w:rsidP="002F3C90" w14:paraId="696ADF44" w14:textId="7C682021">
      <w:pPr>
        <w:pStyle w:val="ListParagraph"/>
        <w:numPr>
          <w:ilvl w:val="0"/>
          <w:numId w:val="4"/>
        </w:numPr>
        <w:spacing w:after="0" w:line="240" w:lineRule="auto"/>
        <w:ind w:hanging="720"/>
        <w:rPr>
          <w:rFonts w:ascii="Times New Roman" w:hAnsi="Times New Roman" w:cs="Times New Roman"/>
        </w:rPr>
      </w:pPr>
      <w:r w:rsidRPr="006B6677">
        <w:rPr>
          <w:rFonts w:ascii="Times New Roman" w:hAnsi="Times New Roman" w:cs="Times New Roman"/>
        </w:rPr>
        <w:t>NRC, NUREG</w:t>
      </w:r>
      <w:r w:rsidRPr="006B6677">
        <w:rPr>
          <w:rFonts w:ascii="Times New Roman" w:hAnsi="Times New Roman" w:cs="Times New Roman"/>
        </w:rPr>
        <w:noBreakHyphen/>
        <w:t xml:space="preserve">0800, “Standard Review Plan for the Review of Safety Analysis Reports for Nuclear Power Plants: LWR Edition,” Washington, DC. (Available at </w:t>
      </w:r>
      <w:hyperlink r:id="rId14" w:history="1">
        <w:r w:rsidRPr="00017D61">
          <w:rPr>
            <w:rStyle w:val="Hyperlink"/>
            <w:rFonts w:ascii="Times New Roman" w:hAnsi="Times New Roman" w:cs="Times New Roman"/>
          </w:rPr>
          <w:t>https://www.nrc.gov/reading-rm/doc-collections/nuregs/staff/sr0800/</w:t>
        </w:r>
      </w:hyperlink>
      <w:r w:rsidRPr="00017D61">
        <w:rPr>
          <w:rStyle w:val="Hyperlink"/>
          <w:rFonts w:ascii="Times New Roman" w:hAnsi="Times New Roman" w:cs="Times New Roman"/>
        </w:rPr>
        <w:t>index.html</w:t>
      </w:r>
      <w:r w:rsidRPr="006B6677">
        <w:rPr>
          <w:rFonts w:ascii="Times New Roman" w:hAnsi="Times New Roman" w:cs="Times New Roman"/>
        </w:rPr>
        <w:t>)</w:t>
      </w:r>
    </w:p>
    <w:p w:rsidR="00E049F1" w:rsidRPr="0015733E" w:rsidP="002F3C90" w14:paraId="69971DFC" w14:textId="77777777">
      <w:pPr>
        <w:pStyle w:val="ListParagraph"/>
        <w:spacing w:line="240" w:lineRule="auto"/>
        <w:rPr>
          <w:rFonts w:ascii="Times New Roman" w:hAnsi="Times New Roman" w:cs="Times New Roman"/>
        </w:rPr>
      </w:pPr>
    </w:p>
    <w:p w:rsidR="00FC2793" w:rsidP="002F3C90" w14:paraId="689B6576" w14:textId="71FEBCD8">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RG</w:t>
      </w:r>
      <w:r w:rsidR="00DB1DA4">
        <w:rPr>
          <w:rFonts w:ascii="Times New Roman" w:hAnsi="Times New Roman" w:cs="Times New Roman"/>
        </w:rPr>
        <w:t> </w:t>
      </w:r>
      <w:r>
        <w:rPr>
          <w:rFonts w:ascii="Times New Roman" w:hAnsi="Times New Roman" w:cs="Times New Roman"/>
        </w:rPr>
        <w:t>1.200, “</w:t>
      </w:r>
      <w:r w:rsidRPr="00707A43">
        <w:rPr>
          <w:rFonts w:ascii="Times New Roman" w:hAnsi="Times New Roman" w:cs="Times New Roman"/>
        </w:rPr>
        <w:t>Acceptability of Probabilistic Risk Assessment Results for Risk-Informed Activities</w:t>
      </w:r>
      <w:r w:rsidR="0098011E">
        <w:rPr>
          <w:rFonts w:ascii="Times New Roman" w:hAnsi="Times New Roman" w:cs="Times New Roman"/>
        </w:rPr>
        <w:t>,</w:t>
      </w:r>
      <w:r>
        <w:rPr>
          <w:rFonts w:ascii="Times New Roman" w:hAnsi="Times New Roman" w:cs="Times New Roman"/>
        </w:rPr>
        <w:t>”</w:t>
      </w:r>
      <w:r w:rsidR="0098011E">
        <w:rPr>
          <w:rFonts w:ascii="Times New Roman" w:hAnsi="Times New Roman" w:cs="Times New Roman"/>
        </w:rPr>
        <w:t xml:space="preserve"> Washington,</w:t>
      </w:r>
      <w:r w:rsidR="00DB1DA4">
        <w:rPr>
          <w:rFonts w:ascii="Times New Roman" w:hAnsi="Times New Roman" w:cs="Times New Roman"/>
        </w:rPr>
        <w:t> </w:t>
      </w:r>
      <w:r w:rsidR="0098011E">
        <w:rPr>
          <w:rFonts w:ascii="Times New Roman" w:hAnsi="Times New Roman" w:cs="Times New Roman"/>
        </w:rPr>
        <w:t xml:space="preserve">DC. </w:t>
      </w:r>
    </w:p>
    <w:p w:rsidR="001474AB" w:rsidRPr="00856F25" w:rsidP="002F3C90" w14:paraId="414C343F" w14:textId="77777777">
      <w:pPr>
        <w:pStyle w:val="ListParagraph"/>
        <w:spacing w:line="240" w:lineRule="auto"/>
        <w:rPr>
          <w:rFonts w:ascii="Times New Roman" w:hAnsi="Times New Roman" w:cs="Times New Roman"/>
        </w:rPr>
      </w:pPr>
    </w:p>
    <w:p w:rsidR="001474AB" w:rsidRPr="00FC2793" w:rsidP="002F3C90" w14:paraId="0E53D62D" w14:textId="33D36D31">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RG</w:t>
      </w:r>
      <w:r w:rsidR="00DB1DA4">
        <w:rPr>
          <w:rFonts w:ascii="Times New Roman" w:hAnsi="Times New Roman" w:cs="Times New Roman"/>
        </w:rPr>
        <w:t> </w:t>
      </w:r>
      <w:r w:rsidR="00983F7C">
        <w:rPr>
          <w:rFonts w:ascii="Times New Roman" w:hAnsi="Times New Roman" w:cs="Times New Roman"/>
        </w:rPr>
        <w:t>1.206, “Applications for Nuclear Power Plants,” Washington,</w:t>
      </w:r>
      <w:r w:rsidR="00DB1DA4">
        <w:rPr>
          <w:rFonts w:ascii="Times New Roman" w:hAnsi="Times New Roman" w:cs="Times New Roman"/>
        </w:rPr>
        <w:t> </w:t>
      </w:r>
      <w:r w:rsidR="00983F7C">
        <w:rPr>
          <w:rFonts w:ascii="Times New Roman" w:hAnsi="Times New Roman" w:cs="Times New Roman"/>
        </w:rPr>
        <w:t xml:space="preserve">DC. </w:t>
      </w:r>
    </w:p>
    <w:p w:rsidR="002D3BE8" w:rsidRPr="007C79DA" w:rsidP="002F3C90" w14:paraId="1874D80B" w14:textId="58136EFC">
      <w:pPr>
        <w:pStyle w:val="ListParagraph"/>
        <w:spacing w:after="0" w:line="240" w:lineRule="auto"/>
        <w:rPr>
          <w:rFonts w:ascii="Times New Roman" w:hAnsi="Times New Roman"/>
        </w:rPr>
      </w:pPr>
    </w:p>
    <w:p w:rsidR="002D3BE8" w:rsidRPr="00BB486A" w:rsidP="002F3C90" w14:paraId="12F3E448" w14:textId="5E6FDBF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NRC, </w:t>
      </w:r>
      <w:r>
        <w:rPr>
          <w:rFonts w:ascii="Times New Roman" w:hAnsi="Times New Roman" w:cs="Times New Roman"/>
        </w:rPr>
        <w:t>RG</w:t>
      </w:r>
      <w:r w:rsidR="00DB1DA4">
        <w:rPr>
          <w:rFonts w:ascii="Times New Roman" w:hAnsi="Times New Roman" w:cs="Times New Roman"/>
        </w:rPr>
        <w:t> </w:t>
      </w:r>
      <w:r>
        <w:rPr>
          <w:rFonts w:ascii="Times New Roman" w:hAnsi="Times New Roman" w:cs="Times New Roman"/>
        </w:rPr>
        <w:t>1.233</w:t>
      </w:r>
      <w:r>
        <w:rPr>
          <w:rFonts w:ascii="Times New Roman" w:hAnsi="Times New Roman" w:cs="Times New Roman"/>
        </w:rPr>
        <w:t>, “</w:t>
      </w:r>
      <w:r w:rsidRPr="00D56E62" w:rsidR="00D56E62">
        <w:rPr>
          <w:rFonts w:ascii="Times New Roman" w:hAnsi="Times New Roman" w:cs="Times New Roman"/>
        </w:rPr>
        <w:t>Guidance for a Technology-Inclusive, Risk-Informed, and Performance-Based Methodology to Inform the Licensing Basis and Content of Applications for Licenses, Certifications, and Approvals for Non-Light</w:t>
      </w:r>
      <w:r w:rsidR="00821C18">
        <w:rPr>
          <w:rFonts w:ascii="Times New Roman" w:hAnsi="Times New Roman" w:cs="Times New Roman"/>
        </w:rPr>
        <w:t>-</w:t>
      </w:r>
      <w:r w:rsidRPr="00D56E62" w:rsidR="00D56E62">
        <w:rPr>
          <w:rFonts w:ascii="Times New Roman" w:hAnsi="Times New Roman" w:cs="Times New Roman"/>
        </w:rPr>
        <w:t>Water Reactors</w:t>
      </w:r>
      <w:r w:rsidR="00983F7C">
        <w:rPr>
          <w:rFonts w:ascii="Times New Roman" w:hAnsi="Times New Roman" w:cs="Times New Roman"/>
        </w:rPr>
        <w:t>,</w:t>
      </w:r>
      <w:r w:rsidR="00D56E62">
        <w:rPr>
          <w:rFonts w:ascii="Times New Roman" w:hAnsi="Times New Roman" w:cs="Times New Roman"/>
        </w:rPr>
        <w:t>”</w:t>
      </w:r>
      <w:r w:rsidR="00983F7C">
        <w:rPr>
          <w:rFonts w:ascii="Times New Roman" w:hAnsi="Times New Roman" w:cs="Times New Roman"/>
        </w:rPr>
        <w:t xml:space="preserve"> Washington,</w:t>
      </w:r>
      <w:r w:rsidR="00DB1DA4">
        <w:rPr>
          <w:rFonts w:ascii="Times New Roman" w:hAnsi="Times New Roman" w:cs="Times New Roman"/>
        </w:rPr>
        <w:t> </w:t>
      </w:r>
      <w:r w:rsidR="00983F7C">
        <w:rPr>
          <w:rFonts w:ascii="Times New Roman" w:hAnsi="Times New Roman" w:cs="Times New Roman"/>
        </w:rPr>
        <w:t xml:space="preserve">DC. </w:t>
      </w:r>
    </w:p>
    <w:p w:rsidR="007D7417" w:rsidP="002F3C90" w14:paraId="247ED7C9" w14:textId="6A1FB391">
      <w:pPr>
        <w:spacing w:after="0" w:line="240" w:lineRule="auto"/>
        <w:ind w:hanging="720"/>
        <w:rPr>
          <w:rFonts w:ascii="Times New Roman" w:hAnsi="Times New Roman" w:cs="Times New Roman"/>
        </w:rPr>
      </w:pPr>
    </w:p>
    <w:p w:rsidR="007D7417" w:rsidRPr="009C313A" w:rsidP="002F3C90" w14:paraId="5D38B451" w14:textId="55D6D41C">
      <w:pPr>
        <w:pStyle w:val="ListParagraph"/>
        <w:numPr>
          <w:ilvl w:val="0"/>
          <w:numId w:val="4"/>
        </w:numPr>
        <w:spacing w:after="0" w:line="240" w:lineRule="auto"/>
        <w:ind w:hanging="720"/>
        <w:rPr>
          <w:rFonts w:ascii="Times New Roman" w:hAnsi="Times New Roman" w:cs="Times New Roman"/>
        </w:rPr>
      </w:pPr>
      <w:r w:rsidRPr="009C313A">
        <w:rPr>
          <w:rFonts w:ascii="Times New Roman" w:hAnsi="Times New Roman" w:cs="Times New Roman"/>
        </w:rPr>
        <w:t>Nuclear Energy Institute (NEI)</w:t>
      </w:r>
      <w:r w:rsidR="00DB1DA4">
        <w:rPr>
          <w:rFonts w:ascii="Times New Roman" w:hAnsi="Times New Roman" w:cs="Times New Roman"/>
        </w:rPr>
        <w:t> </w:t>
      </w:r>
      <w:r w:rsidRPr="009C313A">
        <w:rPr>
          <w:rFonts w:ascii="Times New Roman" w:hAnsi="Times New Roman" w:cs="Times New Roman"/>
        </w:rPr>
        <w:t>18</w:t>
      </w:r>
      <w:r w:rsidR="00DB1DA4">
        <w:rPr>
          <w:rFonts w:ascii="Times New Roman" w:hAnsi="Times New Roman" w:cs="Times New Roman"/>
        </w:rPr>
        <w:noBreakHyphen/>
      </w:r>
      <w:r w:rsidRPr="009C313A">
        <w:rPr>
          <w:rFonts w:ascii="Times New Roman" w:hAnsi="Times New Roman" w:cs="Times New Roman"/>
        </w:rPr>
        <w:t>04,</w:t>
      </w:r>
      <w:r w:rsidR="007A6F8D">
        <w:rPr>
          <w:rFonts w:ascii="Times New Roman" w:hAnsi="Times New Roman" w:cs="Times New Roman"/>
        </w:rPr>
        <w:t xml:space="preserve"> Revision</w:t>
      </w:r>
      <w:r w:rsidR="00DB1DA4">
        <w:rPr>
          <w:rFonts w:ascii="Times New Roman" w:hAnsi="Times New Roman" w:cs="Times New Roman"/>
        </w:rPr>
        <w:t> </w:t>
      </w:r>
      <w:r w:rsidR="007A6F8D">
        <w:rPr>
          <w:rFonts w:ascii="Times New Roman" w:hAnsi="Times New Roman" w:cs="Times New Roman"/>
        </w:rPr>
        <w:t>1,</w:t>
      </w:r>
      <w:r w:rsidRPr="009C313A">
        <w:rPr>
          <w:rFonts w:ascii="Times New Roman" w:hAnsi="Times New Roman" w:cs="Times New Roman"/>
        </w:rPr>
        <w:t xml:space="preserve"> “Risk-Informed Performance-Based Technology-Inclusive</w:t>
      </w:r>
      <w:r>
        <w:rPr>
          <w:rFonts w:ascii="Times New Roman" w:hAnsi="Times New Roman" w:cs="Times New Roman"/>
        </w:rPr>
        <w:t xml:space="preserve"> </w:t>
      </w:r>
      <w:r w:rsidRPr="009C313A">
        <w:rPr>
          <w:rFonts w:ascii="Times New Roman" w:hAnsi="Times New Roman" w:cs="Times New Roman"/>
        </w:rPr>
        <w:t>Guidance for Non-Light Water Reactor Licensing Basis Development,”</w:t>
      </w:r>
      <w:r w:rsidR="009329FC">
        <w:rPr>
          <w:rFonts w:ascii="Times New Roman" w:hAnsi="Times New Roman" w:cs="Times New Roman"/>
        </w:rPr>
        <w:t xml:space="preserve"> Washington, DC,</w:t>
      </w:r>
      <w:r w:rsidRPr="009C313A">
        <w:rPr>
          <w:rFonts w:ascii="Times New Roman" w:hAnsi="Times New Roman" w:cs="Times New Roman"/>
        </w:rPr>
        <w:t xml:space="preserve"> August</w:t>
      </w:r>
      <w:r w:rsidR="00DB1DA4">
        <w:rPr>
          <w:rFonts w:ascii="Times New Roman" w:hAnsi="Times New Roman" w:cs="Times New Roman"/>
        </w:rPr>
        <w:t> </w:t>
      </w:r>
      <w:r w:rsidRPr="009C313A">
        <w:rPr>
          <w:rFonts w:ascii="Times New Roman" w:hAnsi="Times New Roman" w:cs="Times New Roman"/>
        </w:rPr>
        <w:t>2019.</w:t>
      </w:r>
      <w:r w:rsidR="00AA61E6">
        <w:rPr>
          <w:rFonts w:ascii="Times New Roman" w:hAnsi="Times New Roman" w:cs="Times New Roman"/>
        </w:rPr>
        <w:t xml:space="preserve"> </w:t>
      </w:r>
      <w:r w:rsidRPr="009C313A">
        <w:rPr>
          <w:rFonts w:ascii="Times New Roman" w:hAnsi="Times New Roman" w:cs="Times New Roman"/>
        </w:rPr>
        <w:t>(</w:t>
      </w:r>
      <w:r w:rsidR="00DB1DA4">
        <w:rPr>
          <w:rFonts w:ascii="Times New Roman" w:hAnsi="Times New Roman" w:cs="Times New Roman"/>
        </w:rPr>
        <w:t>Agencywide Documents Access and Management System (</w:t>
      </w:r>
      <w:r w:rsidRPr="009C313A">
        <w:rPr>
          <w:rFonts w:ascii="Times New Roman" w:hAnsi="Times New Roman" w:cs="Times New Roman"/>
        </w:rPr>
        <w:t>ADAMS</w:t>
      </w:r>
      <w:r w:rsidR="00DB1DA4">
        <w:rPr>
          <w:rFonts w:ascii="Times New Roman" w:hAnsi="Times New Roman" w:cs="Times New Roman"/>
        </w:rPr>
        <w:t>)</w:t>
      </w:r>
      <w:r w:rsidRPr="009C313A">
        <w:rPr>
          <w:rFonts w:ascii="Times New Roman" w:hAnsi="Times New Roman" w:cs="Times New Roman"/>
        </w:rPr>
        <w:t xml:space="preserve"> Accession No.</w:t>
      </w:r>
      <w:r w:rsidR="00DB1DA4">
        <w:rPr>
          <w:rFonts w:ascii="Times New Roman" w:hAnsi="Times New Roman" w:cs="Times New Roman"/>
        </w:rPr>
        <w:t> </w:t>
      </w:r>
      <w:r w:rsidRPr="009C313A">
        <w:rPr>
          <w:rFonts w:ascii="Times New Roman" w:hAnsi="Times New Roman" w:cs="Times New Roman"/>
        </w:rPr>
        <w:t>ML19241A472)</w:t>
      </w:r>
      <w:r>
        <w:rPr>
          <w:rStyle w:val="FootnoteReference"/>
          <w:rFonts w:ascii="Times New Roman" w:hAnsi="Times New Roman" w:cs="Times New Roman"/>
        </w:rPr>
        <w:footnoteReference w:id="4"/>
      </w:r>
    </w:p>
    <w:p w:rsidR="002D3BE8" w:rsidP="002F3C90" w14:paraId="124F629D" w14:textId="663AE361">
      <w:pPr>
        <w:pStyle w:val="ListParagraph"/>
        <w:spacing w:after="0" w:line="240" w:lineRule="auto"/>
        <w:rPr>
          <w:rFonts w:ascii="Times New Roman" w:hAnsi="Times New Roman" w:cs="Times New Roman"/>
        </w:rPr>
      </w:pPr>
    </w:p>
    <w:p w:rsidR="002D3BE8" w:rsidP="002F3C90" w14:paraId="41531EBB" w14:textId="045617D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NRC, </w:t>
      </w:r>
      <w:r w:rsidR="00BB5A68">
        <w:rPr>
          <w:rFonts w:ascii="Times New Roman" w:hAnsi="Times New Roman" w:cs="Times New Roman"/>
        </w:rPr>
        <w:t>RG</w:t>
      </w:r>
      <w:r w:rsidR="00DB1DA4">
        <w:rPr>
          <w:rFonts w:ascii="Times New Roman" w:hAnsi="Times New Roman" w:cs="Times New Roman"/>
        </w:rPr>
        <w:t> </w:t>
      </w:r>
      <w:r w:rsidR="00BB5A68">
        <w:rPr>
          <w:rFonts w:ascii="Times New Roman" w:hAnsi="Times New Roman" w:cs="Times New Roman"/>
        </w:rPr>
        <w:t>1.247</w:t>
      </w:r>
      <w:r w:rsidR="003E0E62">
        <w:rPr>
          <w:rFonts w:ascii="Times New Roman" w:hAnsi="Times New Roman" w:cs="Times New Roman"/>
        </w:rPr>
        <w:t xml:space="preserve"> (For Trial Use)</w:t>
      </w:r>
      <w:r>
        <w:rPr>
          <w:rFonts w:ascii="Times New Roman" w:hAnsi="Times New Roman" w:cs="Times New Roman"/>
        </w:rPr>
        <w:t>, “</w:t>
      </w:r>
      <w:r w:rsidRPr="0042697E" w:rsidR="0042697E">
        <w:rPr>
          <w:rFonts w:ascii="Times New Roman" w:hAnsi="Times New Roman" w:cs="Times New Roman"/>
        </w:rPr>
        <w:t>Acceptability of Probabilistic Risk Assessment Results for Non-Light</w:t>
      </w:r>
      <w:r w:rsidR="00821C18">
        <w:rPr>
          <w:rFonts w:ascii="Times New Roman" w:hAnsi="Times New Roman" w:cs="Times New Roman"/>
        </w:rPr>
        <w:t>-</w:t>
      </w:r>
      <w:r w:rsidRPr="0042697E" w:rsidR="0042697E">
        <w:rPr>
          <w:rFonts w:ascii="Times New Roman" w:hAnsi="Times New Roman" w:cs="Times New Roman"/>
        </w:rPr>
        <w:t>Water Reactor Risk-Informed Activities</w:t>
      </w:r>
      <w:r w:rsidR="00872A4A">
        <w:rPr>
          <w:rFonts w:ascii="Times New Roman" w:hAnsi="Times New Roman" w:cs="Times New Roman"/>
        </w:rPr>
        <w:t>,</w:t>
      </w:r>
      <w:r w:rsidR="0042697E">
        <w:rPr>
          <w:rFonts w:ascii="Times New Roman" w:hAnsi="Times New Roman" w:cs="Times New Roman"/>
        </w:rPr>
        <w:t>”</w:t>
      </w:r>
      <w:r w:rsidR="00872A4A">
        <w:rPr>
          <w:rFonts w:ascii="Times New Roman" w:hAnsi="Times New Roman" w:cs="Times New Roman"/>
        </w:rPr>
        <w:t xml:space="preserve"> Washington,</w:t>
      </w:r>
      <w:r w:rsidR="00DB1DA4">
        <w:rPr>
          <w:rFonts w:ascii="Times New Roman" w:hAnsi="Times New Roman" w:cs="Times New Roman"/>
        </w:rPr>
        <w:t> </w:t>
      </w:r>
      <w:r w:rsidR="00872A4A">
        <w:rPr>
          <w:rFonts w:ascii="Times New Roman" w:hAnsi="Times New Roman" w:cs="Times New Roman"/>
        </w:rPr>
        <w:t xml:space="preserve">DC. </w:t>
      </w:r>
    </w:p>
    <w:p w:rsidR="00AF08C6" w:rsidRPr="00856F25" w:rsidP="002F3C90" w14:paraId="605B7AA3" w14:textId="77777777">
      <w:pPr>
        <w:pStyle w:val="ListParagraph"/>
        <w:spacing w:line="240" w:lineRule="auto"/>
        <w:rPr>
          <w:rFonts w:ascii="Times New Roman" w:hAnsi="Times New Roman" w:cs="Times New Roman"/>
        </w:rPr>
      </w:pPr>
    </w:p>
    <w:p w:rsidR="00AF08C6" w:rsidP="002F3C90" w14:paraId="3733FC1B" w14:textId="764B0934">
      <w:pPr>
        <w:pStyle w:val="ListParagraph"/>
        <w:numPr>
          <w:ilvl w:val="0"/>
          <w:numId w:val="4"/>
        </w:numPr>
        <w:spacing w:after="0" w:line="240" w:lineRule="auto"/>
        <w:ind w:hanging="720"/>
        <w:rPr>
          <w:rFonts w:ascii="Times New Roman" w:hAnsi="Times New Roman" w:cs="Times New Roman"/>
        </w:rPr>
      </w:pPr>
      <w:r w:rsidRPr="00BC69DE">
        <w:rPr>
          <w:rFonts w:ascii="Times New Roman" w:hAnsi="Times New Roman" w:cs="Times New Roman"/>
        </w:rPr>
        <w:t>NRC</w:t>
      </w:r>
      <w:r>
        <w:rPr>
          <w:rFonts w:ascii="Times New Roman" w:hAnsi="Times New Roman" w:cs="Times New Roman"/>
        </w:rPr>
        <w:t>,</w:t>
      </w:r>
      <w:r w:rsidRPr="00BC69DE">
        <w:rPr>
          <w:rFonts w:ascii="Times New Roman" w:hAnsi="Times New Roman" w:cs="Times New Roman"/>
        </w:rPr>
        <w:t xml:space="preserve"> DC/COL</w:t>
      </w:r>
      <w:r w:rsidR="00DB1DA4">
        <w:rPr>
          <w:rFonts w:ascii="Times New Roman" w:hAnsi="Times New Roman" w:cs="Times New Roman"/>
        </w:rPr>
        <w:noBreakHyphen/>
      </w:r>
      <w:r w:rsidRPr="00BC69DE">
        <w:rPr>
          <w:rFonts w:ascii="Times New Roman" w:hAnsi="Times New Roman" w:cs="Times New Roman"/>
        </w:rPr>
        <w:t>ISG</w:t>
      </w:r>
      <w:r w:rsidR="00DB1DA4">
        <w:rPr>
          <w:rFonts w:ascii="Times New Roman" w:hAnsi="Times New Roman" w:cs="Times New Roman"/>
        </w:rPr>
        <w:noBreakHyphen/>
      </w:r>
      <w:r w:rsidRPr="00BC69DE">
        <w:rPr>
          <w:rFonts w:ascii="Times New Roman" w:hAnsi="Times New Roman" w:cs="Times New Roman"/>
        </w:rPr>
        <w:t>028, “Assessing the Technical Adequacy of the Advanced Light-Water Reactor Probabilistic Risk Assessment for the Design Certification Application and Combined License Application</w:t>
      </w:r>
      <w:r>
        <w:rPr>
          <w:rFonts w:ascii="Times New Roman" w:hAnsi="Times New Roman" w:cs="Times New Roman"/>
        </w:rPr>
        <w:t>,</w:t>
      </w:r>
      <w:r w:rsidRPr="00BC69DE">
        <w:rPr>
          <w:rFonts w:ascii="Times New Roman" w:hAnsi="Times New Roman" w:cs="Times New Roman"/>
        </w:rPr>
        <w:t>”</w:t>
      </w:r>
      <w:r w:rsidRPr="00FF3BF0">
        <w:rPr>
          <w:rFonts w:ascii="Times New Roman" w:hAnsi="Times New Roman" w:cs="Times New Roman"/>
        </w:rPr>
        <w:t xml:space="preserve"> </w:t>
      </w:r>
      <w:r w:rsidR="00980C7C">
        <w:rPr>
          <w:rFonts w:ascii="Times New Roman" w:hAnsi="Times New Roman" w:cs="Times New Roman"/>
        </w:rPr>
        <w:t xml:space="preserve">Washington, DC, </w:t>
      </w:r>
      <w:r>
        <w:rPr>
          <w:rFonts w:ascii="Times New Roman" w:hAnsi="Times New Roman" w:cs="Times New Roman"/>
        </w:rPr>
        <w:t>November</w:t>
      </w:r>
      <w:r w:rsidR="00DB1DA4">
        <w:rPr>
          <w:rFonts w:ascii="Times New Roman" w:hAnsi="Times New Roman" w:cs="Times New Roman"/>
        </w:rPr>
        <w:t> </w:t>
      </w:r>
      <w:r>
        <w:rPr>
          <w:rFonts w:ascii="Times New Roman" w:hAnsi="Times New Roman" w:cs="Times New Roman"/>
        </w:rPr>
        <w:t>2016</w:t>
      </w:r>
      <w:r w:rsidR="00971EAF">
        <w:rPr>
          <w:rFonts w:ascii="Times New Roman" w:hAnsi="Times New Roman" w:cs="Times New Roman"/>
        </w:rPr>
        <w:t>.</w:t>
      </w:r>
      <w:r>
        <w:rPr>
          <w:rFonts w:ascii="Times New Roman" w:hAnsi="Times New Roman" w:cs="Times New Roman"/>
        </w:rPr>
        <w:t xml:space="preserve"> (ML16130A468)</w:t>
      </w:r>
    </w:p>
    <w:p w:rsidR="00F27912" w:rsidRPr="000D28DB" w:rsidP="0021002A" w14:paraId="6CDC0FC2" w14:textId="77777777">
      <w:pPr>
        <w:pStyle w:val="ListParagraph"/>
        <w:spacing w:line="240" w:lineRule="auto"/>
        <w:rPr>
          <w:rFonts w:ascii="Times New Roman" w:hAnsi="Times New Roman" w:cs="Times New Roman"/>
        </w:rPr>
      </w:pPr>
    </w:p>
    <w:p w:rsidR="00F27912" w:rsidRPr="003D4130" w:rsidP="002F3C90" w14:paraId="4501B07A" w14:textId="02C63157">
      <w:pPr>
        <w:pStyle w:val="ListParagraph"/>
        <w:numPr>
          <w:ilvl w:val="0"/>
          <w:numId w:val="4"/>
        </w:numPr>
        <w:spacing w:after="0" w:line="240" w:lineRule="auto"/>
        <w:ind w:hanging="720"/>
        <w:rPr>
          <w:rFonts w:ascii="Times New Roman" w:hAnsi="Times New Roman" w:cs="Times New Roman"/>
        </w:rPr>
      </w:pPr>
      <w:r w:rsidRPr="006E2BCA">
        <w:rPr>
          <w:rFonts w:ascii="Times New Roman" w:hAnsi="Times New Roman" w:cs="Times New Roman"/>
        </w:rPr>
        <w:t>A</w:t>
      </w:r>
      <w:r>
        <w:rPr>
          <w:rFonts w:ascii="Times New Roman" w:hAnsi="Times New Roman" w:cs="Times New Roman"/>
        </w:rPr>
        <w:t xml:space="preserve">merican </w:t>
      </w:r>
      <w:r w:rsidRPr="006E2BCA">
        <w:rPr>
          <w:rFonts w:ascii="Times New Roman" w:hAnsi="Times New Roman" w:cs="Times New Roman"/>
        </w:rPr>
        <w:t>S</w:t>
      </w:r>
      <w:r>
        <w:rPr>
          <w:rFonts w:ascii="Times New Roman" w:hAnsi="Times New Roman" w:cs="Times New Roman"/>
        </w:rPr>
        <w:t xml:space="preserve">ociety of </w:t>
      </w:r>
      <w:r w:rsidRPr="006E2BCA">
        <w:rPr>
          <w:rFonts w:ascii="Times New Roman" w:hAnsi="Times New Roman" w:cs="Times New Roman"/>
        </w:rPr>
        <w:t>M</w:t>
      </w:r>
      <w:r>
        <w:rPr>
          <w:rFonts w:ascii="Times New Roman" w:hAnsi="Times New Roman" w:cs="Times New Roman"/>
        </w:rPr>
        <w:t xml:space="preserve">echanical </w:t>
      </w:r>
      <w:r w:rsidRPr="006E2BCA">
        <w:rPr>
          <w:rFonts w:ascii="Times New Roman" w:hAnsi="Times New Roman" w:cs="Times New Roman"/>
        </w:rPr>
        <w:t>E</w:t>
      </w:r>
      <w:r>
        <w:rPr>
          <w:rFonts w:ascii="Times New Roman" w:hAnsi="Times New Roman" w:cs="Times New Roman"/>
        </w:rPr>
        <w:t>ngineers (ASME)</w:t>
      </w:r>
      <w:r w:rsidRPr="006E2BCA">
        <w:rPr>
          <w:rFonts w:ascii="Times New Roman" w:hAnsi="Times New Roman" w:cs="Times New Roman"/>
        </w:rPr>
        <w:t>/A</w:t>
      </w:r>
      <w:r>
        <w:rPr>
          <w:rFonts w:ascii="Times New Roman" w:hAnsi="Times New Roman" w:cs="Times New Roman"/>
        </w:rPr>
        <w:t xml:space="preserve">merican </w:t>
      </w:r>
      <w:r w:rsidRPr="006E2BCA">
        <w:rPr>
          <w:rFonts w:ascii="Times New Roman" w:hAnsi="Times New Roman" w:cs="Times New Roman"/>
        </w:rPr>
        <w:t>N</w:t>
      </w:r>
      <w:r>
        <w:rPr>
          <w:rFonts w:ascii="Times New Roman" w:hAnsi="Times New Roman" w:cs="Times New Roman"/>
        </w:rPr>
        <w:t xml:space="preserve">uclear </w:t>
      </w:r>
      <w:r w:rsidRPr="006E2BCA">
        <w:rPr>
          <w:rFonts w:ascii="Times New Roman" w:hAnsi="Times New Roman" w:cs="Times New Roman"/>
        </w:rPr>
        <w:t>S</w:t>
      </w:r>
      <w:r>
        <w:rPr>
          <w:rFonts w:ascii="Times New Roman" w:hAnsi="Times New Roman" w:cs="Times New Roman"/>
        </w:rPr>
        <w:t>ociety (ANS)</w:t>
      </w:r>
      <w:r w:rsidRPr="006E2BCA">
        <w:rPr>
          <w:rFonts w:ascii="Times New Roman" w:hAnsi="Times New Roman" w:cs="Times New Roman"/>
        </w:rPr>
        <w:t xml:space="preserve"> RA</w:t>
      </w:r>
      <w:r>
        <w:rPr>
          <w:rFonts w:ascii="Times New Roman" w:hAnsi="Times New Roman" w:cs="Times New Roman"/>
        </w:rPr>
        <w:noBreakHyphen/>
      </w:r>
      <w:r w:rsidRPr="006E2BCA">
        <w:rPr>
          <w:rFonts w:ascii="Times New Roman" w:hAnsi="Times New Roman" w:cs="Times New Roman"/>
        </w:rPr>
        <w:t>S</w:t>
      </w:r>
      <w:r>
        <w:rPr>
          <w:rFonts w:ascii="Times New Roman" w:hAnsi="Times New Roman" w:cs="Times New Roman"/>
        </w:rPr>
        <w:noBreakHyphen/>
      </w:r>
      <w:r w:rsidRPr="006E2BCA">
        <w:rPr>
          <w:rFonts w:ascii="Times New Roman" w:hAnsi="Times New Roman" w:cs="Times New Roman"/>
        </w:rPr>
        <w:t>1.4</w:t>
      </w:r>
      <w:r>
        <w:rPr>
          <w:rFonts w:ascii="Times New Roman" w:hAnsi="Times New Roman" w:cs="Times New Roman"/>
        </w:rPr>
        <w:noBreakHyphen/>
      </w:r>
      <w:r w:rsidRPr="006E2BCA">
        <w:rPr>
          <w:rFonts w:ascii="Times New Roman" w:hAnsi="Times New Roman" w:cs="Times New Roman"/>
        </w:rPr>
        <w:t xml:space="preserve">2021, “Probabilistic Risk Assessment Standard for Advanced Non-Light Water </w:t>
      </w:r>
      <w:r w:rsidRPr="006E2BCA">
        <w:rPr>
          <w:rFonts w:ascii="Times New Roman" w:hAnsi="Times New Roman" w:cs="Times New Roman"/>
        </w:rPr>
        <w:t>Reactor Nuclear Power Plants,” American Society of Mechanical Engineers and American Nuclear Society, New York, N</w:t>
      </w:r>
      <w:r>
        <w:rPr>
          <w:rFonts w:ascii="Times New Roman" w:hAnsi="Times New Roman" w:cs="Times New Roman"/>
        </w:rPr>
        <w:t xml:space="preserve">ew </w:t>
      </w:r>
      <w:r w:rsidRPr="006E2BCA">
        <w:rPr>
          <w:rFonts w:ascii="Times New Roman" w:hAnsi="Times New Roman" w:cs="Times New Roman"/>
        </w:rPr>
        <w:t>Y</w:t>
      </w:r>
      <w:r>
        <w:rPr>
          <w:rFonts w:ascii="Times New Roman" w:hAnsi="Times New Roman" w:cs="Times New Roman"/>
        </w:rPr>
        <w:t>ork</w:t>
      </w:r>
      <w:r w:rsidRPr="006E2BCA">
        <w:rPr>
          <w:rFonts w:ascii="Times New Roman" w:hAnsi="Times New Roman" w:cs="Times New Roman"/>
        </w:rPr>
        <w:t>, 2021.</w:t>
      </w:r>
      <w:r>
        <w:rPr>
          <w:rStyle w:val="FootnoteReference"/>
          <w:rFonts w:ascii="Times New Roman" w:hAnsi="Times New Roman" w:cs="Times New Roman"/>
        </w:rPr>
        <w:footnoteReference w:id="5"/>
      </w:r>
    </w:p>
    <w:p w:rsidR="002D3BE8" w:rsidP="002F3C90" w14:paraId="15B4E086" w14:textId="7C31DCEC">
      <w:pPr>
        <w:pStyle w:val="ListParagraph"/>
        <w:spacing w:after="0" w:line="240" w:lineRule="auto"/>
        <w:rPr>
          <w:rFonts w:ascii="Times New Roman" w:hAnsi="Times New Roman" w:cs="Times New Roman"/>
        </w:rPr>
      </w:pPr>
    </w:p>
    <w:p w:rsidR="002D3BE8" w:rsidP="002F3C90" w14:paraId="47807A7D" w14:textId="37AD1544">
      <w:pPr>
        <w:pStyle w:val="ListParagraph"/>
        <w:numPr>
          <w:ilvl w:val="0"/>
          <w:numId w:val="4"/>
        </w:numPr>
        <w:spacing w:after="0" w:line="240" w:lineRule="auto"/>
        <w:ind w:hanging="720"/>
        <w:rPr>
          <w:rFonts w:ascii="Times New Roman" w:hAnsi="Times New Roman" w:cs="Times New Roman"/>
        </w:rPr>
      </w:pPr>
      <w:r w:rsidRPr="00B347CE">
        <w:rPr>
          <w:rFonts w:ascii="Times New Roman" w:hAnsi="Times New Roman" w:cs="Times New Roman"/>
        </w:rPr>
        <w:t xml:space="preserve">Teller, Edward with Allen Brown, </w:t>
      </w:r>
      <w:r w:rsidRPr="00B347CE">
        <w:rPr>
          <w:rFonts w:ascii="Times New Roman" w:hAnsi="Times New Roman" w:cs="Times New Roman"/>
          <w:i/>
          <w:iCs/>
        </w:rPr>
        <w:t>The Legacy of Hiroshima</w:t>
      </w:r>
      <w:r w:rsidRPr="00B347CE">
        <w:rPr>
          <w:rFonts w:ascii="Times New Roman" w:hAnsi="Times New Roman" w:cs="Times New Roman"/>
        </w:rPr>
        <w:t>, Double Day &amp; Company, Garden City, N</w:t>
      </w:r>
      <w:r w:rsidR="00DB1DA4">
        <w:rPr>
          <w:rFonts w:ascii="Times New Roman" w:hAnsi="Times New Roman" w:cs="Times New Roman"/>
        </w:rPr>
        <w:t xml:space="preserve">ew </w:t>
      </w:r>
      <w:r w:rsidRPr="00B347CE">
        <w:rPr>
          <w:rFonts w:ascii="Times New Roman" w:hAnsi="Times New Roman" w:cs="Times New Roman"/>
        </w:rPr>
        <w:t>Y</w:t>
      </w:r>
      <w:r w:rsidR="00DB1DA4">
        <w:rPr>
          <w:rFonts w:ascii="Times New Roman" w:hAnsi="Times New Roman" w:cs="Times New Roman"/>
        </w:rPr>
        <w:t>ork</w:t>
      </w:r>
      <w:r w:rsidRPr="00B347CE">
        <w:rPr>
          <w:rFonts w:ascii="Times New Roman" w:hAnsi="Times New Roman" w:cs="Times New Roman"/>
        </w:rPr>
        <w:t>, 1964.</w:t>
      </w:r>
    </w:p>
    <w:p w:rsidR="002D3BE8" w:rsidP="002F3C90" w14:paraId="633B13C4" w14:textId="1FF55507">
      <w:pPr>
        <w:pStyle w:val="ListParagraph"/>
        <w:spacing w:after="0" w:line="240" w:lineRule="auto"/>
        <w:rPr>
          <w:rFonts w:ascii="Times New Roman" w:hAnsi="Times New Roman" w:cs="Times New Roman"/>
        </w:rPr>
      </w:pPr>
    </w:p>
    <w:p w:rsidR="002D3BE8" w:rsidRPr="001C288B" w:rsidP="002F3C90" w14:paraId="322C133F" w14:textId="3DC9E9BF">
      <w:pPr>
        <w:pStyle w:val="ListParagraph"/>
        <w:numPr>
          <w:ilvl w:val="0"/>
          <w:numId w:val="4"/>
        </w:numPr>
        <w:spacing w:after="0" w:line="240" w:lineRule="auto"/>
        <w:ind w:hanging="720"/>
        <w:rPr>
          <w:rFonts w:ascii="Times New Roman" w:hAnsi="Times New Roman" w:cs="Times New Roman"/>
        </w:rPr>
      </w:pPr>
      <w:r w:rsidRPr="001C288B">
        <w:rPr>
          <w:rFonts w:ascii="Times New Roman" w:hAnsi="Times New Roman" w:cs="Times New Roman"/>
        </w:rPr>
        <w:t>B</w:t>
      </w:r>
      <w:r w:rsidRPr="00893F4C" w:rsidR="003D03F9">
        <w:rPr>
          <w:rFonts w:ascii="Times New Roman" w:hAnsi="Times New Roman" w:cs="Times New Roman"/>
        </w:rPr>
        <w:t>eck</w:t>
      </w:r>
      <w:r w:rsidRPr="00893F4C" w:rsidR="00DB6A7B">
        <w:rPr>
          <w:rFonts w:ascii="Times New Roman" w:hAnsi="Times New Roman" w:cs="Times New Roman"/>
        </w:rPr>
        <w:t>, Clifford K.,</w:t>
      </w:r>
      <w:r w:rsidRPr="00893F4C" w:rsidR="00F372B1">
        <w:rPr>
          <w:rFonts w:ascii="Times New Roman" w:hAnsi="Times New Roman" w:cs="Times New Roman"/>
        </w:rPr>
        <w:t xml:space="preserve"> </w:t>
      </w:r>
      <w:r w:rsidRPr="00893F4C" w:rsidR="00F91802">
        <w:rPr>
          <w:rFonts w:ascii="Times New Roman" w:hAnsi="Times New Roman" w:cs="Times New Roman"/>
        </w:rPr>
        <w:t>TID</w:t>
      </w:r>
      <w:r w:rsidR="00DB1DA4">
        <w:rPr>
          <w:rFonts w:ascii="Times New Roman" w:hAnsi="Times New Roman" w:cs="Times New Roman"/>
        </w:rPr>
        <w:noBreakHyphen/>
      </w:r>
      <w:r w:rsidRPr="00893F4C" w:rsidR="00F91802">
        <w:rPr>
          <w:rFonts w:ascii="Times New Roman" w:hAnsi="Times New Roman" w:cs="Times New Roman"/>
        </w:rPr>
        <w:t xml:space="preserve">7579, </w:t>
      </w:r>
      <w:r w:rsidRPr="00893F4C" w:rsidR="00F372B1">
        <w:rPr>
          <w:rFonts w:ascii="Times New Roman" w:hAnsi="Times New Roman" w:cs="Times New Roman"/>
        </w:rPr>
        <w:t>“Safety Factors to be Considered in Reactor Siting,”</w:t>
      </w:r>
      <w:r w:rsidRPr="00893F4C" w:rsidR="003D03F9">
        <w:rPr>
          <w:rFonts w:ascii="Times New Roman" w:hAnsi="Times New Roman" w:cs="Times New Roman"/>
        </w:rPr>
        <w:t xml:space="preserve"> </w:t>
      </w:r>
      <w:r w:rsidRPr="00AC4C85" w:rsidR="00205698">
        <w:rPr>
          <w:rFonts w:ascii="Times New Roman" w:hAnsi="Times New Roman" w:cs="Times New Roman"/>
          <w:i/>
          <w:iCs/>
        </w:rPr>
        <w:t>Sixth International Congress and Exhibition of Electronics and Atomic Energy</w:t>
      </w:r>
      <w:r w:rsidRPr="00AC4C85" w:rsidR="00205698">
        <w:rPr>
          <w:rFonts w:ascii="Times New Roman" w:hAnsi="Times New Roman" w:cs="Times New Roman"/>
        </w:rPr>
        <w:t xml:space="preserve">, Rome, Italy, 1959. </w:t>
      </w:r>
      <w:r w:rsidRPr="00376CFA" w:rsidR="001D27D7">
        <w:rPr>
          <w:rFonts w:ascii="Times New Roman" w:hAnsi="Times New Roman" w:cs="Times New Roman"/>
        </w:rPr>
        <w:t xml:space="preserve">(Available at </w:t>
      </w:r>
      <w:hyperlink r:id="rId15" w:history="1">
        <w:r w:rsidRPr="001C288B" w:rsidR="00A22F0D">
          <w:rPr>
            <w:rStyle w:val="Hyperlink"/>
            <w:rFonts w:ascii="Times New Roman" w:hAnsi="Times New Roman" w:cs="Times New Roman"/>
          </w:rPr>
          <w:t>https://www.osti.gov/biblio/4200786-sixth-international-congress-exhibition-electronics-atomic-energy-rome-it</w:t>
        </w:r>
        <w:r w:rsidRPr="00893F4C" w:rsidR="00A22F0D">
          <w:rPr>
            <w:rStyle w:val="Hyperlink"/>
            <w:rFonts w:ascii="Times New Roman" w:hAnsi="Times New Roman" w:cs="Times New Roman"/>
          </w:rPr>
          <w:t>aly-june-papers</w:t>
        </w:r>
      </w:hyperlink>
      <w:r w:rsidRPr="001C288B" w:rsidR="00041ED5">
        <w:rPr>
          <w:rFonts w:ascii="Times New Roman" w:hAnsi="Times New Roman" w:cs="Times New Roman"/>
        </w:rPr>
        <w:t>)</w:t>
      </w:r>
    </w:p>
    <w:p w:rsidR="002D3BE8" w:rsidP="002F3C90" w14:paraId="29AAB0D8" w14:textId="21CBBACC">
      <w:pPr>
        <w:pStyle w:val="ListParagraph"/>
        <w:spacing w:after="0" w:line="240" w:lineRule="auto"/>
        <w:rPr>
          <w:rFonts w:ascii="Times New Roman" w:hAnsi="Times New Roman" w:cs="Times New Roman"/>
        </w:rPr>
      </w:pPr>
    </w:p>
    <w:p w:rsidR="003E4C4B" w:rsidP="002F3C90" w14:paraId="5CF28958" w14:textId="48F66C7D">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A</w:t>
      </w:r>
      <w:r w:rsidR="00134EE1">
        <w:rPr>
          <w:rFonts w:ascii="Times New Roman" w:hAnsi="Times New Roman" w:cs="Times New Roman"/>
        </w:rPr>
        <w:t>tomic Energy Commission (AEC), “</w:t>
      </w:r>
      <w:r w:rsidR="00387F12">
        <w:rPr>
          <w:rFonts w:ascii="Times New Roman" w:hAnsi="Times New Roman" w:cs="Times New Roman"/>
        </w:rPr>
        <w:t>A Guide for the Organization and Contents of Safety Analysis Reports,</w:t>
      </w:r>
      <w:r w:rsidR="00A54354">
        <w:rPr>
          <w:rFonts w:ascii="Times New Roman" w:hAnsi="Times New Roman" w:cs="Times New Roman"/>
        </w:rPr>
        <w:t>” June</w:t>
      </w:r>
      <w:r w:rsidR="00DB1DA4">
        <w:rPr>
          <w:rFonts w:ascii="Times New Roman" w:hAnsi="Times New Roman" w:cs="Times New Roman"/>
        </w:rPr>
        <w:t> </w:t>
      </w:r>
      <w:r w:rsidR="00A54354">
        <w:rPr>
          <w:rFonts w:ascii="Times New Roman" w:hAnsi="Times New Roman" w:cs="Times New Roman"/>
        </w:rPr>
        <w:t>30,</w:t>
      </w:r>
      <w:r w:rsidR="00DB1DA4">
        <w:rPr>
          <w:rFonts w:ascii="Times New Roman" w:hAnsi="Times New Roman" w:cs="Times New Roman"/>
        </w:rPr>
        <w:t> </w:t>
      </w:r>
      <w:r w:rsidR="00A54354">
        <w:rPr>
          <w:rFonts w:ascii="Times New Roman" w:hAnsi="Times New Roman" w:cs="Times New Roman"/>
        </w:rPr>
        <w:t>1966</w:t>
      </w:r>
      <w:r w:rsidR="00E852A1">
        <w:rPr>
          <w:rFonts w:ascii="Times New Roman" w:hAnsi="Times New Roman" w:cs="Times New Roman"/>
        </w:rPr>
        <w:t>.</w:t>
      </w:r>
      <w:r w:rsidR="00A54354">
        <w:rPr>
          <w:rFonts w:ascii="Times New Roman" w:hAnsi="Times New Roman" w:cs="Times New Roman"/>
        </w:rPr>
        <w:t xml:space="preserve"> (</w:t>
      </w:r>
      <w:r w:rsidRPr="00F81675">
        <w:rPr>
          <w:rFonts w:ascii="Times New Roman" w:hAnsi="Times New Roman" w:cs="Times New Roman"/>
        </w:rPr>
        <w:t>ML11255A064</w:t>
      </w:r>
      <w:r w:rsidR="00A02AF2">
        <w:rPr>
          <w:rFonts w:ascii="Times New Roman" w:hAnsi="Times New Roman" w:cs="Times New Roman"/>
        </w:rPr>
        <w:t>)</w:t>
      </w:r>
    </w:p>
    <w:p w:rsidR="00F81675" w:rsidP="002F3C90" w14:paraId="6B767AF1" w14:textId="2B54047A">
      <w:pPr>
        <w:pStyle w:val="ListParagraph"/>
        <w:spacing w:after="0" w:line="240" w:lineRule="auto"/>
        <w:rPr>
          <w:rFonts w:ascii="Times New Roman" w:hAnsi="Times New Roman" w:cs="Times New Roman"/>
        </w:rPr>
      </w:pPr>
    </w:p>
    <w:p w:rsidR="00F81675" w:rsidP="002F3C90" w14:paraId="1B49FC17" w14:textId="4C22341A">
      <w:pPr>
        <w:pStyle w:val="ListParagraph"/>
        <w:numPr>
          <w:ilvl w:val="0"/>
          <w:numId w:val="4"/>
        </w:numPr>
        <w:spacing w:after="0" w:line="240" w:lineRule="auto"/>
        <w:ind w:hanging="720"/>
        <w:rPr>
          <w:rFonts w:ascii="Times New Roman" w:hAnsi="Times New Roman" w:cs="Times New Roman"/>
        </w:rPr>
      </w:pPr>
      <w:r w:rsidRPr="414B6A8B">
        <w:rPr>
          <w:rFonts w:ascii="Times New Roman" w:hAnsi="Times New Roman" w:cs="Times New Roman"/>
        </w:rPr>
        <w:t>Morris, P.L.</w:t>
      </w:r>
      <w:r w:rsidRPr="414B6A8B" w:rsidR="000D2358">
        <w:rPr>
          <w:rFonts w:ascii="Times New Roman" w:hAnsi="Times New Roman" w:cs="Times New Roman"/>
        </w:rPr>
        <w:t xml:space="preserve"> (</w:t>
      </w:r>
      <w:r w:rsidRPr="414B6A8B" w:rsidR="00B138FB">
        <w:rPr>
          <w:rFonts w:ascii="Times New Roman" w:hAnsi="Times New Roman" w:cs="Times New Roman"/>
        </w:rPr>
        <w:t xml:space="preserve">Director, </w:t>
      </w:r>
      <w:r w:rsidRPr="414B6A8B" w:rsidR="008C0E01">
        <w:rPr>
          <w:rFonts w:ascii="Times New Roman" w:hAnsi="Times New Roman" w:cs="Times New Roman"/>
        </w:rPr>
        <w:t>AEC Division of Reactor Licensing</w:t>
      </w:r>
      <w:r w:rsidRPr="414B6A8B" w:rsidR="000D2358">
        <w:rPr>
          <w:rFonts w:ascii="Times New Roman" w:hAnsi="Times New Roman" w:cs="Times New Roman"/>
        </w:rPr>
        <w:t xml:space="preserve">), </w:t>
      </w:r>
      <w:r w:rsidRPr="414B6A8B">
        <w:rPr>
          <w:rFonts w:ascii="Times New Roman" w:hAnsi="Times New Roman" w:cs="Times New Roman"/>
        </w:rPr>
        <w:t xml:space="preserve">“Plan </w:t>
      </w:r>
      <w:r w:rsidR="00E7020C">
        <w:rPr>
          <w:rFonts w:ascii="Times New Roman" w:hAnsi="Times New Roman" w:cs="Times New Roman"/>
        </w:rPr>
        <w:t>for Preparation of a</w:t>
      </w:r>
      <w:r w:rsidRPr="414B6A8B" w:rsidR="000D2358">
        <w:rPr>
          <w:rFonts w:ascii="Times New Roman" w:hAnsi="Times New Roman" w:cs="Times New Roman"/>
        </w:rPr>
        <w:t xml:space="preserve"> Standard</w:t>
      </w:r>
      <w:r w:rsidRPr="414B6A8B" w:rsidR="001A3D6E">
        <w:rPr>
          <w:rFonts w:ascii="Times New Roman" w:hAnsi="Times New Roman" w:cs="Times New Roman"/>
        </w:rPr>
        <w:t>ized</w:t>
      </w:r>
      <w:r w:rsidRPr="414B6A8B" w:rsidR="000D2358">
        <w:rPr>
          <w:rFonts w:ascii="Times New Roman" w:hAnsi="Times New Roman" w:cs="Times New Roman"/>
        </w:rPr>
        <w:t xml:space="preserve"> Review Plan,” </w:t>
      </w:r>
      <w:r w:rsidRPr="414B6A8B" w:rsidR="001A3D6E">
        <w:rPr>
          <w:rFonts w:ascii="Times New Roman" w:hAnsi="Times New Roman" w:cs="Times New Roman"/>
        </w:rPr>
        <w:t>December</w:t>
      </w:r>
      <w:r w:rsidR="00DB1DA4">
        <w:rPr>
          <w:rFonts w:ascii="Times New Roman" w:hAnsi="Times New Roman" w:cs="Times New Roman"/>
        </w:rPr>
        <w:t> </w:t>
      </w:r>
      <w:r w:rsidRPr="414B6A8B" w:rsidR="00B138FB">
        <w:rPr>
          <w:rFonts w:ascii="Times New Roman" w:hAnsi="Times New Roman" w:cs="Times New Roman"/>
        </w:rPr>
        <w:t>19,</w:t>
      </w:r>
      <w:r w:rsidR="00DB1DA4">
        <w:rPr>
          <w:rFonts w:ascii="Times New Roman" w:hAnsi="Times New Roman" w:cs="Times New Roman"/>
        </w:rPr>
        <w:t> </w:t>
      </w:r>
      <w:r w:rsidRPr="414B6A8B" w:rsidR="00B138FB">
        <w:rPr>
          <w:rFonts w:ascii="Times New Roman" w:hAnsi="Times New Roman" w:cs="Times New Roman"/>
        </w:rPr>
        <w:t>1969</w:t>
      </w:r>
      <w:r w:rsidR="00E852A1">
        <w:rPr>
          <w:rFonts w:ascii="Times New Roman" w:hAnsi="Times New Roman" w:cs="Times New Roman"/>
        </w:rPr>
        <w:t>.</w:t>
      </w:r>
      <w:r w:rsidRPr="414B6A8B" w:rsidR="00960B28">
        <w:rPr>
          <w:rFonts w:ascii="Times New Roman" w:hAnsi="Times New Roman" w:cs="Times New Roman"/>
        </w:rPr>
        <w:t xml:space="preserve"> </w:t>
      </w:r>
      <w:r w:rsidRPr="414B6A8B">
        <w:rPr>
          <w:rFonts w:ascii="Times New Roman" w:hAnsi="Times New Roman" w:cs="Times New Roman"/>
        </w:rPr>
        <w:t>(</w:t>
      </w:r>
      <w:r w:rsidRPr="414B6A8B" w:rsidR="00960B28">
        <w:rPr>
          <w:rFonts w:ascii="Times New Roman" w:hAnsi="Times New Roman" w:cs="Times New Roman"/>
        </w:rPr>
        <w:t>ML19308B888</w:t>
      </w:r>
      <w:r w:rsidRPr="414B6A8B">
        <w:rPr>
          <w:rFonts w:ascii="Times New Roman" w:hAnsi="Times New Roman" w:cs="Times New Roman"/>
        </w:rPr>
        <w:t>)</w:t>
      </w:r>
    </w:p>
    <w:p w:rsidR="005D4E63" w:rsidRPr="00D15BFC" w:rsidP="0021002A" w14:paraId="7110872D" w14:textId="77777777">
      <w:pPr>
        <w:pStyle w:val="ListParagraph"/>
        <w:spacing w:line="240" w:lineRule="auto"/>
        <w:rPr>
          <w:rFonts w:ascii="Times New Roman" w:hAnsi="Times New Roman" w:cs="Times New Roman"/>
        </w:rPr>
      </w:pPr>
    </w:p>
    <w:p w:rsidR="005D4E63" w:rsidP="002F3C90" w14:paraId="09A3EEE5" w14:textId="455A0C4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NUREG</w:t>
      </w:r>
      <w:r>
        <w:rPr>
          <w:rFonts w:ascii="Times New Roman" w:hAnsi="Times New Roman" w:cs="Times New Roman"/>
        </w:rPr>
        <w:noBreakHyphen/>
        <w:t>75/087, “</w:t>
      </w:r>
      <w:r w:rsidRPr="004B5234">
        <w:rPr>
          <w:rFonts w:ascii="Times New Roman" w:hAnsi="Times New Roman" w:cs="Times New Roman"/>
        </w:rPr>
        <w:t xml:space="preserve">Standard Review Plan </w:t>
      </w:r>
      <w:r>
        <w:rPr>
          <w:rFonts w:ascii="Times New Roman" w:hAnsi="Times New Roman" w:cs="Times New Roman"/>
        </w:rPr>
        <w:t>f</w:t>
      </w:r>
      <w:r w:rsidRPr="004B5234">
        <w:rPr>
          <w:rFonts w:ascii="Times New Roman" w:hAnsi="Times New Roman" w:cs="Times New Roman"/>
        </w:rPr>
        <w:t xml:space="preserve">or </w:t>
      </w:r>
      <w:r>
        <w:rPr>
          <w:rFonts w:ascii="Times New Roman" w:hAnsi="Times New Roman" w:cs="Times New Roman"/>
        </w:rPr>
        <w:t>t</w:t>
      </w:r>
      <w:r w:rsidRPr="004B5234">
        <w:rPr>
          <w:rFonts w:ascii="Times New Roman" w:hAnsi="Times New Roman" w:cs="Times New Roman"/>
        </w:rPr>
        <w:t>he</w:t>
      </w:r>
      <w:r>
        <w:rPr>
          <w:rFonts w:ascii="Times New Roman" w:hAnsi="Times New Roman" w:cs="Times New Roman"/>
        </w:rPr>
        <w:t xml:space="preserve"> </w:t>
      </w:r>
      <w:r w:rsidRPr="004B5234">
        <w:rPr>
          <w:rFonts w:ascii="Times New Roman" w:hAnsi="Times New Roman" w:cs="Times New Roman"/>
        </w:rPr>
        <w:t xml:space="preserve">Review </w:t>
      </w:r>
      <w:r>
        <w:rPr>
          <w:rFonts w:ascii="Times New Roman" w:hAnsi="Times New Roman" w:cs="Times New Roman"/>
        </w:rPr>
        <w:t>o</w:t>
      </w:r>
      <w:r w:rsidRPr="004B5234">
        <w:rPr>
          <w:rFonts w:ascii="Times New Roman" w:hAnsi="Times New Roman" w:cs="Times New Roman"/>
        </w:rPr>
        <w:t>f Safety Analysis Reports</w:t>
      </w:r>
      <w:r>
        <w:rPr>
          <w:rFonts w:ascii="Times New Roman" w:hAnsi="Times New Roman" w:cs="Times New Roman"/>
        </w:rPr>
        <w:t xml:space="preserve"> f</w:t>
      </w:r>
      <w:r w:rsidRPr="004B5234">
        <w:rPr>
          <w:rFonts w:ascii="Times New Roman" w:hAnsi="Times New Roman" w:cs="Times New Roman"/>
        </w:rPr>
        <w:t>or Nuclear Power Plants</w:t>
      </w:r>
      <w:r>
        <w:rPr>
          <w:rFonts w:ascii="Times New Roman" w:hAnsi="Times New Roman" w:cs="Times New Roman"/>
        </w:rPr>
        <w:t xml:space="preserve">: LWR Edition,” Washington, DC. </w:t>
      </w:r>
      <w:r w:rsidR="0086171F">
        <w:rPr>
          <w:rFonts w:ascii="Times New Roman" w:hAnsi="Times New Roman" w:cs="Times New Roman"/>
        </w:rPr>
        <w:t xml:space="preserve">(Available at </w:t>
      </w:r>
      <w:hyperlink r:id="rId16" w:history="1">
        <w:r w:rsidRPr="00422A28" w:rsidR="00DD221A">
          <w:rPr>
            <w:rStyle w:val="Hyperlink"/>
            <w:rFonts w:ascii="Times New Roman" w:hAnsi="Times New Roman" w:cs="Times New Roman"/>
          </w:rPr>
          <w:t>https://www.nrc.gov/docs/ML0815/ML081510817.pdf</w:t>
        </w:r>
      </w:hyperlink>
      <w:r w:rsidR="0086171F">
        <w:rPr>
          <w:rFonts w:ascii="Times New Roman" w:hAnsi="Times New Roman" w:cs="Times New Roman"/>
        </w:rPr>
        <w:t>)</w:t>
      </w:r>
    </w:p>
    <w:p w:rsidR="00616CF1" w:rsidP="002F3C90" w14:paraId="3F298B2A" w14:textId="080D2E91">
      <w:pPr>
        <w:pStyle w:val="ListParagraph"/>
        <w:spacing w:after="0" w:line="240" w:lineRule="auto"/>
        <w:rPr>
          <w:rFonts w:ascii="Times New Roman" w:hAnsi="Times New Roman" w:cs="Times New Roman"/>
        </w:rPr>
      </w:pPr>
    </w:p>
    <w:p w:rsidR="00616CF1" w:rsidP="002F3C90" w14:paraId="266DF69D" w14:textId="569DE50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A</w:t>
      </w:r>
      <w:r w:rsidR="006D74A3">
        <w:rPr>
          <w:rFonts w:ascii="Times New Roman" w:hAnsi="Times New Roman" w:cs="Times New Roman"/>
        </w:rPr>
        <w:t>dvisory Committee on Reactor Safeguards (A</w:t>
      </w:r>
      <w:r>
        <w:rPr>
          <w:rFonts w:ascii="Times New Roman" w:hAnsi="Times New Roman" w:cs="Times New Roman"/>
        </w:rPr>
        <w:t>CRS</w:t>
      </w:r>
      <w:r w:rsidR="006D74A3">
        <w:rPr>
          <w:rFonts w:ascii="Times New Roman" w:hAnsi="Times New Roman" w:cs="Times New Roman"/>
        </w:rPr>
        <w:t>)</w:t>
      </w:r>
      <w:r w:rsidR="00057937">
        <w:rPr>
          <w:rFonts w:ascii="Times New Roman" w:hAnsi="Times New Roman" w:cs="Times New Roman"/>
        </w:rPr>
        <w:t xml:space="preserve"> Letter Report</w:t>
      </w:r>
      <w:r w:rsidR="006D74A3">
        <w:rPr>
          <w:rFonts w:ascii="Times New Roman" w:hAnsi="Times New Roman" w:cs="Times New Roman"/>
        </w:rPr>
        <w:t>, “</w:t>
      </w:r>
      <w:r w:rsidRPr="00092D68" w:rsidR="00092D68">
        <w:rPr>
          <w:rFonts w:ascii="Times New Roman" w:hAnsi="Times New Roman" w:cs="Times New Roman"/>
        </w:rPr>
        <w:t xml:space="preserve">Review </w:t>
      </w:r>
      <w:r w:rsidR="00BD6BA3">
        <w:rPr>
          <w:rFonts w:ascii="Times New Roman" w:hAnsi="Times New Roman" w:cs="Times New Roman"/>
        </w:rPr>
        <w:t>o</w:t>
      </w:r>
      <w:r w:rsidRPr="00092D68" w:rsidR="00092D68">
        <w:rPr>
          <w:rFonts w:ascii="Times New Roman" w:hAnsi="Times New Roman" w:cs="Times New Roman"/>
        </w:rPr>
        <w:t xml:space="preserve">f Draft SECY Paper, </w:t>
      </w:r>
      <w:r w:rsidR="00092D68">
        <w:rPr>
          <w:rFonts w:ascii="Times New Roman" w:hAnsi="Times New Roman" w:cs="Times New Roman"/>
        </w:rPr>
        <w:t>‘</w:t>
      </w:r>
      <w:r w:rsidRPr="00092D68" w:rsidR="00092D68">
        <w:rPr>
          <w:rFonts w:ascii="Times New Roman" w:hAnsi="Times New Roman" w:cs="Times New Roman"/>
        </w:rPr>
        <w:t>Population</w:t>
      </w:r>
      <w:r w:rsidR="004F540F">
        <w:rPr>
          <w:rFonts w:ascii="Times New Roman" w:hAnsi="Times New Roman" w:cs="Times New Roman"/>
        </w:rPr>
        <w:t>-</w:t>
      </w:r>
      <w:r w:rsidRPr="00092D68" w:rsidR="00092D68">
        <w:rPr>
          <w:rFonts w:ascii="Times New Roman" w:hAnsi="Times New Roman" w:cs="Times New Roman"/>
        </w:rPr>
        <w:t xml:space="preserve">Related Siting Considerations </w:t>
      </w:r>
      <w:r w:rsidR="00BD6BA3">
        <w:rPr>
          <w:rFonts w:ascii="Times New Roman" w:hAnsi="Times New Roman" w:cs="Times New Roman"/>
        </w:rPr>
        <w:t>f</w:t>
      </w:r>
      <w:r w:rsidRPr="00092D68" w:rsidR="00092D68">
        <w:rPr>
          <w:rFonts w:ascii="Times New Roman" w:hAnsi="Times New Roman" w:cs="Times New Roman"/>
        </w:rPr>
        <w:t>or Advanced Reactors</w:t>
      </w:r>
      <w:r w:rsidR="001F60DB">
        <w:rPr>
          <w:rFonts w:ascii="Times New Roman" w:hAnsi="Times New Roman" w:cs="Times New Roman"/>
        </w:rPr>
        <w:t>,</w:t>
      </w:r>
      <w:r w:rsidR="00092D68">
        <w:rPr>
          <w:rFonts w:ascii="Times New Roman" w:hAnsi="Times New Roman" w:cs="Times New Roman"/>
        </w:rPr>
        <w:t>’</w:t>
      </w:r>
      <w:r w:rsidR="0051577E">
        <w:rPr>
          <w:rFonts w:ascii="Times New Roman" w:hAnsi="Times New Roman" w:cs="Times New Roman"/>
        </w:rPr>
        <w:t>”</w:t>
      </w:r>
      <w:r>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51577E">
        <w:rPr>
          <w:rFonts w:ascii="Times New Roman" w:hAnsi="Times New Roman" w:cs="Times New Roman"/>
        </w:rPr>
        <w:t>October</w:t>
      </w:r>
      <w:r w:rsidR="00DB1DA4">
        <w:rPr>
          <w:rFonts w:ascii="Times New Roman" w:hAnsi="Times New Roman" w:cs="Times New Roman"/>
        </w:rPr>
        <w:t> </w:t>
      </w:r>
      <w:r w:rsidR="0051577E">
        <w:rPr>
          <w:rFonts w:ascii="Times New Roman" w:hAnsi="Times New Roman" w:cs="Times New Roman"/>
        </w:rPr>
        <w:t>7,</w:t>
      </w:r>
      <w:r w:rsidR="00DB1DA4">
        <w:rPr>
          <w:rFonts w:ascii="Times New Roman" w:hAnsi="Times New Roman" w:cs="Times New Roman"/>
        </w:rPr>
        <w:t> </w:t>
      </w:r>
      <w:r w:rsidR="0051577E">
        <w:rPr>
          <w:rFonts w:ascii="Times New Roman" w:hAnsi="Times New Roman" w:cs="Times New Roman"/>
        </w:rPr>
        <w:t>2019</w:t>
      </w:r>
      <w:r w:rsidR="00E852A1">
        <w:rPr>
          <w:rFonts w:ascii="Times New Roman" w:hAnsi="Times New Roman" w:cs="Times New Roman"/>
        </w:rPr>
        <w:t>.</w:t>
      </w:r>
      <w:r w:rsidR="0051577E">
        <w:rPr>
          <w:rFonts w:ascii="Times New Roman" w:hAnsi="Times New Roman" w:cs="Times New Roman"/>
        </w:rPr>
        <w:t xml:space="preserve"> (</w:t>
      </w:r>
      <w:r w:rsidR="00F53D5D">
        <w:rPr>
          <w:rFonts w:ascii="Times New Roman" w:hAnsi="Times New Roman" w:cs="Times New Roman"/>
        </w:rPr>
        <w:t>ML19277</w:t>
      </w:r>
      <w:r w:rsidR="00307E36">
        <w:rPr>
          <w:rFonts w:ascii="Times New Roman" w:hAnsi="Times New Roman" w:cs="Times New Roman"/>
        </w:rPr>
        <w:t>H0</w:t>
      </w:r>
      <w:r w:rsidR="00CD7A0E">
        <w:rPr>
          <w:rFonts w:ascii="Times New Roman" w:hAnsi="Times New Roman" w:cs="Times New Roman"/>
        </w:rPr>
        <w:t>3</w:t>
      </w:r>
      <w:r w:rsidR="00307E36">
        <w:rPr>
          <w:rFonts w:ascii="Times New Roman" w:hAnsi="Times New Roman" w:cs="Times New Roman"/>
        </w:rPr>
        <w:t>1)</w:t>
      </w:r>
    </w:p>
    <w:p w:rsidR="00616CF1" w:rsidP="002F3C90" w14:paraId="144DB74B" w14:textId="626CEEAC">
      <w:pPr>
        <w:pStyle w:val="ListParagraph"/>
        <w:spacing w:after="0" w:line="240" w:lineRule="auto"/>
        <w:rPr>
          <w:rFonts w:ascii="Times New Roman" w:hAnsi="Times New Roman" w:cs="Times New Roman"/>
        </w:rPr>
      </w:pPr>
    </w:p>
    <w:p w:rsidR="004104AE" w:rsidRPr="007F3A2B" w:rsidP="002F3C90" w14:paraId="0E7E079E" w14:textId="2E35AD5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w:t>
      </w:r>
      <w:r w:rsidRPr="007F3A2B">
        <w:rPr>
          <w:rFonts w:ascii="Times New Roman" w:hAnsi="Times New Roman" w:cs="Times New Roman"/>
        </w:rPr>
        <w:t xml:space="preserve">, </w:t>
      </w:r>
      <w:r w:rsidR="004F540F">
        <w:rPr>
          <w:rFonts w:ascii="Times New Roman" w:hAnsi="Times New Roman" w:cs="Times New Roman"/>
        </w:rPr>
        <w:t>“</w:t>
      </w:r>
      <w:r w:rsidRPr="007F3A2B">
        <w:rPr>
          <w:rFonts w:ascii="Times New Roman" w:hAnsi="Times New Roman" w:cs="Times New Roman"/>
        </w:rPr>
        <w:t>NRC Vision and Strategy: Safely Achieving Effective</w:t>
      </w:r>
      <w:r>
        <w:rPr>
          <w:rFonts w:ascii="Times New Roman" w:hAnsi="Times New Roman" w:cs="Times New Roman"/>
        </w:rPr>
        <w:t xml:space="preserve"> </w:t>
      </w:r>
      <w:r w:rsidRPr="007F3A2B">
        <w:rPr>
          <w:rFonts w:ascii="Times New Roman" w:hAnsi="Times New Roman" w:cs="Times New Roman"/>
        </w:rPr>
        <w:t>and Efficient Non-Light Water Reactor Mission Readiness,</w:t>
      </w:r>
      <w:r w:rsidR="00E852A1">
        <w:rPr>
          <w:rFonts w:ascii="Times New Roman" w:hAnsi="Times New Roman" w:cs="Times New Roman"/>
        </w:rPr>
        <w:t>”</w:t>
      </w:r>
      <w:r w:rsidRPr="007F3A2B">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Pr="007F3A2B">
        <w:rPr>
          <w:rFonts w:ascii="Times New Roman" w:hAnsi="Times New Roman" w:cs="Times New Roman"/>
        </w:rPr>
        <w:t>December</w:t>
      </w:r>
      <w:r w:rsidR="00DB1DA4">
        <w:rPr>
          <w:rFonts w:ascii="Times New Roman" w:hAnsi="Times New Roman" w:cs="Times New Roman"/>
        </w:rPr>
        <w:t> </w:t>
      </w:r>
      <w:r w:rsidRPr="007F3A2B">
        <w:rPr>
          <w:rFonts w:ascii="Times New Roman" w:hAnsi="Times New Roman" w:cs="Times New Roman"/>
        </w:rPr>
        <w:t>21,</w:t>
      </w:r>
      <w:r w:rsidR="00DB1DA4">
        <w:rPr>
          <w:rFonts w:ascii="Times New Roman" w:hAnsi="Times New Roman" w:cs="Times New Roman"/>
        </w:rPr>
        <w:t> </w:t>
      </w:r>
      <w:r w:rsidRPr="007F3A2B">
        <w:rPr>
          <w:rFonts w:ascii="Times New Roman" w:hAnsi="Times New Roman" w:cs="Times New Roman"/>
        </w:rPr>
        <w:t>2016</w:t>
      </w:r>
      <w:r w:rsidR="00E852A1">
        <w:rPr>
          <w:rFonts w:ascii="Times New Roman" w:hAnsi="Times New Roman" w:cs="Times New Roman"/>
        </w:rPr>
        <w:t>.</w:t>
      </w:r>
      <w:r w:rsidRPr="007F3A2B">
        <w:rPr>
          <w:rFonts w:ascii="Times New Roman" w:hAnsi="Times New Roman" w:cs="Times New Roman"/>
        </w:rPr>
        <w:t xml:space="preserve"> (ML16356A670)</w:t>
      </w:r>
    </w:p>
    <w:p w:rsidR="004104AE" w:rsidRPr="00983F1D" w:rsidP="002F3C90" w14:paraId="50C3826A" w14:textId="77777777">
      <w:pPr>
        <w:pStyle w:val="ListParagraph"/>
        <w:spacing w:line="240" w:lineRule="auto"/>
        <w:rPr>
          <w:rFonts w:ascii="Times New Roman" w:hAnsi="Times New Roman" w:cs="Times New Roman"/>
        </w:rPr>
      </w:pPr>
    </w:p>
    <w:p w:rsidR="00616CF1" w:rsidP="002F3C90" w14:paraId="0F0351EB" w14:textId="412C2AE3">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6054AD">
        <w:rPr>
          <w:rFonts w:ascii="Times New Roman" w:hAnsi="Times New Roman" w:cs="Times New Roman"/>
        </w:rPr>
        <w:t>Letter Report, “</w:t>
      </w:r>
      <w:r w:rsidRPr="00746917" w:rsidR="00746917">
        <w:rPr>
          <w:rFonts w:ascii="Times New Roman" w:hAnsi="Times New Roman" w:cs="Times New Roman"/>
        </w:rPr>
        <w:t>10 CFR Part</w:t>
      </w:r>
      <w:r w:rsidR="00DB1DA4">
        <w:rPr>
          <w:rFonts w:ascii="Times New Roman" w:hAnsi="Times New Roman" w:cs="Times New Roman"/>
        </w:rPr>
        <w:t> </w:t>
      </w:r>
      <w:r w:rsidRPr="00746917" w:rsidR="00746917">
        <w:rPr>
          <w:rFonts w:ascii="Times New Roman" w:hAnsi="Times New Roman" w:cs="Times New Roman"/>
        </w:rPr>
        <w:t>53 Licensing and Regulation of Advanced Nuclear Reactors</w:t>
      </w:r>
      <w:r w:rsidR="00746917">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6054AD">
        <w:rPr>
          <w:rFonts w:ascii="Times New Roman" w:hAnsi="Times New Roman" w:cs="Times New Roman"/>
        </w:rPr>
        <w:t>October</w:t>
      </w:r>
      <w:r w:rsidR="00DB1DA4">
        <w:rPr>
          <w:rFonts w:ascii="Times New Roman" w:hAnsi="Times New Roman" w:cs="Times New Roman"/>
        </w:rPr>
        <w:t> </w:t>
      </w:r>
      <w:r w:rsidR="006054AD">
        <w:rPr>
          <w:rFonts w:ascii="Times New Roman" w:hAnsi="Times New Roman" w:cs="Times New Roman"/>
        </w:rPr>
        <w:t>21,</w:t>
      </w:r>
      <w:r w:rsidR="00DB1DA4">
        <w:rPr>
          <w:rFonts w:ascii="Times New Roman" w:hAnsi="Times New Roman" w:cs="Times New Roman"/>
        </w:rPr>
        <w:t> </w:t>
      </w:r>
      <w:r w:rsidR="006054AD">
        <w:rPr>
          <w:rFonts w:ascii="Times New Roman" w:hAnsi="Times New Roman" w:cs="Times New Roman"/>
        </w:rPr>
        <w:t>2020</w:t>
      </w:r>
      <w:r w:rsidR="00E852A1">
        <w:rPr>
          <w:rFonts w:ascii="Times New Roman" w:hAnsi="Times New Roman" w:cs="Times New Roman"/>
        </w:rPr>
        <w:t>.</w:t>
      </w:r>
      <w:r w:rsidR="00E64924">
        <w:rPr>
          <w:rFonts w:ascii="Times New Roman" w:hAnsi="Times New Roman" w:cs="Times New Roman"/>
        </w:rPr>
        <w:t xml:space="preserve"> (ML20295A647)</w:t>
      </w:r>
    </w:p>
    <w:p w:rsidR="00616CF1" w:rsidP="002F3C90" w14:paraId="0443623B" w14:textId="07805C98">
      <w:pPr>
        <w:pStyle w:val="ListParagraph"/>
        <w:spacing w:after="0" w:line="240" w:lineRule="auto"/>
        <w:rPr>
          <w:rFonts w:ascii="Times New Roman" w:hAnsi="Times New Roman" w:cs="Times New Roman"/>
        </w:rPr>
      </w:pPr>
    </w:p>
    <w:p w:rsidR="00616CF1" w:rsidP="002F3C90" w14:paraId="75A25C5E" w14:textId="40353E0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4430AE">
        <w:rPr>
          <w:rFonts w:ascii="Times New Roman" w:hAnsi="Times New Roman" w:cs="Times New Roman"/>
        </w:rPr>
        <w:t>Letter Report, “</w:t>
      </w:r>
      <w:r w:rsidRPr="00253511" w:rsidR="00253511">
        <w:rPr>
          <w:rFonts w:ascii="Times New Roman" w:hAnsi="Times New Roman" w:cs="Times New Roman"/>
        </w:rPr>
        <w:t>Preliminary Proposed Rule Language for 10</w:t>
      </w:r>
      <w:r w:rsidR="00DB1DA4">
        <w:rPr>
          <w:rFonts w:ascii="Times New Roman" w:hAnsi="Times New Roman" w:cs="Times New Roman"/>
        </w:rPr>
        <w:t> </w:t>
      </w:r>
      <w:r w:rsidRPr="00253511" w:rsidR="00253511">
        <w:rPr>
          <w:rFonts w:ascii="Times New Roman" w:hAnsi="Times New Roman" w:cs="Times New Roman"/>
        </w:rPr>
        <w:t>CFR</w:t>
      </w:r>
      <w:r w:rsidR="00DB1DA4">
        <w:rPr>
          <w:rFonts w:ascii="Times New Roman" w:hAnsi="Times New Roman" w:cs="Times New Roman"/>
        </w:rPr>
        <w:t> </w:t>
      </w:r>
      <w:r w:rsidRPr="00253511" w:rsidR="00253511">
        <w:rPr>
          <w:rFonts w:ascii="Times New Roman" w:hAnsi="Times New Roman" w:cs="Times New Roman"/>
        </w:rPr>
        <w:t>Part</w:t>
      </w:r>
      <w:r w:rsidR="00DB1DA4">
        <w:rPr>
          <w:rFonts w:ascii="Times New Roman" w:hAnsi="Times New Roman" w:cs="Times New Roman"/>
        </w:rPr>
        <w:t> </w:t>
      </w:r>
      <w:r w:rsidRPr="00253511" w:rsidR="00253511">
        <w:rPr>
          <w:rFonts w:ascii="Times New Roman" w:hAnsi="Times New Roman" w:cs="Times New Roman"/>
        </w:rPr>
        <w:t xml:space="preserve">53, </w:t>
      </w:r>
      <w:r w:rsidR="00253511">
        <w:rPr>
          <w:rFonts w:ascii="Times New Roman" w:hAnsi="Times New Roman" w:cs="Times New Roman"/>
        </w:rPr>
        <w:t>‘</w:t>
      </w:r>
      <w:r w:rsidRPr="00253511" w:rsidR="00253511">
        <w:rPr>
          <w:rFonts w:ascii="Times New Roman" w:hAnsi="Times New Roman" w:cs="Times New Roman"/>
        </w:rPr>
        <w:t>Licensing and Regulation of Advanced Nuclear Reactors,</w:t>
      </w:r>
      <w:r w:rsidR="0030342D">
        <w:rPr>
          <w:rFonts w:ascii="Times New Roman" w:hAnsi="Times New Roman" w:cs="Times New Roman"/>
        </w:rPr>
        <w:t>’</w:t>
      </w:r>
      <w:r w:rsidRPr="00253511" w:rsidR="00253511">
        <w:rPr>
          <w:rFonts w:ascii="Times New Roman" w:hAnsi="Times New Roman" w:cs="Times New Roman"/>
        </w:rPr>
        <w:t xml:space="preserve"> Interim Report</w:t>
      </w:r>
      <w:r w:rsidR="0030342D">
        <w:rPr>
          <w:rFonts w:ascii="Times New Roman" w:hAnsi="Times New Roman" w:cs="Times New Roman"/>
        </w:rPr>
        <w:t>,”</w:t>
      </w:r>
      <w:r w:rsidRPr="00253511" w:rsidR="00253511">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30342D">
        <w:rPr>
          <w:rFonts w:ascii="Times New Roman" w:hAnsi="Times New Roman" w:cs="Times New Roman"/>
        </w:rPr>
        <w:t>Ma</w:t>
      </w:r>
      <w:r w:rsidR="00203F79">
        <w:rPr>
          <w:rFonts w:ascii="Times New Roman" w:hAnsi="Times New Roman" w:cs="Times New Roman"/>
        </w:rPr>
        <w:t>y</w:t>
      </w:r>
      <w:r w:rsidR="00DB1DA4">
        <w:rPr>
          <w:rFonts w:ascii="Times New Roman" w:hAnsi="Times New Roman" w:cs="Times New Roman"/>
        </w:rPr>
        <w:t> </w:t>
      </w:r>
      <w:r w:rsidR="008141E0">
        <w:rPr>
          <w:rFonts w:ascii="Times New Roman" w:hAnsi="Times New Roman" w:cs="Times New Roman"/>
        </w:rPr>
        <w:t>30</w:t>
      </w:r>
      <w:r w:rsidR="0030342D">
        <w:rPr>
          <w:rFonts w:ascii="Times New Roman" w:hAnsi="Times New Roman" w:cs="Times New Roman"/>
        </w:rPr>
        <w:t>,</w:t>
      </w:r>
      <w:r w:rsidR="00DB1DA4">
        <w:rPr>
          <w:rFonts w:ascii="Times New Roman" w:hAnsi="Times New Roman" w:cs="Times New Roman"/>
        </w:rPr>
        <w:t> </w:t>
      </w:r>
      <w:r w:rsidR="0030342D">
        <w:rPr>
          <w:rFonts w:ascii="Times New Roman" w:hAnsi="Times New Roman" w:cs="Times New Roman"/>
        </w:rPr>
        <w:t>2021</w:t>
      </w:r>
      <w:r w:rsidR="00E852A1">
        <w:rPr>
          <w:rFonts w:ascii="Times New Roman" w:hAnsi="Times New Roman" w:cs="Times New Roman"/>
        </w:rPr>
        <w:t>.</w:t>
      </w:r>
      <w:r w:rsidR="0030342D">
        <w:rPr>
          <w:rFonts w:ascii="Times New Roman" w:hAnsi="Times New Roman" w:cs="Times New Roman"/>
        </w:rPr>
        <w:t xml:space="preserve"> (ML</w:t>
      </w:r>
      <w:r w:rsidR="007A12D6">
        <w:rPr>
          <w:rFonts w:ascii="Times New Roman" w:hAnsi="Times New Roman" w:cs="Times New Roman"/>
        </w:rPr>
        <w:t>21140A354</w:t>
      </w:r>
      <w:r w:rsidR="00203F79">
        <w:rPr>
          <w:rFonts w:ascii="Times New Roman" w:hAnsi="Times New Roman" w:cs="Times New Roman"/>
        </w:rPr>
        <w:t>)</w:t>
      </w:r>
    </w:p>
    <w:p w:rsidR="00616CF1" w:rsidP="002F3C90" w14:paraId="494ACE40" w14:textId="31543BA1">
      <w:pPr>
        <w:pStyle w:val="ListParagraph"/>
        <w:spacing w:after="0" w:line="240" w:lineRule="auto"/>
        <w:rPr>
          <w:rFonts w:ascii="Times New Roman" w:hAnsi="Times New Roman" w:cs="Times New Roman"/>
        </w:rPr>
      </w:pPr>
    </w:p>
    <w:p w:rsidR="00616CF1" w:rsidP="002F3C90" w14:paraId="41BB58AA" w14:textId="75DCE0F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3A1730">
        <w:rPr>
          <w:rFonts w:ascii="Times New Roman" w:hAnsi="Times New Roman" w:cs="Times New Roman"/>
        </w:rPr>
        <w:t>Letter Report, “</w:t>
      </w:r>
      <w:r w:rsidRPr="00AB2F8A" w:rsidR="00AB2F8A">
        <w:rPr>
          <w:rFonts w:ascii="Times New Roman" w:hAnsi="Times New Roman" w:cs="Times New Roman"/>
        </w:rPr>
        <w:t>Regulatory Guide</w:t>
      </w:r>
      <w:r w:rsidR="00DB1DA4">
        <w:rPr>
          <w:rFonts w:ascii="Times New Roman" w:hAnsi="Times New Roman" w:cs="Times New Roman"/>
        </w:rPr>
        <w:t> </w:t>
      </w:r>
      <w:r w:rsidRPr="00AB2F8A" w:rsidR="00AB2F8A">
        <w:rPr>
          <w:rFonts w:ascii="Times New Roman" w:hAnsi="Times New Roman" w:cs="Times New Roman"/>
        </w:rPr>
        <w:t xml:space="preserve">1.247, </w:t>
      </w:r>
      <w:r w:rsidR="00AB2F8A">
        <w:rPr>
          <w:rFonts w:ascii="Times New Roman" w:hAnsi="Times New Roman" w:cs="Times New Roman"/>
        </w:rPr>
        <w:t>‘</w:t>
      </w:r>
      <w:r w:rsidRPr="00AB2F8A" w:rsidR="00AB2F8A">
        <w:rPr>
          <w:rFonts w:ascii="Times New Roman" w:hAnsi="Times New Roman" w:cs="Times New Roman"/>
        </w:rPr>
        <w:t>Acceptability of Probabilistic Risk Assessment Results for Advanced Non-Light</w:t>
      </w:r>
      <w:r w:rsidR="009B2B31">
        <w:rPr>
          <w:rFonts w:ascii="Times New Roman" w:hAnsi="Times New Roman" w:cs="Times New Roman"/>
        </w:rPr>
        <w:t>-</w:t>
      </w:r>
      <w:r w:rsidRPr="00AB2F8A" w:rsidR="00AB2F8A">
        <w:rPr>
          <w:rFonts w:ascii="Times New Roman" w:hAnsi="Times New Roman" w:cs="Times New Roman"/>
        </w:rPr>
        <w:t>Water Reactor Risk-Informed Activities</w:t>
      </w:r>
      <w:r w:rsidR="00E852A1">
        <w:rPr>
          <w:rFonts w:ascii="Times New Roman" w:hAnsi="Times New Roman" w:cs="Times New Roman"/>
        </w:rPr>
        <w:t>,</w:t>
      </w:r>
      <w:r w:rsidR="00AB2F8A">
        <w:rPr>
          <w:rFonts w:ascii="Times New Roman" w:hAnsi="Times New Roman" w:cs="Times New Roman"/>
        </w:rPr>
        <w:t>’”</w:t>
      </w:r>
      <w:r w:rsidR="008141E0">
        <w:rPr>
          <w:rFonts w:ascii="Times New Roman" w:hAnsi="Times New Roman" w:cs="Times New Roman"/>
        </w:rPr>
        <w:t xml:space="preserve"> Washington,</w:t>
      </w:r>
      <w:r w:rsidR="00DB1DA4">
        <w:rPr>
          <w:rFonts w:ascii="Times New Roman" w:hAnsi="Times New Roman" w:cs="Times New Roman"/>
        </w:rPr>
        <w:t> </w:t>
      </w:r>
      <w:r w:rsidR="008141E0">
        <w:rPr>
          <w:rFonts w:ascii="Times New Roman" w:hAnsi="Times New Roman" w:cs="Times New Roman"/>
        </w:rPr>
        <w:t>DC,</w:t>
      </w:r>
      <w:r w:rsidRPr="00AB2F8A" w:rsidR="00AB2F8A">
        <w:rPr>
          <w:rFonts w:ascii="Times New Roman" w:hAnsi="Times New Roman" w:cs="Times New Roman"/>
        </w:rPr>
        <w:t xml:space="preserve"> </w:t>
      </w:r>
      <w:r w:rsidR="003A1730">
        <w:rPr>
          <w:rFonts w:ascii="Times New Roman" w:hAnsi="Times New Roman" w:cs="Times New Roman"/>
        </w:rPr>
        <w:t>October</w:t>
      </w:r>
      <w:r w:rsidR="00DB1DA4">
        <w:rPr>
          <w:rFonts w:ascii="Times New Roman" w:hAnsi="Times New Roman" w:cs="Times New Roman"/>
        </w:rPr>
        <w:t> </w:t>
      </w:r>
      <w:r w:rsidR="003A1730">
        <w:rPr>
          <w:rFonts w:ascii="Times New Roman" w:hAnsi="Times New Roman" w:cs="Times New Roman"/>
        </w:rPr>
        <w:t>26,</w:t>
      </w:r>
      <w:r w:rsidR="00DB1DA4">
        <w:rPr>
          <w:rFonts w:ascii="Times New Roman" w:hAnsi="Times New Roman" w:cs="Times New Roman"/>
        </w:rPr>
        <w:t> </w:t>
      </w:r>
      <w:r w:rsidR="003A1730">
        <w:rPr>
          <w:rFonts w:ascii="Times New Roman" w:hAnsi="Times New Roman" w:cs="Times New Roman"/>
        </w:rPr>
        <w:t>2021</w:t>
      </w:r>
      <w:r w:rsidR="00E852A1">
        <w:rPr>
          <w:rFonts w:ascii="Times New Roman" w:hAnsi="Times New Roman" w:cs="Times New Roman"/>
        </w:rPr>
        <w:t>.</w:t>
      </w:r>
      <w:r w:rsidR="003A1730">
        <w:rPr>
          <w:rFonts w:ascii="Times New Roman" w:hAnsi="Times New Roman" w:cs="Times New Roman"/>
        </w:rPr>
        <w:t xml:space="preserve"> (ML</w:t>
      </w:r>
      <w:r w:rsidR="002D466A">
        <w:rPr>
          <w:rFonts w:ascii="Times New Roman" w:hAnsi="Times New Roman" w:cs="Times New Roman"/>
        </w:rPr>
        <w:t>21288A018)</w:t>
      </w:r>
    </w:p>
    <w:p w:rsidR="00F81675" w:rsidP="002F3C90" w14:paraId="781FCA4E" w14:textId="513C960C">
      <w:pPr>
        <w:pStyle w:val="ListParagraph"/>
        <w:spacing w:after="0" w:line="240" w:lineRule="auto"/>
        <w:rPr>
          <w:rFonts w:ascii="Times New Roman" w:hAnsi="Times New Roman" w:cs="Times New Roman"/>
        </w:rPr>
      </w:pPr>
    </w:p>
    <w:p w:rsidR="00535E05" w:rsidRPr="00EF7E6E" w:rsidP="002F3C90" w14:paraId="229B8D6E" w14:textId="564F2261">
      <w:pPr>
        <w:pStyle w:val="ListParagraph"/>
        <w:numPr>
          <w:ilvl w:val="0"/>
          <w:numId w:val="4"/>
        </w:numPr>
        <w:spacing w:after="0" w:line="240" w:lineRule="auto"/>
        <w:ind w:hanging="720"/>
        <w:rPr>
          <w:rFonts w:ascii="Times New Roman" w:hAnsi="Times New Roman" w:cs="Times New Roman"/>
        </w:rPr>
      </w:pPr>
      <w:r w:rsidRPr="00007A87">
        <w:rPr>
          <w:rFonts w:ascii="Times New Roman" w:hAnsi="Times New Roman" w:cs="Times New Roman"/>
        </w:rPr>
        <w:t xml:space="preserve">NRC, “Nuclear Regulatory Commission International Policy Statement,” </w:t>
      </w:r>
      <w:r w:rsidRPr="00D15BFC">
        <w:rPr>
          <w:rFonts w:ascii="Times New Roman" w:hAnsi="Times New Roman"/>
        </w:rPr>
        <w:t>Federal Register</w:t>
      </w:r>
      <w:r w:rsidRPr="00007A87">
        <w:rPr>
          <w:rFonts w:ascii="Times New Roman" w:hAnsi="Times New Roman" w:cs="Times New Roman"/>
        </w:rPr>
        <w:t>,</w:t>
      </w:r>
      <w:r w:rsidRPr="00EF7E6E">
        <w:rPr>
          <w:rFonts w:ascii="Times New Roman" w:hAnsi="Times New Roman" w:cs="Times New Roman"/>
        </w:rPr>
        <w:t xml:space="preserve"> Vol.</w:t>
      </w:r>
      <w:r w:rsidR="00DB1DA4">
        <w:rPr>
          <w:rFonts w:ascii="Times New Roman" w:hAnsi="Times New Roman" w:cs="Times New Roman"/>
        </w:rPr>
        <w:t> </w:t>
      </w:r>
      <w:r w:rsidRPr="00EF7E6E">
        <w:rPr>
          <w:rFonts w:ascii="Times New Roman" w:hAnsi="Times New Roman" w:cs="Times New Roman"/>
        </w:rPr>
        <w:t>79, No.</w:t>
      </w:r>
      <w:r w:rsidR="00DB1DA4">
        <w:rPr>
          <w:rFonts w:ascii="Times New Roman" w:hAnsi="Times New Roman" w:cs="Times New Roman"/>
        </w:rPr>
        <w:t> </w:t>
      </w:r>
      <w:r w:rsidRPr="00EF7E6E">
        <w:rPr>
          <w:rFonts w:ascii="Times New Roman" w:hAnsi="Times New Roman" w:cs="Times New Roman"/>
        </w:rPr>
        <w:t>132, July</w:t>
      </w:r>
      <w:r w:rsidR="00DB1DA4">
        <w:rPr>
          <w:rFonts w:ascii="Times New Roman" w:hAnsi="Times New Roman" w:cs="Times New Roman"/>
        </w:rPr>
        <w:t> </w:t>
      </w:r>
      <w:r w:rsidRPr="00EF7E6E">
        <w:rPr>
          <w:rFonts w:ascii="Times New Roman" w:hAnsi="Times New Roman" w:cs="Times New Roman"/>
        </w:rPr>
        <w:t>10,</w:t>
      </w:r>
      <w:r w:rsidR="00DB1DA4">
        <w:rPr>
          <w:rFonts w:ascii="Times New Roman" w:hAnsi="Times New Roman" w:cs="Times New Roman"/>
        </w:rPr>
        <w:t> </w:t>
      </w:r>
      <w:r w:rsidRPr="00EF7E6E">
        <w:rPr>
          <w:rFonts w:ascii="Times New Roman" w:hAnsi="Times New Roman" w:cs="Times New Roman"/>
        </w:rPr>
        <w:t>2014, pp.</w:t>
      </w:r>
      <w:r w:rsidR="00E852A1">
        <w:rPr>
          <w:rFonts w:ascii="Times New Roman" w:hAnsi="Times New Roman" w:cs="Times New Roman"/>
        </w:rPr>
        <w:t xml:space="preserve"> </w:t>
      </w:r>
      <w:r w:rsidRPr="00EF7E6E">
        <w:rPr>
          <w:rFonts w:ascii="Times New Roman" w:hAnsi="Times New Roman" w:cs="Times New Roman"/>
        </w:rPr>
        <w:t>39415</w:t>
      </w:r>
      <w:r w:rsidR="00DB1DA4">
        <w:rPr>
          <w:rFonts w:ascii="Times New Roman" w:hAnsi="Times New Roman" w:cs="Times New Roman"/>
        </w:rPr>
        <w:t>–</w:t>
      </w:r>
      <w:r w:rsidRPr="00EF7E6E">
        <w:rPr>
          <w:rFonts w:ascii="Times New Roman" w:hAnsi="Times New Roman" w:cs="Times New Roman"/>
        </w:rPr>
        <w:t>39418</w:t>
      </w:r>
      <w:r w:rsidR="005518B8">
        <w:rPr>
          <w:rFonts w:ascii="Times New Roman" w:hAnsi="Times New Roman" w:cs="Times New Roman"/>
        </w:rPr>
        <w:t xml:space="preserve"> </w:t>
      </w:r>
      <w:r w:rsidR="005804C8">
        <w:rPr>
          <w:rFonts w:ascii="Times New Roman" w:hAnsi="Times New Roman" w:cs="Times New Roman"/>
        </w:rPr>
        <w:t>(79</w:t>
      </w:r>
      <w:r w:rsidR="00DB1DA4">
        <w:rPr>
          <w:rFonts w:ascii="Times New Roman" w:hAnsi="Times New Roman" w:cs="Times New Roman"/>
        </w:rPr>
        <w:t> </w:t>
      </w:r>
      <w:r w:rsidR="005804C8">
        <w:rPr>
          <w:rFonts w:ascii="Times New Roman" w:hAnsi="Times New Roman" w:cs="Times New Roman"/>
        </w:rPr>
        <w:t>FR</w:t>
      </w:r>
      <w:r w:rsidR="00DB1DA4">
        <w:rPr>
          <w:rFonts w:ascii="Times New Roman" w:hAnsi="Times New Roman" w:cs="Times New Roman"/>
        </w:rPr>
        <w:t> </w:t>
      </w:r>
      <w:r w:rsidR="005804C8">
        <w:rPr>
          <w:rFonts w:ascii="Times New Roman" w:hAnsi="Times New Roman" w:cs="Times New Roman"/>
        </w:rPr>
        <w:t>39415)</w:t>
      </w:r>
      <w:r w:rsidRPr="00EF7E6E">
        <w:rPr>
          <w:rFonts w:ascii="Times New Roman" w:hAnsi="Times New Roman" w:cs="Times New Roman"/>
        </w:rPr>
        <w:t>.</w:t>
      </w:r>
    </w:p>
    <w:p w:rsidR="00535E05" w:rsidRPr="00EF7E6E" w:rsidP="002F3C90" w14:paraId="448D7CE4" w14:textId="77777777">
      <w:pPr>
        <w:pStyle w:val="ListParagraph"/>
        <w:spacing w:after="0" w:line="240" w:lineRule="auto"/>
        <w:ind w:hanging="720"/>
        <w:rPr>
          <w:rFonts w:ascii="Times New Roman" w:hAnsi="Times New Roman" w:cs="Times New Roman"/>
        </w:rPr>
      </w:pPr>
    </w:p>
    <w:p w:rsidR="00535E05" w:rsidRPr="00EF7E6E" w:rsidP="002F3C90" w14:paraId="02FD1F0F" w14:textId="6CDA01BB">
      <w:pPr>
        <w:pStyle w:val="ListParagraph"/>
        <w:numPr>
          <w:ilvl w:val="0"/>
          <w:numId w:val="4"/>
        </w:numPr>
        <w:spacing w:after="0" w:line="240" w:lineRule="auto"/>
        <w:ind w:hanging="720"/>
        <w:rPr>
          <w:rFonts w:ascii="Times New Roman" w:hAnsi="Times New Roman" w:cs="Times New Roman"/>
        </w:rPr>
      </w:pPr>
      <w:r w:rsidRPr="00EF7E6E">
        <w:rPr>
          <w:rFonts w:ascii="Times New Roman" w:hAnsi="Times New Roman" w:cs="Times New Roman"/>
        </w:rPr>
        <w:t>NRC, Management Directive (MD)</w:t>
      </w:r>
      <w:r w:rsidR="00DB1DA4">
        <w:rPr>
          <w:rFonts w:ascii="Times New Roman" w:hAnsi="Times New Roman" w:cs="Times New Roman"/>
        </w:rPr>
        <w:t> </w:t>
      </w:r>
      <w:r w:rsidRPr="00EF7E6E">
        <w:rPr>
          <w:rFonts w:ascii="Times New Roman" w:hAnsi="Times New Roman" w:cs="Times New Roman"/>
        </w:rPr>
        <w:t>6.6, “Regulatory Guides,” Washington,</w:t>
      </w:r>
      <w:r w:rsidR="00DB1DA4">
        <w:rPr>
          <w:rFonts w:ascii="Times New Roman" w:hAnsi="Times New Roman" w:cs="Times New Roman"/>
        </w:rPr>
        <w:t> </w:t>
      </w:r>
      <w:r w:rsidRPr="00EF7E6E">
        <w:rPr>
          <w:rFonts w:ascii="Times New Roman" w:hAnsi="Times New Roman" w:cs="Times New Roman"/>
        </w:rPr>
        <w:t>DC</w:t>
      </w:r>
      <w:r w:rsidR="00E852A1">
        <w:rPr>
          <w:rFonts w:ascii="Times New Roman" w:hAnsi="Times New Roman" w:cs="Times New Roman"/>
        </w:rPr>
        <w:t>.</w:t>
      </w:r>
      <w:r w:rsidR="00835B75">
        <w:rPr>
          <w:rFonts w:ascii="Times New Roman" w:hAnsi="Times New Roman" w:cs="Times New Roman"/>
        </w:rPr>
        <w:t xml:space="preserve"> </w:t>
      </w:r>
    </w:p>
    <w:p w:rsidR="00535E05" w:rsidP="002F3C90" w14:paraId="3B8D6268" w14:textId="77777777">
      <w:pPr>
        <w:pStyle w:val="ListParagraph"/>
        <w:spacing w:after="0" w:line="240" w:lineRule="auto"/>
        <w:rPr>
          <w:rFonts w:ascii="Times New Roman" w:hAnsi="Times New Roman" w:cs="Times New Roman"/>
        </w:rPr>
      </w:pPr>
    </w:p>
    <w:p w:rsidR="002935EA" w:rsidP="002F3C90" w14:paraId="37E9013F" w14:textId="00BE16E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I</w:t>
      </w:r>
      <w:r w:rsidR="00DB7C03">
        <w:rPr>
          <w:rFonts w:ascii="Times New Roman" w:hAnsi="Times New Roman" w:cs="Times New Roman"/>
        </w:rPr>
        <w:t xml:space="preserve">nternational </w:t>
      </w:r>
      <w:r w:rsidRPr="00303DEE">
        <w:rPr>
          <w:rFonts w:ascii="Times New Roman" w:hAnsi="Times New Roman" w:cs="Times New Roman"/>
        </w:rPr>
        <w:t>A</w:t>
      </w:r>
      <w:r w:rsidR="00DB7C03">
        <w:rPr>
          <w:rFonts w:ascii="Times New Roman" w:hAnsi="Times New Roman" w:cs="Times New Roman"/>
        </w:rPr>
        <w:t xml:space="preserve">tomic </w:t>
      </w:r>
      <w:r w:rsidRPr="00303DEE">
        <w:rPr>
          <w:rFonts w:ascii="Times New Roman" w:hAnsi="Times New Roman" w:cs="Times New Roman"/>
        </w:rPr>
        <w:t>E</w:t>
      </w:r>
      <w:r w:rsidR="00DB7C03">
        <w:rPr>
          <w:rFonts w:ascii="Times New Roman" w:hAnsi="Times New Roman" w:cs="Times New Roman"/>
        </w:rPr>
        <w:t xml:space="preserve">nergy </w:t>
      </w:r>
      <w:r w:rsidRPr="00303DEE">
        <w:rPr>
          <w:rFonts w:ascii="Times New Roman" w:hAnsi="Times New Roman" w:cs="Times New Roman"/>
        </w:rPr>
        <w:t>A</w:t>
      </w:r>
      <w:r w:rsidR="00DB7C03">
        <w:rPr>
          <w:rFonts w:ascii="Times New Roman" w:hAnsi="Times New Roman" w:cs="Times New Roman"/>
        </w:rPr>
        <w:t>gency</w:t>
      </w:r>
      <w:r w:rsidR="000E0E21">
        <w:rPr>
          <w:rFonts w:ascii="Times New Roman" w:hAnsi="Times New Roman" w:cs="Times New Roman"/>
        </w:rPr>
        <w:t xml:space="preserve"> (IAEA)</w:t>
      </w:r>
      <w:r w:rsidRPr="00303DEE">
        <w:rPr>
          <w:rFonts w:ascii="Times New Roman" w:hAnsi="Times New Roman" w:cs="Times New Roman"/>
        </w:rPr>
        <w:t>, Specific Safety Requirement (SSR) SSR</w:t>
      </w:r>
      <w:r w:rsidR="00944FC3">
        <w:rPr>
          <w:rFonts w:ascii="Times New Roman" w:hAnsi="Times New Roman" w:cs="Times New Roman"/>
        </w:rPr>
        <w:noBreakHyphen/>
      </w:r>
      <w:r w:rsidRPr="00303DEE">
        <w:rPr>
          <w:rFonts w:ascii="Times New Roman" w:hAnsi="Times New Roman" w:cs="Times New Roman"/>
        </w:rPr>
        <w:t>2/1, “Safety of Nuclear Power Plants: Design</w:t>
      </w:r>
      <w:r w:rsidR="00DB7C03">
        <w:rPr>
          <w:rFonts w:ascii="Times New Roman" w:hAnsi="Times New Roman" w:cs="Times New Roman"/>
        </w:rPr>
        <w:t>,</w:t>
      </w:r>
      <w:r w:rsidRPr="00303DEE">
        <w:rPr>
          <w:rFonts w:ascii="Times New Roman" w:hAnsi="Times New Roman" w:cs="Times New Roman"/>
        </w:rPr>
        <w:t>”</w:t>
      </w:r>
      <w:r w:rsidR="00DB7C03">
        <w:rPr>
          <w:rFonts w:ascii="Times New Roman" w:hAnsi="Times New Roman" w:cs="Times New Roman"/>
        </w:rPr>
        <w:t xml:space="preserve"> </w:t>
      </w:r>
      <w:r w:rsidR="009544FF">
        <w:rPr>
          <w:rFonts w:ascii="Times New Roman" w:hAnsi="Times New Roman" w:cs="Times New Roman"/>
        </w:rPr>
        <w:t>Vienna, Austria</w:t>
      </w:r>
      <w:r w:rsidR="00E852A1">
        <w:rPr>
          <w:rFonts w:ascii="Times New Roman" w:hAnsi="Times New Roman" w:cs="Times New Roman"/>
        </w:rPr>
        <w:t>, 2016</w:t>
      </w:r>
      <w:r w:rsidR="009544FF">
        <w:rPr>
          <w:rFonts w:ascii="Times New Roman" w:hAnsi="Times New Roman" w:cs="Times New Roman"/>
        </w:rPr>
        <w:t>.</w:t>
      </w:r>
      <w:r>
        <w:rPr>
          <w:rStyle w:val="FootnoteReference"/>
          <w:rFonts w:ascii="Times New Roman" w:hAnsi="Times New Roman" w:cs="Times New Roman"/>
        </w:rPr>
        <w:footnoteReference w:id="6"/>
      </w:r>
    </w:p>
    <w:p w:rsidR="002935EA" w:rsidP="002F3C90" w14:paraId="42A4D820" w14:textId="60B3DF54">
      <w:pPr>
        <w:pStyle w:val="ListParagraph"/>
        <w:spacing w:after="0" w:line="240" w:lineRule="auto"/>
        <w:rPr>
          <w:rFonts w:ascii="Times New Roman" w:hAnsi="Times New Roman" w:cs="Times New Roman"/>
        </w:rPr>
      </w:pPr>
    </w:p>
    <w:p w:rsidR="007004E8" w:rsidRPr="007004E8" w:rsidP="002F3C90" w14:paraId="702E546C" w14:textId="1781AD6E">
      <w:pPr>
        <w:pStyle w:val="ListParagraph"/>
        <w:numPr>
          <w:ilvl w:val="0"/>
          <w:numId w:val="4"/>
        </w:numPr>
        <w:spacing w:after="0" w:line="240" w:lineRule="auto"/>
        <w:ind w:hanging="720"/>
        <w:rPr>
          <w:rFonts w:ascii="Times New Roman" w:hAnsi="Times New Roman" w:cs="Times New Roman"/>
        </w:rPr>
      </w:pPr>
      <w:r w:rsidRPr="002935EA">
        <w:rPr>
          <w:rFonts w:ascii="Times New Roman" w:hAnsi="Times New Roman" w:cs="Times New Roman"/>
        </w:rPr>
        <w:t>IAEA, Specific Safety Guide (SSG) SSG</w:t>
      </w:r>
      <w:r w:rsidR="00944FC3">
        <w:rPr>
          <w:rFonts w:ascii="Times New Roman" w:hAnsi="Times New Roman" w:cs="Times New Roman"/>
        </w:rPr>
        <w:noBreakHyphen/>
      </w:r>
      <w:r w:rsidRPr="002935EA">
        <w:rPr>
          <w:rFonts w:ascii="Times New Roman" w:hAnsi="Times New Roman" w:cs="Times New Roman"/>
        </w:rPr>
        <w:t>2, “Deterministic Safety Analysis for Nuclear Power</w:t>
      </w:r>
      <w:r>
        <w:rPr>
          <w:rFonts w:ascii="Times New Roman" w:hAnsi="Times New Roman" w:cs="Times New Roman"/>
        </w:rPr>
        <w:t xml:space="preserve"> </w:t>
      </w:r>
      <w:r w:rsidRPr="002935EA">
        <w:rPr>
          <w:rFonts w:ascii="Times New Roman" w:hAnsi="Times New Roman" w:cs="Times New Roman"/>
        </w:rPr>
        <w:t>Plants</w:t>
      </w:r>
      <w:r w:rsidR="000E0E21">
        <w:rPr>
          <w:rFonts w:ascii="Times New Roman" w:hAnsi="Times New Roman" w:cs="Times New Roman"/>
        </w:rPr>
        <w:t>,</w:t>
      </w:r>
      <w:r w:rsidRPr="002935EA">
        <w:rPr>
          <w:rFonts w:ascii="Times New Roman" w:hAnsi="Times New Roman" w:cs="Times New Roman"/>
        </w:rPr>
        <w:t>”</w:t>
      </w:r>
      <w:r w:rsidR="000E0E21">
        <w:rPr>
          <w:rFonts w:ascii="Times New Roman" w:hAnsi="Times New Roman" w:cs="Times New Roman"/>
        </w:rPr>
        <w:t xml:space="preserve"> Vienna, Austria</w:t>
      </w:r>
      <w:r w:rsidR="00E852A1">
        <w:rPr>
          <w:rFonts w:ascii="Times New Roman" w:hAnsi="Times New Roman" w:cs="Times New Roman"/>
        </w:rPr>
        <w:t>, 2010</w:t>
      </w:r>
      <w:r w:rsidR="000E0E21">
        <w:rPr>
          <w:rFonts w:ascii="Times New Roman" w:hAnsi="Times New Roman" w:cs="Times New Roman"/>
        </w:rPr>
        <w:t>.</w:t>
      </w:r>
    </w:p>
    <w:p w:rsidR="00BC69DE" w:rsidP="002F3C90" w14:paraId="7B342788" w14:textId="77777777">
      <w:pPr>
        <w:pStyle w:val="ListParagraph"/>
        <w:spacing w:after="0" w:line="240" w:lineRule="auto"/>
        <w:rPr>
          <w:rFonts w:ascii="Times New Roman" w:hAnsi="Times New Roman" w:cs="Times New Roman"/>
        </w:rPr>
      </w:pPr>
    </w:p>
    <w:p w:rsidR="000E5733" w:rsidP="002F3C90" w14:paraId="194FE7B4" w14:textId="3B27BE1C">
      <w:pPr>
        <w:pStyle w:val="ListParagraph"/>
        <w:numPr>
          <w:ilvl w:val="0"/>
          <w:numId w:val="4"/>
        </w:numPr>
        <w:spacing w:after="0" w:line="240" w:lineRule="auto"/>
        <w:ind w:hanging="720"/>
        <w:rPr>
          <w:rFonts w:ascii="Times New Roman" w:hAnsi="Times New Roman" w:cs="Times New Roman"/>
        </w:rPr>
      </w:pPr>
      <w:r w:rsidRPr="000E5733">
        <w:rPr>
          <w:rFonts w:ascii="Times New Roman" w:hAnsi="Times New Roman" w:cs="Times New Roman"/>
        </w:rPr>
        <w:t>EPRI Report 3002012980, “Methodology for Seismically Induced Internal Fire and Flood Probabilistic Risk Assessment,</w:t>
      </w:r>
      <w:r w:rsidR="009C10FD">
        <w:rPr>
          <w:rFonts w:ascii="Times New Roman" w:hAnsi="Times New Roman" w:cs="Times New Roman"/>
        </w:rPr>
        <w:t>”</w:t>
      </w:r>
      <w:r w:rsidR="0006124D">
        <w:rPr>
          <w:rFonts w:ascii="Times New Roman" w:hAnsi="Times New Roman" w:cs="Times New Roman"/>
        </w:rPr>
        <w:t xml:space="preserve"> Palo Alto, C</w:t>
      </w:r>
      <w:r w:rsidR="006E306D">
        <w:rPr>
          <w:rFonts w:ascii="Times New Roman" w:hAnsi="Times New Roman" w:cs="Times New Roman"/>
        </w:rPr>
        <w:t>alifornia</w:t>
      </w:r>
      <w:r w:rsidR="00A07626">
        <w:rPr>
          <w:rFonts w:ascii="Times New Roman" w:hAnsi="Times New Roman" w:cs="Times New Roman"/>
        </w:rPr>
        <w:t>, June 2018.</w:t>
      </w:r>
    </w:p>
    <w:p w:rsidR="000E5733" w:rsidRPr="003D4130" w:rsidP="0021002A" w14:paraId="29789A44" w14:textId="77777777">
      <w:pPr>
        <w:pStyle w:val="ListParagraph"/>
        <w:spacing w:line="240" w:lineRule="auto"/>
        <w:rPr>
          <w:rFonts w:ascii="Times New Roman" w:hAnsi="Times New Roman" w:cs="Times New Roman"/>
        </w:rPr>
      </w:pPr>
    </w:p>
    <w:p w:rsidR="00210EB4" w:rsidP="002F3C90" w14:paraId="398B4A36" w14:textId="766EF23C">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w:t>
      </w:r>
      <w:r w:rsidR="00DF25CC">
        <w:rPr>
          <w:rFonts w:ascii="Times New Roman" w:hAnsi="Times New Roman" w:cs="Times New Roman"/>
        </w:rPr>
        <w:t>,</w:t>
      </w:r>
      <w:r>
        <w:rPr>
          <w:rFonts w:ascii="Times New Roman" w:hAnsi="Times New Roman" w:cs="Times New Roman"/>
        </w:rPr>
        <w:t xml:space="preserve"> M</w:t>
      </w:r>
      <w:r w:rsidR="005804C8">
        <w:rPr>
          <w:rFonts w:ascii="Times New Roman" w:hAnsi="Times New Roman" w:cs="Times New Roman"/>
        </w:rPr>
        <w:t>D</w:t>
      </w:r>
      <w:r w:rsidR="00944FC3">
        <w:rPr>
          <w:rFonts w:ascii="Times New Roman" w:hAnsi="Times New Roman" w:cs="Times New Roman"/>
        </w:rPr>
        <w:t> </w:t>
      </w:r>
      <w:r>
        <w:rPr>
          <w:rFonts w:ascii="Times New Roman" w:hAnsi="Times New Roman" w:cs="Times New Roman"/>
        </w:rPr>
        <w:t>8.4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sidRPr="00352574">
        <w:rPr>
          <w:rFonts w:ascii="Times New Roman" w:hAnsi="Times New Roman" w:cs="Times New Roman"/>
        </w:rPr>
        <w:t>Management of Backfitting, Forward Fitting, Issue Finality, and Information Requests</w:t>
      </w:r>
      <w:r w:rsidR="000B0265">
        <w:rPr>
          <w:rFonts w:ascii="Times New Roman" w:hAnsi="Times New Roman" w:cs="Times New Roman"/>
        </w:rPr>
        <w:t>,</w:t>
      </w:r>
      <w:r>
        <w:rPr>
          <w:rFonts w:ascii="Times New Roman" w:hAnsi="Times New Roman" w:cs="Times New Roman"/>
        </w:rPr>
        <w:t>”</w:t>
      </w:r>
      <w:r w:rsidR="00D935C7">
        <w:rPr>
          <w:rFonts w:ascii="Times New Roman" w:hAnsi="Times New Roman" w:cs="Times New Roman"/>
        </w:rPr>
        <w:t xml:space="preserve"> Washington,</w:t>
      </w:r>
      <w:r w:rsidR="00944FC3">
        <w:rPr>
          <w:rFonts w:ascii="Times New Roman" w:hAnsi="Times New Roman" w:cs="Times New Roman"/>
        </w:rPr>
        <w:t> </w:t>
      </w:r>
      <w:r w:rsidR="00D935C7">
        <w:rPr>
          <w:rFonts w:ascii="Times New Roman" w:hAnsi="Times New Roman" w:cs="Times New Roman"/>
        </w:rPr>
        <w:t xml:space="preserve">DC. </w:t>
      </w:r>
    </w:p>
    <w:p w:rsidR="003E4C4B" w:rsidP="002F3C90" w14:paraId="55AE3363" w14:textId="7DEC36A7">
      <w:pPr>
        <w:spacing w:after="0" w:line="240" w:lineRule="auto"/>
        <w:rPr>
          <w:rFonts w:ascii="Times New Roman" w:hAnsi="Times New Roman" w:cs="Times New Roman"/>
        </w:rPr>
      </w:pPr>
      <w:r>
        <w:rPr>
          <w:rFonts w:ascii="Times New Roman" w:hAnsi="Times New Roman" w:cs="Times New Roman"/>
        </w:rPr>
        <w:br w:type="page"/>
      </w:r>
    </w:p>
    <w:p w:rsidR="00957BD2" w:rsidP="002F3C90" w14:paraId="51FB7C45" w14:textId="77777777">
      <w:pPr>
        <w:pStyle w:val="Heading1"/>
        <w:spacing w:line="240" w:lineRule="auto"/>
        <w:sectPr w:rsidSect="002B122F">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rsidR="00540987" w14:paraId="48E46760" w14:textId="77777777">
      <w:pPr>
        <w:rPr>
          <w:rFonts w:ascii="Times New Roman" w:hAnsi="Times New Roman" w:eastAsiaTheme="majorEastAsia" w:cs="Times New Roman"/>
          <w:b/>
          <w:bCs/>
          <w:sz w:val="28"/>
          <w:szCs w:val="28"/>
        </w:rPr>
      </w:pPr>
      <w:r>
        <w:br w:type="page"/>
      </w:r>
    </w:p>
    <w:p w:rsidR="003E4C4B" w:rsidP="002F3C90" w14:paraId="4984EF03" w14:textId="7E433364">
      <w:pPr>
        <w:pStyle w:val="Heading1"/>
        <w:spacing w:after="280" w:line="240" w:lineRule="auto"/>
      </w:pPr>
      <w:r w:rsidRPr="003E4C4B">
        <w:t>APPENDIX A</w:t>
      </w:r>
    </w:p>
    <w:p w:rsidR="008F2145" w:rsidRPr="00856F25" w:rsidP="002F3C90" w14:paraId="76E45364" w14:textId="77777777">
      <w:pPr>
        <w:spacing w:after="220" w:line="240" w:lineRule="auto"/>
        <w:jc w:val="center"/>
        <w:rPr>
          <w:rFonts w:ascii="Times New Roman" w:hAnsi="Times New Roman" w:cs="Times New Roman"/>
          <w:sz w:val="28"/>
          <w:szCs w:val="28"/>
        </w:rPr>
      </w:pPr>
      <w:r w:rsidRPr="00856F25">
        <w:rPr>
          <w:rFonts w:ascii="Times New Roman" w:hAnsi="Times New Roman" w:cs="Times New Roman"/>
          <w:b/>
          <w:bCs/>
          <w:sz w:val="28"/>
          <w:szCs w:val="28"/>
        </w:rPr>
        <w:t>COMPREHENSIVE SEARCH FOR INITIATING EVENTS</w:t>
      </w:r>
    </w:p>
    <w:p w:rsidR="00E52457" w:rsidP="002F3C90" w14:paraId="526D851B" w14:textId="44F3B1C3">
      <w:pPr>
        <w:spacing w:after="0" w:line="240" w:lineRule="auto"/>
        <w:ind w:firstLine="720"/>
        <w:rPr>
          <w:rFonts w:ascii="Times New Roman" w:hAnsi="Times New Roman" w:cs="Times New Roman"/>
        </w:rPr>
      </w:pPr>
      <w:r>
        <w:rPr>
          <w:rFonts w:ascii="Times New Roman" w:hAnsi="Times New Roman" w:cs="Times New Roman"/>
        </w:rPr>
        <w:t>The i</w:t>
      </w:r>
      <w:r w:rsidRPr="007D2B11">
        <w:rPr>
          <w:rFonts w:ascii="Times New Roman" w:hAnsi="Times New Roman" w:cs="Times New Roman"/>
        </w:rPr>
        <w:t>dentification of initiating events</w:t>
      </w:r>
      <w:r w:rsidR="00E54AEC">
        <w:rPr>
          <w:rFonts w:ascii="Times New Roman" w:hAnsi="Times New Roman" w:cs="Times New Roman"/>
        </w:rPr>
        <w:t xml:space="preserve"> (IEs)</w:t>
      </w:r>
      <w:r w:rsidRPr="007D2B11">
        <w:rPr>
          <w:rFonts w:ascii="Times New Roman" w:hAnsi="Times New Roman" w:cs="Times New Roman"/>
        </w:rPr>
        <w:t xml:space="preserve"> </w:t>
      </w:r>
      <w:r>
        <w:rPr>
          <w:rFonts w:ascii="Times New Roman" w:hAnsi="Times New Roman" w:cs="Times New Roman"/>
        </w:rPr>
        <w:t>is the first step that needs</w:t>
      </w:r>
      <w:r w:rsidRPr="007D2B11">
        <w:rPr>
          <w:rFonts w:ascii="Times New Roman" w:hAnsi="Times New Roman" w:cs="Times New Roman"/>
        </w:rPr>
        <w:t xml:space="preserve"> to be performed prior to the identification of licensing events. </w:t>
      </w:r>
      <w:r w:rsidR="00216FF7">
        <w:rPr>
          <w:rFonts w:ascii="Times New Roman" w:hAnsi="Times New Roman" w:cs="Times New Roman"/>
        </w:rPr>
        <w:t xml:space="preserve">This </w:t>
      </w:r>
      <w:r w:rsidR="00AE6B05">
        <w:rPr>
          <w:rFonts w:ascii="Times New Roman" w:hAnsi="Times New Roman" w:cs="Times New Roman"/>
        </w:rPr>
        <w:t>a</w:t>
      </w:r>
      <w:r w:rsidR="00216FF7">
        <w:rPr>
          <w:rFonts w:ascii="Times New Roman" w:hAnsi="Times New Roman" w:cs="Times New Roman"/>
        </w:rPr>
        <w:t>ppendix</w:t>
      </w:r>
      <w:r w:rsidRPr="00C43C62">
        <w:rPr>
          <w:rFonts w:ascii="Times New Roman" w:hAnsi="Times New Roman" w:cs="Times New Roman"/>
        </w:rPr>
        <w:t xml:space="preserve"> </w:t>
      </w:r>
      <w:r w:rsidRPr="007D2B11">
        <w:rPr>
          <w:rFonts w:ascii="Times New Roman" w:hAnsi="Times New Roman" w:cs="Times New Roman"/>
        </w:rPr>
        <w:t>provides technology-inclusive, generic guidance for conducting</w:t>
      </w:r>
      <w:r w:rsidR="00726072">
        <w:rPr>
          <w:rFonts w:ascii="Times New Roman" w:hAnsi="Times New Roman" w:cs="Times New Roman"/>
        </w:rPr>
        <w:t xml:space="preserve"> an</w:t>
      </w:r>
      <w:r w:rsidRPr="007D2B11">
        <w:rPr>
          <w:rFonts w:ascii="Times New Roman" w:hAnsi="Times New Roman" w:cs="Times New Roman"/>
        </w:rPr>
        <w:t xml:space="preserve"> </w:t>
      </w:r>
      <w:r w:rsidR="00854F40">
        <w:rPr>
          <w:rFonts w:ascii="Times New Roman" w:hAnsi="Times New Roman" w:cs="Times New Roman"/>
        </w:rPr>
        <w:t>IE</w:t>
      </w:r>
      <w:r w:rsidRPr="007D2B11">
        <w:rPr>
          <w:rFonts w:ascii="Times New Roman" w:hAnsi="Times New Roman" w:cs="Times New Roman"/>
        </w:rPr>
        <w:t xml:space="preserve"> search </w:t>
      </w:r>
      <w:r w:rsidR="009F5680">
        <w:rPr>
          <w:rFonts w:ascii="Times New Roman" w:hAnsi="Times New Roman" w:cs="Times New Roman"/>
        </w:rPr>
        <w:t>that</w:t>
      </w:r>
      <w:r w:rsidRPr="007D2B11">
        <w:rPr>
          <w:rFonts w:ascii="Times New Roman" w:hAnsi="Times New Roman" w:cs="Times New Roman"/>
        </w:rPr>
        <w:t xml:space="preserve"> can be used under any licensing framework.</w:t>
      </w:r>
    </w:p>
    <w:p w:rsidR="00E52457" w:rsidRPr="007D2B11" w:rsidP="002F3C90" w14:paraId="4699A6CF" w14:textId="77777777">
      <w:pPr>
        <w:spacing w:after="0" w:line="240" w:lineRule="auto"/>
        <w:rPr>
          <w:rFonts w:ascii="Times New Roman" w:hAnsi="Times New Roman" w:cs="Times New Roman"/>
        </w:rPr>
      </w:pPr>
    </w:p>
    <w:p w:rsidR="008F2145" w:rsidRPr="006E2BCA" w:rsidP="002F3C90" w14:paraId="30601B5D" w14:textId="13600C0C">
      <w:pPr>
        <w:spacing w:after="0" w:line="240" w:lineRule="auto"/>
        <w:ind w:firstLine="720"/>
        <w:rPr>
          <w:rFonts w:ascii="Times New Roman" w:hAnsi="Times New Roman" w:cs="Times New Roman"/>
        </w:rPr>
      </w:pPr>
      <w:r w:rsidRPr="006E2BCA">
        <w:rPr>
          <w:rFonts w:ascii="Times New Roman" w:hAnsi="Times New Roman" w:cs="Times New Roman"/>
        </w:rPr>
        <w:t>Identification of IEs is the starting point for the safety assessment of nuclear power plants. Having a reasonably complete set of IEs is crucial in determining what events could propagate</w:t>
      </w:r>
      <w:r w:rsidRPr="006E2BCA" w:rsidR="00E54AEC">
        <w:rPr>
          <w:rFonts w:ascii="Times New Roman" w:hAnsi="Times New Roman" w:cs="Times New Roman"/>
        </w:rPr>
        <w:t xml:space="preserve"> </w:t>
      </w:r>
      <w:r w:rsidRPr="006E2BCA">
        <w:rPr>
          <w:rFonts w:ascii="Times New Roman" w:hAnsi="Times New Roman" w:cs="Times New Roman"/>
        </w:rPr>
        <w:t xml:space="preserve">to undesirable consequences and in assessing the overall plant risk. A blended and robust approach </w:t>
      </w:r>
      <w:r w:rsidRPr="006E2BCA" w:rsidR="00E54AEC">
        <w:rPr>
          <w:rFonts w:ascii="Times New Roman" w:hAnsi="Times New Roman" w:cs="Times New Roman"/>
        </w:rPr>
        <w:t>u</w:t>
      </w:r>
      <w:r w:rsidR="00E54AEC">
        <w:rPr>
          <w:rFonts w:ascii="Times New Roman" w:hAnsi="Times New Roman" w:cs="Times New Roman"/>
        </w:rPr>
        <w:t>s</w:t>
      </w:r>
      <w:r w:rsidRPr="006E2BCA" w:rsidR="00E54AEC">
        <w:rPr>
          <w:rFonts w:ascii="Times New Roman" w:hAnsi="Times New Roman" w:cs="Times New Roman"/>
        </w:rPr>
        <w:t xml:space="preserve">ing </w:t>
      </w:r>
      <w:r w:rsidRPr="006E2BCA">
        <w:rPr>
          <w:rFonts w:ascii="Times New Roman" w:hAnsi="Times New Roman" w:cs="Times New Roman"/>
        </w:rPr>
        <w:t xml:space="preserve">multiple methods to identify IEs increases confidence that it produces a list of IEs as complete as possible and thus, all foreseeable IEs are reasonably captured. </w:t>
      </w:r>
      <w:r w:rsidR="00EE6E83">
        <w:rPr>
          <w:rFonts w:ascii="Times New Roman" w:hAnsi="Times New Roman" w:cs="Times New Roman"/>
        </w:rPr>
        <w:t>G</w:t>
      </w:r>
      <w:r w:rsidRPr="006E2BCA" w:rsidR="00EE6E83">
        <w:rPr>
          <w:rFonts w:ascii="Times New Roman" w:hAnsi="Times New Roman" w:cs="Times New Roman"/>
        </w:rPr>
        <w:t>enerat</w:t>
      </w:r>
      <w:r w:rsidR="00EE6E83">
        <w:rPr>
          <w:rFonts w:ascii="Times New Roman" w:hAnsi="Times New Roman" w:cs="Times New Roman"/>
        </w:rPr>
        <w:t>ing a</w:t>
      </w:r>
      <w:r w:rsidRPr="006E2BCA">
        <w:rPr>
          <w:rFonts w:ascii="Times New Roman" w:hAnsi="Times New Roman" w:cs="Times New Roman"/>
        </w:rPr>
        <w:t xml:space="preserve"> set of IEs from different perspective</w:t>
      </w:r>
      <w:r w:rsidR="006C606D">
        <w:rPr>
          <w:rFonts w:ascii="Times New Roman" w:hAnsi="Times New Roman" w:cs="Times New Roman"/>
        </w:rPr>
        <w:t>s</w:t>
      </w:r>
      <w:r w:rsidRPr="006E2BCA">
        <w:rPr>
          <w:rFonts w:ascii="Times New Roman" w:hAnsi="Times New Roman" w:cs="Times New Roman"/>
        </w:rPr>
        <w:t xml:space="preserve"> using different methods (tools) </w:t>
      </w:r>
      <w:r w:rsidR="00902B94">
        <w:rPr>
          <w:rFonts w:ascii="Times New Roman" w:hAnsi="Times New Roman" w:cs="Times New Roman"/>
        </w:rPr>
        <w:t>provides</w:t>
      </w:r>
      <w:r w:rsidRPr="006E2BCA">
        <w:rPr>
          <w:rFonts w:ascii="Times New Roman" w:hAnsi="Times New Roman" w:cs="Times New Roman"/>
        </w:rPr>
        <w:t xml:space="preserve"> a high degree of confidence that risk-significant IEs have been identified and evaluated</w:t>
      </w:r>
      <w:r w:rsidR="008751C0">
        <w:rPr>
          <w:rFonts w:ascii="Times New Roman" w:hAnsi="Times New Roman" w:cs="Times New Roman"/>
        </w:rPr>
        <w:t xml:space="preserve">. </w:t>
      </w:r>
    </w:p>
    <w:p w:rsidR="001C15D0" w:rsidP="002F3C90" w14:paraId="69D18CA5" w14:textId="77777777">
      <w:pPr>
        <w:spacing w:after="0" w:line="240" w:lineRule="auto"/>
        <w:ind w:firstLine="720"/>
        <w:rPr>
          <w:rFonts w:ascii="Times New Roman" w:hAnsi="Times New Roman" w:cs="Times New Roman"/>
        </w:rPr>
      </w:pPr>
    </w:p>
    <w:p w:rsidR="008F2145" w:rsidRPr="006E2BCA" w:rsidP="002F3C90" w14:paraId="72069852" w14:textId="61CC5BA5">
      <w:pPr>
        <w:spacing w:after="0" w:line="240" w:lineRule="auto"/>
        <w:ind w:firstLine="720"/>
        <w:rPr>
          <w:rFonts w:ascii="Times New Roman" w:hAnsi="Times New Roman" w:cs="Times New Roman"/>
        </w:rPr>
      </w:pPr>
      <w:r>
        <w:rPr>
          <w:rFonts w:ascii="Times New Roman" w:hAnsi="Times New Roman" w:cs="Times New Roman"/>
        </w:rPr>
        <w:t xml:space="preserve">An </w:t>
      </w:r>
      <w:r w:rsidRPr="36C6C2EA">
        <w:rPr>
          <w:rFonts w:ascii="Times New Roman" w:hAnsi="Times New Roman" w:cs="Times New Roman"/>
        </w:rPr>
        <w:t xml:space="preserve">IE is defined as an occurrence that challenges plant control and safety systems and whose failure could potentially lead to an undesirable end state or radioactive material release. IEs are categorized into internal hazards and external hazards. The internal hazards include internal events, internal floods, and internal fires, while external hazards include seismic events, high winds, external floods, and other external hazards. </w:t>
      </w:r>
      <w:r w:rsidRPr="006E4F22" w:rsidR="00EE6E83">
        <w:rPr>
          <w:rFonts w:ascii="Times New Roman" w:hAnsi="Times New Roman" w:cs="Times New Roman"/>
        </w:rPr>
        <w:t xml:space="preserve">The </w:t>
      </w:r>
      <w:r w:rsidRPr="006E4F22">
        <w:rPr>
          <w:rFonts w:ascii="Times New Roman" w:hAnsi="Times New Roman" w:cs="Times New Roman"/>
        </w:rPr>
        <w:t>A</w:t>
      </w:r>
      <w:r w:rsidRPr="006E4F22" w:rsidR="00CE4AA8">
        <w:rPr>
          <w:rFonts w:ascii="Times New Roman" w:hAnsi="Times New Roman" w:cs="Times New Roman"/>
        </w:rPr>
        <w:t>merican Society of Mechanical Engineers (ASME)</w:t>
      </w:r>
      <w:r w:rsidRPr="006E4F22">
        <w:rPr>
          <w:rFonts w:ascii="Times New Roman" w:hAnsi="Times New Roman" w:cs="Times New Roman"/>
        </w:rPr>
        <w:t>/</w:t>
      </w:r>
      <w:r w:rsidRPr="006E4F22" w:rsidR="00CE4AA8">
        <w:rPr>
          <w:rFonts w:ascii="Times New Roman" w:hAnsi="Times New Roman" w:cs="Times New Roman"/>
        </w:rPr>
        <w:t>American Nuclear Society (</w:t>
      </w:r>
      <w:r w:rsidRPr="006E4F22">
        <w:rPr>
          <w:rFonts w:ascii="Times New Roman" w:hAnsi="Times New Roman" w:cs="Times New Roman"/>
        </w:rPr>
        <w:t>ANS</w:t>
      </w:r>
      <w:r w:rsidRPr="006E4F22" w:rsidR="00CE4AA8">
        <w:rPr>
          <w:rFonts w:ascii="Times New Roman" w:hAnsi="Times New Roman" w:cs="Times New Roman"/>
        </w:rPr>
        <w:t>)</w:t>
      </w:r>
      <w:r w:rsidRPr="006E4F22">
        <w:rPr>
          <w:rFonts w:ascii="Times New Roman" w:hAnsi="Times New Roman" w:cs="Times New Roman"/>
        </w:rPr>
        <w:t xml:space="preserve"> </w:t>
      </w:r>
      <w:r w:rsidRPr="006E4F22" w:rsidR="00B96D23">
        <w:rPr>
          <w:rFonts w:ascii="Times New Roman" w:hAnsi="Times New Roman" w:cs="Times New Roman"/>
        </w:rPr>
        <w:t>probabilistic risk assessment (</w:t>
      </w:r>
      <w:r w:rsidRPr="006E4F22">
        <w:rPr>
          <w:rFonts w:ascii="Times New Roman" w:hAnsi="Times New Roman" w:cs="Times New Roman"/>
        </w:rPr>
        <w:t>PRA</w:t>
      </w:r>
      <w:r w:rsidRPr="006E4F22" w:rsidR="00B96D23">
        <w:rPr>
          <w:rFonts w:ascii="Times New Roman" w:hAnsi="Times New Roman" w:cs="Times New Roman"/>
        </w:rPr>
        <w:t>)</w:t>
      </w:r>
      <w:r w:rsidRPr="006E4F22">
        <w:rPr>
          <w:rFonts w:ascii="Times New Roman" w:hAnsi="Times New Roman" w:cs="Times New Roman"/>
        </w:rPr>
        <w:t xml:space="preserve"> standard, ASME/ANS RA</w:t>
      </w:r>
      <w:r w:rsidRPr="006E4F22">
        <w:rPr>
          <w:rFonts w:ascii="Times New Roman" w:hAnsi="Times New Roman" w:cs="Times New Roman"/>
        </w:rPr>
        <w:noBreakHyphen/>
      </w:r>
      <w:r w:rsidRPr="006E4F22">
        <w:rPr>
          <w:rFonts w:ascii="Times New Roman" w:hAnsi="Times New Roman" w:cs="Times New Roman"/>
        </w:rPr>
        <w:t>S</w:t>
      </w:r>
      <w:r w:rsidR="007F681A">
        <w:rPr>
          <w:rFonts w:ascii="Times New Roman" w:hAnsi="Times New Roman" w:cs="Times New Roman"/>
        </w:rPr>
        <w:t>-</w:t>
      </w:r>
      <w:r w:rsidRPr="006E4F22">
        <w:rPr>
          <w:rFonts w:ascii="Times New Roman" w:hAnsi="Times New Roman" w:cs="Times New Roman"/>
        </w:rPr>
        <w:t>1.4</w:t>
      </w:r>
      <w:r w:rsidRPr="006E4F22">
        <w:rPr>
          <w:rFonts w:ascii="Times New Roman" w:hAnsi="Times New Roman" w:cs="Times New Roman"/>
        </w:rPr>
        <w:noBreakHyphen/>
      </w:r>
      <w:r w:rsidRPr="006E4F22">
        <w:rPr>
          <w:rFonts w:ascii="Times New Roman" w:hAnsi="Times New Roman" w:cs="Times New Roman"/>
        </w:rPr>
        <w:t>2021</w:t>
      </w:r>
      <w:r w:rsidRPr="006E4F22" w:rsidR="00B96D23">
        <w:rPr>
          <w:rFonts w:ascii="Times New Roman" w:hAnsi="Times New Roman" w:cs="Times New Roman"/>
        </w:rPr>
        <w:t>, “Probabilistic Risk Assessment Standard for Advanced Non-Light Water Reactor Nuclear Power Plants”</w:t>
      </w:r>
      <w:r w:rsidRPr="006E4F22" w:rsidR="004C2EF7">
        <w:rPr>
          <w:rFonts w:ascii="Times New Roman" w:hAnsi="Times New Roman" w:cs="Times New Roman"/>
        </w:rPr>
        <w:t xml:space="preserve"> </w:t>
      </w:r>
      <w:r w:rsidRPr="00647AE6" w:rsidR="009A1764">
        <w:rPr>
          <w:rFonts w:ascii="Times New Roman" w:hAnsi="Times New Roman" w:cs="Times New Roman"/>
        </w:rPr>
        <w:t>(Ref.</w:t>
      </w:r>
      <w:r w:rsidRPr="00647AE6">
        <w:rPr>
          <w:rFonts w:ascii="Times New Roman" w:hAnsi="Times New Roman" w:cs="Times New Roman"/>
        </w:rPr>
        <w:t> </w:t>
      </w:r>
      <w:r w:rsidRPr="00647AE6" w:rsidR="009A1764">
        <w:rPr>
          <w:rFonts w:ascii="Times New Roman" w:hAnsi="Times New Roman" w:cs="Times New Roman"/>
        </w:rPr>
        <w:t>A</w:t>
      </w:r>
      <w:r w:rsidRPr="00647AE6" w:rsidR="006D487E">
        <w:rPr>
          <w:rFonts w:ascii="Times New Roman" w:hAnsi="Times New Roman" w:cs="Times New Roman"/>
        </w:rPr>
        <w:t>.</w:t>
      </w:r>
      <w:r w:rsidRPr="00647AE6" w:rsidR="009A1764">
        <w:rPr>
          <w:rFonts w:ascii="Times New Roman" w:hAnsi="Times New Roman" w:cs="Times New Roman"/>
        </w:rPr>
        <w:t>1)</w:t>
      </w:r>
      <w:r w:rsidRPr="00647AE6">
        <w:rPr>
          <w:rFonts w:ascii="Times New Roman" w:hAnsi="Times New Roman" w:cs="Times New Roman"/>
        </w:rPr>
        <w:t>,</w:t>
      </w:r>
      <w:r w:rsidRPr="006E4F22">
        <w:rPr>
          <w:rFonts w:ascii="Times New Roman" w:hAnsi="Times New Roman" w:cs="Times New Roman"/>
        </w:rPr>
        <w:t xml:space="preserve"> as endorsed by </w:t>
      </w:r>
      <w:r w:rsidRPr="006E4F22" w:rsidR="00A45C66">
        <w:rPr>
          <w:rFonts w:ascii="Times New Roman" w:hAnsi="Times New Roman" w:cs="Times New Roman"/>
        </w:rPr>
        <w:t>Regulatory Guide (</w:t>
      </w:r>
      <w:r w:rsidRPr="006E4F22">
        <w:rPr>
          <w:rFonts w:ascii="Times New Roman" w:hAnsi="Times New Roman" w:cs="Times New Roman"/>
        </w:rPr>
        <w:t>RG</w:t>
      </w:r>
      <w:r w:rsidRPr="006E4F22" w:rsidR="00A45C66">
        <w:rPr>
          <w:rFonts w:ascii="Times New Roman" w:hAnsi="Times New Roman" w:cs="Times New Roman"/>
        </w:rPr>
        <w:t>)</w:t>
      </w:r>
      <w:r w:rsidRPr="006E4F22">
        <w:rPr>
          <w:rFonts w:ascii="Times New Roman" w:hAnsi="Times New Roman" w:cs="Times New Roman"/>
        </w:rPr>
        <w:t> </w:t>
      </w:r>
      <w:r w:rsidRPr="006E4F22">
        <w:rPr>
          <w:rFonts w:ascii="Times New Roman" w:hAnsi="Times New Roman" w:cs="Times New Roman"/>
        </w:rPr>
        <w:t>1.247</w:t>
      </w:r>
      <w:r w:rsidRPr="006E4F22" w:rsidR="00F76665">
        <w:rPr>
          <w:rFonts w:ascii="Times New Roman" w:hAnsi="Times New Roman" w:cs="Times New Roman"/>
        </w:rPr>
        <w:t xml:space="preserve"> (For Trial Use)</w:t>
      </w:r>
      <w:r w:rsidRPr="006E4F22" w:rsidR="00B96D23">
        <w:rPr>
          <w:rFonts w:ascii="Times New Roman" w:hAnsi="Times New Roman" w:cs="Times New Roman"/>
        </w:rPr>
        <w:t>, “Acceptability of Probabilistic Risk Assessment Results for Non</w:t>
      </w:r>
      <w:r w:rsidRPr="006E4F22" w:rsidR="00B96D23">
        <w:rPr>
          <w:rFonts w:ascii="Times New Roman" w:hAnsi="Times New Roman" w:cs="Times New Roman"/>
        </w:rPr>
        <w:noBreakHyphen/>
        <w:t>Light</w:t>
      </w:r>
      <w:r w:rsidRPr="006E4F22" w:rsidR="00962553">
        <w:rPr>
          <w:rFonts w:ascii="Times New Roman" w:hAnsi="Times New Roman" w:cs="Times New Roman"/>
        </w:rPr>
        <w:t>-</w:t>
      </w:r>
      <w:r w:rsidRPr="006E4F22" w:rsidR="00B96D23">
        <w:rPr>
          <w:rFonts w:ascii="Times New Roman" w:hAnsi="Times New Roman" w:cs="Times New Roman"/>
        </w:rPr>
        <w:t>Water Reactor Risk-Informed Activities</w:t>
      </w:r>
      <w:r w:rsidRPr="00647AE6" w:rsidR="00B96D23">
        <w:rPr>
          <w:rFonts w:ascii="Times New Roman" w:hAnsi="Times New Roman" w:cs="Times New Roman"/>
        </w:rPr>
        <w:t>”</w:t>
      </w:r>
      <w:r w:rsidRPr="00647AE6" w:rsidR="00304F7E">
        <w:rPr>
          <w:rFonts w:ascii="Times New Roman" w:hAnsi="Times New Roman" w:cs="Times New Roman"/>
        </w:rPr>
        <w:t xml:space="preserve"> (Ref.</w:t>
      </w:r>
      <w:r w:rsidRPr="00647AE6">
        <w:rPr>
          <w:rFonts w:ascii="Times New Roman" w:hAnsi="Times New Roman" w:cs="Times New Roman"/>
        </w:rPr>
        <w:t> </w:t>
      </w:r>
      <w:r w:rsidRPr="00647AE6" w:rsidR="00304F7E">
        <w:rPr>
          <w:rFonts w:ascii="Times New Roman" w:hAnsi="Times New Roman" w:cs="Times New Roman"/>
        </w:rPr>
        <w:t>A</w:t>
      </w:r>
      <w:r w:rsidRPr="00647AE6" w:rsidR="006D487E">
        <w:rPr>
          <w:rFonts w:ascii="Times New Roman" w:hAnsi="Times New Roman" w:cs="Times New Roman"/>
        </w:rPr>
        <w:t>.</w:t>
      </w:r>
      <w:r w:rsidRPr="00647AE6" w:rsidR="00E22346">
        <w:rPr>
          <w:rFonts w:ascii="Times New Roman" w:hAnsi="Times New Roman" w:cs="Times New Roman"/>
        </w:rPr>
        <w:t>2</w:t>
      </w:r>
      <w:r w:rsidRPr="00647AE6" w:rsidR="00304F7E">
        <w:rPr>
          <w:rFonts w:ascii="Times New Roman" w:hAnsi="Times New Roman" w:cs="Times New Roman"/>
        </w:rPr>
        <w:t>)</w:t>
      </w:r>
      <w:r w:rsidRPr="00647AE6">
        <w:rPr>
          <w:rFonts w:ascii="Times New Roman" w:hAnsi="Times New Roman" w:cs="Times New Roman"/>
        </w:rPr>
        <w:t>, provides a typical list of internal and external hazards. Table HS</w:t>
      </w:r>
      <w:r w:rsidRPr="00647AE6">
        <w:rPr>
          <w:rFonts w:ascii="Times New Roman" w:hAnsi="Times New Roman" w:cs="Times New Roman"/>
        </w:rPr>
        <w:noBreakHyphen/>
      </w:r>
      <w:r w:rsidRPr="00647AE6">
        <w:rPr>
          <w:rFonts w:ascii="Times New Roman" w:hAnsi="Times New Roman" w:cs="Times New Roman"/>
        </w:rPr>
        <w:t xml:space="preserve">2 of the PRA standard lists the hazards that are compiled based on </w:t>
      </w:r>
      <w:r w:rsidRPr="00647AE6" w:rsidR="00113262">
        <w:rPr>
          <w:rFonts w:ascii="Times New Roman" w:hAnsi="Times New Roman" w:cs="Times New Roman"/>
        </w:rPr>
        <w:t xml:space="preserve">the </w:t>
      </w:r>
      <w:r w:rsidRPr="00647AE6">
        <w:rPr>
          <w:rFonts w:ascii="Times New Roman" w:hAnsi="Times New Roman" w:cs="Times New Roman"/>
        </w:rPr>
        <w:t>review of industry studies such as NUREG/CR</w:t>
      </w:r>
      <w:r w:rsidRPr="00647AE6" w:rsidR="00113262">
        <w:rPr>
          <w:rFonts w:ascii="Times New Roman" w:hAnsi="Times New Roman" w:cs="Times New Roman"/>
        </w:rPr>
        <w:noBreakHyphen/>
      </w:r>
      <w:r w:rsidRPr="00647AE6">
        <w:rPr>
          <w:rFonts w:ascii="Times New Roman" w:hAnsi="Times New Roman" w:cs="Times New Roman"/>
        </w:rPr>
        <w:t>2300</w:t>
      </w:r>
      <w:r w:rsidRPr="00647AE6" w:rsidR="00A102AB">
        <w:rPr>
          <w:rFonts w:ascii="Times New Roman" w:hAnsi="Times New Roman" w:cs="Times New Roman"/>
        </w:rPr>
        <w:t>,</w:t>
      </w:r>
      <w:r w:rsidRPr="00647AE6" w:rsidR="003B29D3">
        <w:rPr>
          <w:rFonts w:ascii="Times New Roman" w:hAnsi="Times New Roman" w:cs="Times New Roman"/>
        </w:rPr>
        <w:t xml:space="preserve"> </w:t>
      </w:r>
      <w:r w:rsidRPr="00647AE6" w:rsidR="00A102AB">
        <w:rPr>
          <w:rFonts w:ascii="Times New Roman" w:hAnsi="Times New Roman" w:cs="Times New Roman"/>
        </w:rPr>
        <w:t>“PRA Procedures Guide</w:t>
      </w:r>
      <w:r w:rsidRPr="007614F7" w:rsidR="00423E28">
        <w:rPr>
          <w:rFonts w:ascii="Times New Roman" w:hAnsi="Times New Roman" w:cs="Times New Roman"/>
        </w:rPr>
        <w:t>: A Guide to the Performance of Probabilistic Risk Assessments for Nuclear Power Plants</w:t>
      </w:r>
      <w:r w:rsidRPr="00647AE6" w:rsidR="00A102AB">
        <w:rPr>
          <w:rFonts w:ascii="Times New Roman" w:hAnsi="Times New Roman" w:cs="Times New Roman"/>
        </w:rPr>
        <w:t xml:space="preserve">,” </w:t>
      </w:r>
      <w:r w:rsidRPr="00647AE6" w:rsidR="007B70E2">
        <w:rPr>
          <w:rFonts w:ascii="Times New Roman" w:hAnsi="Times New Roman" w:cs="Times New Roman"/>
        </w:rPr>
        <w:t xml:space="preserve">issued </w:t>
      </w:r>
      <w:r w:rsidRPr="00647AE6" w:rsidR="00A102AB">
        <w:rPr>
          <w:rFonts w:ascii="Times New Roman" w:hAnsi="Times New Roman" w:cs="Times New Roman"/>
        </w:rPr>
        <w:t xml:space="preserve">1983 </w:t>
      </w:r>
      <w:r w:rsidRPr="00647AE6" w:rsidR="003B29D3">
        <w:rPr>
          <w:rFonts w:ascii="Times New Roman" w:hAnsi="Times New Roman" w:cs="Times New Roman"/>
        </w:rPr>
        <w:t>(Ref.</w:t>
      </w:r>
      <w:r w:rsidRPr="00647AE6" w:rsidR="00113262">
        <w:rPr>
          <w:rFonts w:ascii="Times New Roman" w:hAnsi="Times New Roman" w:cs="Times New Roman"/>
        </w:rPr>
        <w:t> </w:t>
      </w:r>
      <w:r w:rsidRPr="00647AE6" w:rsidR="001C288B">
        <w:rPr>
          <w:rFonts w:ascii="Times New Roman" w:hAnsi="Times New Roman" w:cs="Times New Roman"/>
        </w:rPr>
        <w:t>A</w:t>
      </w:r>
      <w:r w:rsidRPr="00647AE6" w:rsidR="006D487E">
        <w:rPr>
          <w:rFonts w:ascii="Times New Roman" w:hAnsi="Times New Roman" w:cs="Times New Roman"/>
        </w:rPr>
        <w:t>.</w:t>
      </w:r>
      <w:r w:rsidRPr="00647AE6" w:rsidR="00301FC3">
        <w:rPr>
          <w:rFonts w:ascii="Times New Roman" w:hAnsi="Times New Roman" w:cs="Times New Roman"/>
        </w:rPr>
        <w:t>3</w:t>
      </w:r>
      <w:r w:rsidRPr="00647AE6" w:rsidR="003B29D3">
        <w:rPr>
          <w:rFonts w:ascii="Times New Roman" w:hAnsi="Times New Roman" w:cs="Times New Roman"/>
        </w:rPr>
        <w:t>)</w:t>
      </w:r>
      <w:r w:rsidRPr="00647AE6" w:rsidR="00A102AB">
        <w:rPr>
          <w:rFonts w:ascii="Times New Roman" w:hAnsi="Times New Roman" w:cs="Times New Roman"/>
        </w:rPr>
        <w:t>;</w:t>
      </w:r>
      <w:r w:rsidRPr="00647AE6">
        <w:rPr>
          <w:rFonts w:ascii="Times New Roman" w:hAnsi="Times New Roman" w:cs="Times New Roman"/>
        </w:rPr>
        <w:t xml:space="preserve"> NUREG</w:t>
      </w:r>
      <w:r w:rsidRPr="00647AE6" w:rsidR="00113262">
        <w:rPr>
          <w:rFonts w:ascii="Times New Roman" w:hAnsi="Times New Roman" w:cs="Times New Roman"/>
        </w:rPr>
        <w:noBreakHyphen/>
      </w:r>
      <w:r w:rsidRPr="00647AE6">
        <w:rPr>
          <w:rFonts w:ascii="Times New Roman" w:hAnsi="Times New Roman" w:cs="Times New Roman"/>
        </w:rPr>
        <w:t>1407</w:t>
      </w:r>
      <w:r w:rsidRPr="00647AE6" w:rsidR="00A102AB">
        <w:rPr>
          <w:rFonts w:ascii="Times New Roman" w:hAnsi="Times New Roman" w:cs="Times New Roman"/>
        </w:rPr>
        <w:t>, “Procedural and Submittal</w:t>
      </w:r>
      <w:r w:rsidRPr="00647AE6" w:rsidR="00A102AB">
        <w:rPr>
          <w:rFonts w:ascii="Times New Roman" w:hAnsi="Times New Roman" w:eastAsiaTheme="minorEastAsia" w:cs="Times New Roman"/>
        </w:rPr>
        <w:t xml:space="preserve"> </w:t>
      </w:r>
      <w:r w:rsidRPr="00647AE6" w:rsidR="00A102AB">
        <w:rPr>
          <w:rFonts w:ascii="Times New Roman" w:hAnsi="Times New Roman" w:cs="Times New Roman"/>
        </w:rPr>
        <w:t>Guidance for the Individual</w:t>
      </w:r>
      <w:r w:rsidRPr="00647AE6" w:rsidR="00A102AB">
        <w:rPr>
          <w:rFonts w:ascii="Times New Roman" w:hAnsi="Times New Roman" w:eastAsiaTheme="minorEastAsia" w:cs="Times New Roman"/>
        </w:rPr>
        <w:t xml:space="preserve"> </w:t>
      </w:r>
      <w:r w:rsidRPr="00647AE6" w:rsidR="00A102AB">
        <w:rPr>
          <w:rFonts w:ascii="Times New Roman" w:hAnsi="Times New Roman" w:cs="Times New Roman"/>
        </w:rPr>
        <w:t>Plant Examination of External</w:t>
      </w:r>
      <w:r w:rsidRPr="00647AE6" w:rsidR="00A102AB">
        <w:rPr>
          <w:rFonts w:ascii="Times New Roman" w:hAnsi="Times New Roman" w:eastAsiaTheme="minorEastAsia" w:cs="Times New Roman"/>
        </w:rPr>
        <w:t xml:space="preserve"> </w:t>
      </w:r>
      <w:r w:rsidRPr="00647AE6" w:rsidR="00A102AB">
        <w:rPr>
          <w:rFonts w:ascii="Times New Roman" w:hAnsi="Times New Roman" w:cs="Times New Roman"/>
        </w:rPr>
        <w:t>Events (IPEEE) for Severe</w:t>
      </w:r>
      <w:r w:rsidRPr="00647AE6" w:rsidR="00A102AB">
        <w:rPr>
          <w:rFonts w:ascii="Times New Roman" w:hAnsi="Times New Roman" w:eastAsiaTheme="minorEastAsia" w:cs="Times New Roman"/>
        </w:rPr>
        <w:t xml:space="preserve"> </w:t>
      </w:r>
      <w:r w:rsidRPr="00647AE6" w:rsidR="00A102AB">
        <w:rPr>
          <w:rFonts w:ascii="Times New Roman" w:hAnsi="Times New Roman" w:cs="Times New Roman"/>
        </w:rPr>
        <w:t>Accident Vulnerabilities</w:t>
      </w:r>
      <w:r w:rsidRPr="00647AE6" w:rsidR="00A102AB">
        <w:rPr>
          <w:rFonts w:ascii="Times New Roman" w:hAnsi="Times New Roman" w:eastAsiaTheme="minorEastAsia" w:cs="Times New Roman"/>
        </w:rPr>
        <w:t xml:space="preserve">,” </w:t>
      </w:r>
      <w:r w:rsidRPr="00647AE6" w:rsidR="007B70E2">
        <w:rPr>
          <w:rFonts w:ascii="Times New Roman" w:hAnsi="Times New Roman" w:eastAsiaTheme="minorEastAsia" w:cs="Times New Roman"/>
        </w:rPr>
        <w:t xml:space="preserve">issued </w:t>
      </w:r>
      <w:r w:rsidRPr="00647AE6" w:rsidR="00A102AB">
        <w:rPr>
          <w:rFonts w:ascii="Times New Roman" w:hAnsi="Times New Roman" w:eastAsiaTheme="minorEastAsia" w:cs="Times New Roman"/>
        </w:rPr>
        <w:t>1991</w:t>
      </w:r>
      <w:r w:rsidRPr="00647AE6" w:rsidR="00D3407C">
        <w:rPr>
          <w:rFonts w:ascii="Times New Roman" w:hAnsi="Times New Roman" w:cs="Times New Roman"/>
        </w:rPr>
        <w:t xml:space="preserve"> (Ref.</w:t>
      </w:r>
      <w:r w:rsidRPr="00647AE6" w:rsidR="00113262">
        <w:rPr>
          <w:rFonts w:ascii="Times New Roman" w:hAnsi="Times New Roman" w:cs="Times New Roman"/>
        </w:rPr>
        <w:t> </w:t>
      </w:r>
      <w:r w:rsidRPr="00647AE6" w:rsidR="00D3407C">
        <w:rPr>
          <w:rFonts w:ascii="Times New Roman" w:hAnsi="Times New Roman" w:cs="Times New Roman"/>
        </w:rPr>
        <w:t>A</w:t>
      </w:r>
      <w:r w:rsidRPr="00647AE6" w:rsidR="006D487E">
        <w:rPr>
          <w:rFonts w:ascii="Times New Roman" w:hAnsi="Times New Roman" w:cs="Times New Roman"/>
        </w:rPr>
        <w:t>.</w:t>
      </w:r>
      <w:r w:rsidRPr="00647AE6" w:rsidR="00301FC3">
        <w:rPr>
          <w:rFonts w:ascii="Times New Roman" w:hAnsi="Times New Roman" w:cs="Times New Roman"/>
        </w:rPr>
        <w:t>4</w:t>
      </w:r>
      <w:r w:rsidRPr="00647AE6" w:rsidR="00A575E7">
        <w:rPr>
          <w:rFonts w:ascii="Times New Roman" w:hAnsi="Times New Roman" w:cs="Times New Roman"/>
        </w:rPr>
        <w:t>)</w:t>
      </w:r>
      <w:r w:rsidRPr="00647AE6" w:rsidR="00B96D23">
        <w:rPr>
          <w:rFonts w:ascii="Times New Roman" w:hAnsi="Times New Roman" w:cs="Times New Roman"/>
        </w:rPr>
        <w:t>;</w:t>
      </w:r>
      <w:r w:rsidRPr="00647AE6">
        <w:rPr>
          <w:rFonts w:ascii="Times New Roman" w:hAnsi="Times New Roman" w:cs="Times New Roman"/>
        </w:rPr>
        <w:t xml:space="preserve"> I</w:t>
      </w:r>
      <w:r w:rsidRPr="00647AE6" w:rsidR="00113262">
        <w:rPr>
          <w:rFonts w:ascii="Times New Roman" w:hAnsi="Times New Roman" w:cs="Times New Roman"/>
        </w:rPr>
        <w:t>nternational Atomic Energy Agency (I</w:t>
      </w:r>
      <w:r w:rsidRPr="00647AE6">
        <w:rPr>
          <w:rFonts w:ascii="Times New Roman" w:hAnsi="Times New Roman" w:cs="Times New Roman"/>
        </w:rPr>
        <w:t>AEA</w:t>
      </w:r>
      <w:r w:rsidRPr="00647AE6" w:rsidR="00113262">
        <w:rPr>
          <w:rFonts w:ascii="Times New Roman" w:hAnsi="Times New Roman" w:cs="Times New Roman"/>
        </w:rPr>
        <w:t>)</w:t>
      </w:r>
      <w:r w:rsidRPr="00647AE6">
        <w:rPr>
          <w:rFonts w:ascii="Times New Roman" w:hAnsi="Times New Roman" w:cs="Times New Roman"/>
        </w:rPr>
        <w:t xml:space="preserve"> SSG</w:t>
      </w:r>
      <w:r w:rsidRPr="00647AE6" w:rsidR="00113262">
        <w:rPr>
          <w:rFonts w:ascii="Times New Roman" w:hAnsi="Times New Roman" w:cs="Times New Roman"/>
        </w:rPr>
        <w:noBreakHyphen/>
      </w:r>
      <w:r w:rsidRPr="00647AE6">
        <w:rPr>
          <w:rFonts w:ascii="Times New Roman" w:hAnsi="Times New Roman" w:cs="Times New Roman"/>
        </w:rPr>
        <w:t>3</w:t>
      </w:r>
      <w:r w:rsidRPr="00647AE6" w:rsidR="00A102AB">
        <w:rPr>
          <w:rFonts w:ascii="Times New Roman" w:hAnsi="Times New Roman" w:cs="Times New Roman"/>
        </w:rPr>
        <w:t>, “Development and Application of Level 1 Probabilistic Safety Assessment for Nuclear Power Plants,”</w:t>
      </w:r>
      <w:r w:rsidRPr="00647AE6" w:rsidR="004C2D74">
        <w:rPr>
          <w:rFonts w:ascii="Times New Roman" w:hAnsi="Times New Roman" w:cs="Times New Roman"/>
        </w:rPr>
        <w:t xml:space="preserve"> </w:t>
      </w:r>
      <w:r w:rsidRPr="00647AE6" w:rsidR="007B70E2">
        <w:rPr>
          <w:rFonts w:ascii="Times New Roman" w:hAnsi="Times New Roman" w:cs="Times New Roman"/>
        </w:rPr>
        <w:t xml:space="preserve">issued </w:t>
      </w:r>
      <w:r w:rsidRPr="00647AE6" w:rsidR="00A102AB">
        <w:rPr>
          <w:rFonts w:ascii="Times New Roman" w:hAnsi="Times New Roman" w:cs="Times New Roman"/>
        </w:rPr>
        <w:t xml:space="preserve">2010 </w:t>
      </w:r>
      <w:r w:rsidRPr="00647AE6" w:rsidR="004C2D74">
        <w:rPr>
          <w:rFonts w:ascii="Times New Roman" w:hAnsi="Times New Roman" w:cs="Times New Roman"/>
        </w:rPr>
        <w:t>(Ref.</w:t>
      </w:r>
      <w:r w:rsidRPr="00647AE6" w:rsidR="00113262">
        <w:rPr>
          <w:rFonts w:ascii="Times New Roman" w:hAnsi="Times New Roman" w:cs="Times New Roman"/>
        </w:rPr>
        <w:t> </w:t>
      </w:r>
      <w:r w:rsidRPr="00647AE6" w:rsidR="004C2D74">
        <w:rPr>
          <w:rFonts w:ascii="Times New Roman" w:hAnsi="Times New Roman" w:cs="Times New Roman"/>
        </w:rPr>
        <w:t>A</w:t>
      </w:r>
      <w:r w:rsidRPr="00647AE6" w:rsidR="006D487E">
        <w:rPr>
          <w:rFonts w:ascii="Times New Roman" w:hAnsi="Times New Roman" w:cs="Times New Roman"/>
        </w:rPr>
        <w:t>.</w:t>
      </w:r>
      <w:r w:rsidRPr="00647AE6" w:rsidR="00301FC3">
        <w:rPr>
          <w:rFonts w:ascii="Times New Roman" w:hAnsi="Times New Roman" w:cs="Times New Roman"/>
        </w:rPr>
        <w:t>5</w:t>
      </w:r>
      <w:r w:rsidRPr="00647AE6" w:rsidR="004C2D74">
        <w:rPr>
          <w:rFonts w:ascii="Times New Roman" w:hAnsi="Times New Roman" w:cs="Times New Roman"/>
        </w:rPr>
        <w:t>)</w:t>
      </w:r>
      <w:r w:rsidRPr="00647AE6" w:rsidR="00B96D23">
        <w:rPr>
          <w:rFonts w:ascii="Times New Roman" w:hAnsi="Times New Roman" w:cs="Times New Roman"/>
        </w:rPr>
        <w:t>; and</w:t>
      </w:r>
      <w:r w:rsidRPr="00647AE6">
        <w:rPr>
          <w:rFonts w:ascii="Times New Roman" w:hAnsi="Times New Roman" w:cs="Times New Roman"/>
        </w:rPr>
        <w:t xml:space="preserve"> E</w:t>
      </w:r>
      <w:r w:rsidRPr="00647AE6" w:rsidR="00CE4AA8">
        <w:rPr>
          <w:rFonts w:ascii="Times New Roman" w:hAnsi="Times New Roman" w:cs="Times New Roman"/>
        </w:rPr>
        <w:t>lectric Power Research Institute (EPRI)</w:t>
      </w:r>
      <w:r w:rsidRPr="00647AE6">
        <w:rPr>
          <w:rFonts w:ascii="Times New Roman" w:hAnsi="Times New Roman" w:cs="Times New Roman"/>
        </w:rPr>
        <w:t xml:space="preserve"> </w:t>
      </w:r>
      <w:r w:rsidRPr="00647AE6" w:rsidR="00487D68">
        <w:rPr>
          <w:rFonts w:ascii="Times New Roman" w:hAnsi="Times New Roman" w:cs="Times New Roman"/>
        </w:rPr>
        <w:t>Report </w:t>
      </w:r>
      <w:r w:rsidRPr="00647AE6">
        <w:rPr>
          <w:rFonts w:ascii="Times New Roman" w:hAnsi="Times New Roman" w:cs="Times New Roman"/>
        </w:rPr>
        <w:t>1022997</w:t>
      </w:r>
      <w:r w:rsidRPr="00647AE6" w:rsidR="00A102AB">
        <w:rPr>
          <w:rFonts w:ascii="Times New Roman" w:hAnsi="Times New Roman" w:cs="Times New Roman"/>
        </w:rPr>
        <w:t>, “</w:t>
      </w:r>
      <w:r w:rsidRPr="00647AE6" w:rsidR="00EE6B03">
        <w:rPr>
          <w:rFonts w:ascii="Times New Roman" w:hAnsi="Times New Roman" w:cs="Times New Roman"/>
        </w:rPr>
        <w:t>Identification of External Hazards for Analysis in Probabilistic Risk Assessment</w:t>
      </w:r>
      <w:r w:rsidRPr="00647AE6" w:rsidR="00A102AB">
        <w:rPr>
          <w:rFonts w:ascii="Times New Roman" w:hAnsi="Times New Roman" w:cs="Times New Roman"/>
        </w:rPr>
        <w:t xml:space="preserve">,” </w:t>
      </w:r>
      <w:r w:rsidRPr="00647AE6" w:rsidR="00A249D1">
        <w:rPr>
          <w:rFonts w:ascii="Times New Roman" w:hAnsi="Times New Roman" w:cs="Times New Roman"/>
        </w:rPr>
        <w:t xml:space="preserve">issued </w:t>
      </w:r>
      <w:r w:rsidRPr="00647AE6" w:rsidR="00A102AB">
        <w:rPr>
          <w:rFonts w:ascii="Times New Roman" w:hAnsi="Times New Roman" w:cs="Times New Roman"/>
        </w:rPr>
        <w:t>201</w:t>
      </w:r>
      <w:r w:rsidRPr="00647AE6" w:rsidR="00487D68">
        <w:rPr>
          <w:rFonts w:ascii="Times New Roman" w:hAnsi="Times New Roman" w:cs="Times New Roman"/>
        </w:rPr>
        <w:t>1</w:t>
      </w:r>
      <w:r w:rsidRPr="00647AE6" w:rsidR="00A62E7A">
        <w:rPr>
          <w:rFonts w:ascii="Times New Roman" w:hAnsi="Times New Roman" w:cs="Times New Roman"/>
        </w:rPr>
        <w:t xml:space="preserve"> (Ref.</w:t>
      </w:r>
      <w:r w:rsidRPr="00647AE6" w:rsidR="00113262">
        <w:rPr>
          <w:rFonts w:ascii="Times New Roman" w:hAnsi="Times New Roman" w:cs="Times New Roman"/>
        </w:rPr>
        <w:t> </w:t>
      </w:r>
      <w:r w:rsidRPr="00647AE6" w:rsidR="00A62E7A">
        <w:rPr>
          <w:rFonts w:ascii="Times New Roman" w:hAnsi="Times New Roman" w:cs="Times New Roman"/>
        </w:rPr>
        <w:t>A</w:t>
      </w:r>
      <w:r w:rsidRPr="00647AE6" w:rsidR="00A933AC">
        <w:rPr>
          <w:rFonts w:ascii="Times New Roman" w:hAnsi="Times New Roman" w:cs="Times New Roman"/>
        </w:rPr>
        <w:t>.</w:t>
      </w:r>
      <w:r w:rsidRPr="00647AE6" w:rsidR="00736864">
        <w:rPr>
          <w:rFonts w:ascii="Times New Roman" w:hAnsi="Times New Roman" w:cs="Times New Roman"/>
        </w:rPr>
        <w:t>6</w:t>
      </w:r>
      <w:r w:rsidRPr="00647AE6" w:rsidR="00A62E7A">
        <w:rPr>
          <w:rFonts w:ascii="Times New Roman" w:hAnsi="Times New Roman" w:cs="Times New Roman"/>
        </w:rPr>
        <w:t>)</w:t>
      </w:r>
      <w:r w:rsidRPr="00647AE6" w:rsidR="008751C0">
        <w:rPr>
          <w:rFonts w:ascii="Times New Roman" w:hAnsi="Times New Roman" w:cs="Times New Roman"/>
        </w:rPr>
        <w:t>.</w:t>
      </w:r>
      <w:r>
        <w:rPr>
          <w:rStyle w:val="FootnoteReference"/>
          <w:rFonts w:ascii="Times New Roman" w:hAnsi="Times New Roman" w:cs="Times New Roman"/>
        </w:rPr>
        <w:footnoteReference w:id="7"/>
      </w:r>
      <w:r w:rsidR="008751C0">
        <w:rPr>
          <w:rFonts w:ascii="Times New Roman" w:hAnsi="Times New Roman" w:cs="Times New Roman"/>
        </w:rPr>
        <w:t xml:space="preserve"> </w:t>
      </w:r>
      <w:r w:rsidRPr="36C6C2EA">
        <w:rPr>
          <w:rFonts w:ascii="Times New Roman" w:hAnsi="Times New Roman" w:cs="Times New Roman"/>
        </w:rPr>
        <w:t>Although Table</w:t>
      </w:r>
      <w:r w:rsidR="00113262">
        <w:rPr>
          <w:rFonts w:ascii="Times New Roman" w:hAnsi="Times New Roman" w:cs="Times New Roman"/>
        </w:rPr>
        <w:t> </w:t>
      </w:r>
      <w:r w:rsidRPr="36C6C2EA">
        <w:rPr>
          <w:rFonts w:ascii="Times New Roman" w:hAnsi="Times New Roman" w:cs="Times New Roman"/>
        </w:rPr>
        <w:t>HS</w:t>
      </w:r>
      <w:r w:rsidR="00113262">
        <w:rPr>
          <w:rFonts w:ascii="Times New Roman" w:hAnsi="Times New Roman" w:cs="Times New Roman"/>
        </w:rPr>
        <w:noBreakHyphen/>
      </w:r>
      <w:r w:rsidRPr="36C6C2EA">
        <w:rPr>
          <w:rFonts w:ascii="Times New Roman" w:hAnsi="Times New Roman" w:cs="Times New Roman"/>
        </w:rPr>
        <w:t>2 identifies the potential hazards for preliminary consideration, the table does not explicitly list the internal events, internal floods, and internal fires</w:t>
      </w:r>
      <w:r w:rsidR="008751C0">
        <w:rPr>
          <w:rFonts w:ascii="Times New Roman" w:hAnsi="Times New Roman" w:cs="Times New Roman"/>
        </w:rPr>
        <w:t xml:space="preserve">. </w:t>
      </w:r>
      <w:r w:rsidRPr="36C6C2EA">
        <w:rPr>
          <w:rFonts w:ascii="Times New Roman" w:hAnsi="Times New Roman" w:cs="Times New Roman"/>
        </w:rPr>
        <w:t>Therefore, a comprehensive effort with a thorough systematic search using appropriate methods should be performed to exhaustively identify and evaluate IEs to account for design</w:t>
      </w:r>
      <w:r w:rsidR="00A102AB">
        <w:rPr>
          <w:rFonts w:ascii="Times New Roman" w:hAnsi="Times New Roman" w:cs="Times New Roman"/>
        </w:rPr>
        <w:noBreakHyphen/>
      </w:r>
      <w:r w:rsidRPr="36C6C2EA">
        <w:rPr>
          <w:rFonts w:ascii="Times New Roman" w:hAnsi="Times New Roman" w:cs="Times New Roman"/>
        </w:rPr>
        <w:t>specific factors.</w:t>
      </w:r>
    </w:p>
    <w:p w:rsidR="001C15D0" w:rsidP="002F3C90" w14:paraId="7546C2FC" w14:textId="77777777">
      <w:pPr>
        <w:spacing w:after="0" w:line="240" w:lineRule="auto"/>
        <w:ind w:firstLine="720"/>
        <w:rPr>
          <w:rFonts w:ascii="Times New Roman" w:hAnsi="Times New Roman" w:cs="Times New Roman"/>
        </w:rPr>
      </w:pPr>
    </w:p>
    <w:p w:rsidR="008F2145" w:rsidRPr="006E2BCA" w:rsidP="002F3C90" w14:paraId="020E8451" w14:textId="4F7ED7CB">
      <w:pPr>
        <w:spacing w:after="0" w:line="240" w:lineRule="auto"/>
        <w:ind w:firstLine="720"/>
        <w:rPr>
          <w:rFonts w:ascii="Times New Roman" w:hAnsi="Times New Roman" w:cs="Times New Roman"/>
        </w:rPr>
      </w:pPr>
      <w:r w:rsidRPr="006E2BCA">
        <w:rPr>
          <w:rFonts w:ascii="Times New Roman" w:hAnsi="Times New Roman" w:cs="Times New Roman"/>
        </w:rPr>
        <w:t>Identification of the IEs is an iterative process</w:t>
      </w:r>
      <w:r w:rsidR="008751C0">
        <w:rPr>
          <w:rFonts w:ascii="Times New Roman" w:hAnsi="Times New Roman" w:cs="Times New Roman"/>
        </w:rPr>
        <w:t xml:space="preserve">. </w:t>
      </w:r>
      <w:r w:rsidRPr="006E2BCA">
        <w:rPr>
          <w:rFonts w:ascii="Times New Roman" w:hAnsi="Times New Roman" w:cs="Times New Roman"/>
        </w:rPr>
        <w:t xml:space="preserve">The search for </w:t>
      </w:r>
      <w:r w:rsidR="00475263">
        <w:rPr>
          <w:rFonts w:ascii="Times New Roman" w:hAnsi="Times New Roman" w:cs="Times New Roman"/>
        </w:rPr>
        <w:t>IEs</w:t>
      </w:r>
      <w:r w:rsidRPr="006E2BCA">
        <w:rPr>
          <w:rFonts w:ascii="Times New Roman" w:hAnsi="Times New Roman" w:cs="Times New Roman"/>
        </w:rPr>
        <w:t xml:space="preserve"> is not a one-time activity but involves iterations that are generally commensurate with the design development process that starts with a conceptual design</w:t>
      </w:r>
      <w:r w:rsidR="008751C0">
        <w:rPr>
          <w:rFonts w:ascii="Times New Roman" w:hAnsi="Times New Roman" w:cs="Times New Roman"/>
        </w:rPr>
        <w:t xml:space="preserve">. </w:t>
      </w:r>
      <w:r w:rsidRPr="006E2BCA">
        <w:rPr>
          <w:rFonts w:ascii="Times New Roman" w:hAnsi="Times New Roman" w:cs="Times New Roman"/>
        </w:rPr>
        <w:t>As the design matures and the understanding of the design and operation of the plant increases, the search for IEs continues</w:t>
      </w:r>
      <w:r w:rsidR="00B96D23">
        <w:rPr>
          <w:rFonts w:ascii="Times New Roman" w:hAnsi="Times New Roman" w:cs="Times New Roman"/>
        </w:rPr>
        <w:t>,</w:t>
      </w:r>
      <w:r w:rsidRPr="006E2BCA">
        <w:rPr>
          <w:rFonts w:ascii="Times New Roman" w:hAnsi="Times New Roman" w:cs="Times New Roman"/>
        </w:rPr>
        <w:t xml:space="preserve"> and the list of IEs is further refined and iteratively updated</w:t>
      </w:r>
      <w:r w:rsidR="008751C0">
        <w:rPr>
          <w:rFonts w:ascii="Times New Roman" w:hAnsi="Times New Roman" w:cs="Times New Roman"/>
        </w:rPr>
        <w:t xml:space="preserve">. </w:t>
      </w:r>
      <w:r w:rsidRPr="006E2BCA">
        <w:rPr>
          <w:rFonts w:ascii="Times New Roman" w:hAnsi="Times New Roman" w:cs="Times New Roman"/>
        </w:rPr>
        <w:t xml:space="preserve">The set of IEs should be revisited throughout </w:t>
      </w:r>
      <w:r w:rsidRPr="006E2BCA">
        <w:rPr>
          <w:rFonts w:ascii="Times New Roman" w:hAnsi="Times New Roman" w:cs="Times New Roman"/>
        </w:rPr>
        <w:t>the plant</w:t>
      </w:r>
      <w:r w:rsidRPr="006E2BCA">
        <w:rPr>
          <w:rFonts w:ascii="Times New Roman" w:hAnsi="Times New Roman" w:cs="Times New Roman"/>
        </w:rPr>
        <w:t xml:space="preserve"> life to reflect the as-built and as-operated conditions.</w:t>
      </w:r>
    </w:p>
    <w:p w:rsidR="001C15D0" w:rsidP="002F3C90" w14:paraId="115EE55D" w14:textId="77777777">
      <w:pPr>
        <w:spacing w:after="0" w:line="240" w:lineRule="auto"/>
        <w:ind w:firstLine="720"/>
        <w:rPr>
          <w:rFonts w:ascii="Times New Roman" w:hAnsi="Times New Roman" w:cs="Times New Roman"/>
        </w:rPr>
      </w:pPr>
    </w:p>
    <w:p w:rsidR="008F2145" w:rsidP="002F3C90" w14:paraId="01F6DB17" w14:textId="7358B05B">
      <w:pPr>
        <w:spacing w:after="0" w:line="240" w:lineRule="auto"/>
        <w:ind w:firstLine="720"/>
        <w:rPr>
          <w:rFonts w:ascii="Times New Roman" w:hAnsi="Times New Roman" w:cs="Times New Roman"/>
        </w:rPr>
      </w:pPr>
      <w:r w:rsidRPr="36C6C2EA">
        <w:rPr>
          <w:rFonts w:ascii="Times New Roman" w:hAnsi="Times New Roman" w:cs="Times New Roman"/>
        </w:rPr>
        <w:t xml:space="preserve">There are many existing sources of literature and guidance regarding the search </w:t>
      </w:r>
      <w:r w:rsidR="00AF1B14">
        <w:rPr>
          <w:rFonts w:ascii="Times New Roman" w:hAnsi="Times New Roman" w:cs="Times New Roman"/>
        </w:rPr>
        <w:t>for</w:t>
      </w:r>
      <w:r w:rsidRPr="36C6C2EA" w:rsidR="00AF1B14">
        <w:rPr>
          <w:rFonts w:ascii="Times New Roman" w:hAnsi="Times New Roman" w:cs="Times New Roman"/>
        </w:rPr>
        <w:t xml:space="preserve"> </w:t>
      </w:r>
      <w:r w:rsidRPr="36C6C2EA">
        <w:rPr>
          <w:rFonts w:ascii="Times New Roman" w:hAnsi="Times New Roman" w:cs="Times New Roman"/>
        </w:rPr>
        <w:t>IEs and the methods used for identifying the</w:t>
      </w:r>
      <w:r w:rsidR="00113262">
        <w:rPr>
          <w:rFonts w:ascii="Times New Roman" w:hAnsi="Times New Roman" w:cs="Times New Roman"/>
        </w:rPr>
        <w:t>m</w:t>
      </w:r>
      <w:r w:rsidR="00E66085">
        <w:rPr>
          <w:rFonts w:ascii="Times New Roman" w:hAnsi="Times New Roman" w:cs="Times New Roman"/>
        </w:rPr>
        <w:t>, including the following:</w:t>
      </w:r>
    </w:p>
    <w:p w:rsidR="00544212" w:rsidP="002F3C90" w14:paraId="632E215F" w14:textId="77777777">
      <w:pPr>
        <w:spacing w:after="0" w:line="240" w:lineRule="auto"/>
        <w:rPr>
          <w:rFonts w:ascii="Times New Roman" w:hAnsi="Times New Roman" w:cs="Times New Roman"/>
        </w:rPr>
      </w:pPr>
    </w:p>
    <w:p w:rsidR="00544212" w:rsidRPr="003D4130" w:rsidP="002F3C90" w14:paraId="095C4C3F" w14:textId="1FFC81A6">
      <w:pPr>
        <w:pStyle w:val="ListParagraph"/>
        <w:numPr>
          <w:ilvl w:val="0"/>
          <w:numId w:val="72"/>
        </w:numPr>
        <w:spacing w:after="0" w:line="240" w:lineRule="auto"/>
        <w:ind w:hanging="720"/>
        <w:rPr>
          <w:rFonts w:ascii="Times New Roman" w:hAnsi="Times New Roman" w:cs="Times New Roman"/>
        </w:rPr>
      </w:pPr>
      <w:r w:rsidRPr="003D4130">
        <w:rPr>
          <w:rFonts w:ascii="Times New Roman" w:hAnsi="Times New Roman" w:cs="Times New Roman"/>
        </w:rPr>
        <w:t xml:space="preserve">References </w:t>
      </w:r>
      <w:r w:rsidRPr="003D4130" w:rsidR="00901FED">
        <w:rPr>
          <w:rFonts w:ascii="Times New Roman" w:hAnsi="Times New Roman" w:cs="Times New Roman"/>
        </w:rPr>
        <w:t>p</w:t>
      </w:r>
      <w:r w:rsidRPr="003D4130">
        <w:rPr>
          <w:rFonts w:ascii="Times New Roman" w:hAnsi="Times New Roman" w:cs="Times New Roman"/>
        </w:rPr>
        <w:t>ublished by the NRC</w:t>
      </w:r>
      <w:r w:rsidRPr="003D4130" w:rsidR="000917E5">
        <w:rPr>
          <w:rFonts w:ascii="Times New Roman" w:hAnsi="Times New Roman" w:cs="Times New Roman"/>
        </w:rPr>
        <w:t xml:space="preserve"> and </w:t>
      </w:r>
      <w:r w:rsidRPr="003D4130" w:rsidR="00901FED">
        <w:rPr>
          <w:rFonts w:ascii="Times New Roman" w:hAnsi="Times New Roman" w:cs="Times New Roman"/>
        </w:rPr>
        <w:t>o</w:t>
      </w:r>
      <w:r w:rsidRPr="003D4130" w:rsidR="000917E5">
        <w:rPr>
          <w:rFonts w:ascii="Times New Roman" w:hAnsi="Times New Roman" w:cs="Times New Roman"/>
        </w:rPr>
        <w:t xml:space="preserve">ther </w:t>
      </w:r>
      <w:r w:rsidRPr="003D4130" w:rsidR="00901FED">
        <w:rPr>
          <w:rFonts w:ascii="Times New Roman" w:hAnsi="Times New Roman" w:cs="Times New Roman"/>
        </w:rPr>
        <w:t>f</w:t>
      </w:r>
      <w:r w:rsidRPr="003D4130" w:rsidR="000917E5">
        <w:rPr>
          <w:rFonts w:ascii="Times New Roman" w:hAnsi="Times New Roman" w:cs="Times New Roman"/>
        </w:rPr>
        <w:t xml:space="preserve">ederal </w:t>
      </w:r>
      <w:r w:rsidRPr="003D4130" w:rsidR="00901FED">
        <w:rPr>
          <w:rFonts w:ascii="Times New Roman" w:hAnsi="Times New Roman" w:cs="Times New Roman"/>
        </w:rPr>
        <w:t>a</w:t>
      </w:r>
      <w:r w:rsidRPr="003D4130" w:rsidR="000917E5">
        <w:rPr>
          <w:rFonts w:ascii="Times New Roman" w:hAnsi="Times New Roman" w:cs="Times New Roman"/>
        </w:rPr>
        <w:t>gencies</w:t>
      </w:r>
      <w:r w:rsidR="00CA7C5B">
        <w:rPr>
          <w:rFonts w:ascii="Times New Roman" w:hAnsi="Times New Roman" w:cs="Times New Roman"/>
        </w:rPr>
        <w:t>:</w:t>
      </w:r>
    </w:p>
    <w:p w:rsidR="00BB583F" w:rsidP="002F3C90" w14:paraId="6669AA62" w14:textId="5F2D4E0C">
      <w:pPr>
        <w:spacing w:after="0" w:line="240" w:lineRule="auto"/>
        <w:rPr>
          <w:rFonts w:ascii="Times New Roman" w:hAnsi="Times New Roman" w:cs="Times New Roman"/>
        </w:rPr>
      </w:pPr>
    </w:p>
    <w:p w:rsidR="00C356C9" w:rsidRPr="003D4130" w:rsidP="002F3C90" w14:paraId="3A3203A4" w14:textId="2B7073B2">
      <w:pPr>
        <w:pStyle w:val="ListParagraph"/>
        <w:numPr>
          <w:ilvl w:val="0"/>
          <w:numId w:val="73"/>
        </w:numPr>
        <w:spacing w:after="0" w:line="240" w:lineRule="auto"/>
        <w:ind w:left="1440" w:hanging="720"/>
        <w:rPr>
          <w:rFonts w:ascii="Times New Roman" w:hAnsi="Times New Roman" w:cs="Times New Roman"/>
        </w:rPr>
      </w:pPr>
      <w:r w:rsidRPr="000C3C48">
        <w:rPr>
          <w:rFonts w:ascii="Times New Roman" w:hAnsi="Times New Roman" w:cs="Times New Roman"/>
        </w:rPr>
        <w:t>NUREG</w:t>
      </w:r>
      <w:r w:rsidR="007A3494">
        <w:rPr>
          <w:rFonts w:ascii="Times New Roman" w:hAnsi="Times New Roman" w:cs="Times New Roman"/>
        </w:rPr>
        <w:t>-</w:t>
      </w:r>
      <w:r w:rsidRPr="000C3C48">
        <w:rPr>
          <w:rFonts w:ascii="Times New Roman" w:hAnsi="Times New Roman" w:cs="Times New Roman"/>
        </w:rPr>
        <w:t>0492, “Fault Tree Handbook,”</w:t>
      </w:r>
      <w:r w:rsidR="00CA7C5B">
        <w:rPr>
          <w:rFonts w:ascii="Times New Roman" w:hAnsi="Times New Roman" w:cs="Times New Roman"/>
        </w:rPr>
        <w:t xml:space="preserve"> </w:t>
      </w:r>
      <w:r w:rsidR="00DA4A62">
        <w:rPr>
          <w:rFonts w:ascii="Times New Roman" w:hAnsi="Times New Roman" w:cs="Times New Roman"/>
        </w:rPr>
        <w:t xml:space="preserve">1981 </w:t>
      </w:r>
      <w:r w:rsidR="00CA7C5B">
        <w:rPr>
          <w:rFonts w:ascii="Times New Roman" w:hAnsi="Times New Roman" w:cs="Times New Roman"/>
        </w:rPr>
        <w:t>(Ref. A.7</w:t>
      </w:r>
      <w:r w:rsidR="00CA7C5B">
        <w:rPr>
          <w:rFonts w:ascii="Times New Roman" w:hAnsi="Times New Roman" w:cs="Times New Roman"/>
        </w:rPr>
        <w:t>)</w:t>
      </w:r>
      <w:r w:rsidR="00461102">
        <w:rPr>
          <w:rFonts w:ascii="Times New Roman" w:hAnsi="Times New Roman" w:cs="Times New Roman"/>
        </w:rPr>
        <w:t>;</w:t>
      </w:r>
    </w:p>
    <w:p w:rsidR="00C356C9" w:rsidP="002F3C90" w14:paraId="03046234" w14:textId="77777777">
      <w:pPr>
        <w:spacing w:after="0" w:line="240" w:lineRule="auto"/>
        <w:ind w:left="1440" w:hanging="720"/>
        <w:rPr>
          <w:rFonts w:ascii="Times New Roman" w:hAnsi="Times New Roman" w:cs="Times New Roman"/>
        </w:rPr>
      </w:pPr>
    </w:p>
    <w:p w:rsidR="00BF3B39" w:rsidP="0021002A" w14:paraId="0A232AB7" w14:textId="5633E631">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w:t>
      </w:r>
      <w:r w:rsidRPr="00461102">
        <w:rPr>
          <w:rFonts w:ascii="Times New Roman" w:hAnsi="Times New Roman" w:cs="Times New Roman"/>
        </w:rPr>
        <w:t>UREG</w:t>
      </w:r>
      <w:r w:rsidR="007A3494">
        <w:rPr>
          <w:rFonts w:ascii="Times New Roman" w:hAnsi="Times New Roman" w:cs="Times New Roman"/>
        </w:rPr>
        <w:t>-</w:t>
      </w:r>
      <w:r w:rsidRPr="00461102">
        <w:rPr>
          <w:rFonts w:ascii="Times New Roman" w:hAnsi="Times New Roman" w:cs="Times New Roman"/>
        </w:rPr>
        <w:t>1150, “Severe Accident Risks: An Assessment for Five U.S. Nuclear Power Plants,” 1990 (Ref. A.</w:t>
      </w:r>
      <w:r>
        <w:rPr>
          <w:rFonts w:ascii="Times New Roman" w:hAnsi="Times New Roman" w:cs="Times New Roman"/>
        </w:rPr>
        <w:t>8</w:t>
      </w:r>
      <w:r w:rsidRPr="00461102">
        <w:rPr>
          <w:rFonts w:ascii="Times New Roman" w:hAnsi="Times New Roman" w:cs="Times New Roman"/>
        </w:rPr>
        <w:t>);</w:t>
      </w:r>
    </w:p>
    <w:p w:rsidR="00BF3B39" w:rsidRPr="003D4130" w:rsidP="0021002A" w14:paraId="6A219727" w14:textId="77777777">
      <w:pPr>
        <w:pStyle w:val="ListParagraph"/>
        <w:spacing w:after="0" w:line="240" w:lineRule="auto"/>
        <w:ind w:left="1440" w:hanging="720"/>
        <w:rPr>
          <w:rFonts w:ascii="Times New Roman" w:hAnsi="Times New Roman" w:cs="Times New Roman"/>
        </w:rPr>
      </w:pPr>
    </w:p>
    <w:p w:rsidR="00BF3B39" w:rsidP="0021002A" w14:paraId="35571DDE" w14:textId="0DBA39CC">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NUREG-1513, “Integrated Safety Analysis Guidance Document,</w:t>
      </w:r>
      <w:r w:rsidR="00DA4A62">
        <w:rPr>
          <w:rFonts w:ascii="Times New Roman" w:hAnsi="Times New Roman" w:cs="Times New Roman"/>
        </w:rPr>
        <w:t>”</w:t>
      </w:r>
      <w:r>
        <w:rPr>
          <w:rFonts w:ascii="Times New Roman" w:hAnsi="Times New Roman" w:cs="Times New Roman"/>
        </w:rPr>
        <w:t xml:space="preserve"> </w:t>
      </w:r>
      <w:r w:rsidR="00DA4A62">
        <w:rPr>
          <w:rFonts w:ascii="Times New Roman" w:hAnsi="Times New Roman" w:cs="Times New Roman"/>
        </w:rPr>
        <w:t xml:space="preserve">2001 </w:t>
      </w:r>
      <w:r>
        <w:rPr>
          <w:rFonts w:ascii="Times New Roman" w:hAnsi="Times New Roman" w:cs="Times New Roman"/>
        </w:rPr>
        <w:t>(Ref. A.9</w:t>
      </w:r>
      <w:r>
        <w:rPr>
          <w:rFonts w:ascii="Times New Roman" w:hAnsi="Times New Roman" w:cs="Times New Roman"/>
        </w:rPr>
        <w:t>);</w:t>
      </w:r>
    </w:p>
    <w:p w:rsidR="00FD14BA" w:rsidRPr="003D4130" w:rsidP="0021002A" w14:paraId="4A945F74" w14:textId="77777777">
      <w:pPr>
        <w:pStyle w:val="ListParagraph"/>
        <w:spacing w:after="0" w:line="240" w:lineRule="auto"/>
        <w:ind w:left="1440" w:hanging="720"/>
        <w:rPr>
          <w:rFonts w:ascii="Times New Roman" w:hAnsi="Times New Roman" w:cs="Times New Roman"/>
        </w:rPr>
      </w:pPr>
    </w:p>
    <w:p w:rsidR="00B639E9" w:rsidP="0021002A" w14:paraId="07F50105" w14:textId="1F316CA1">
      <w:pPr>
        <w:pStyle w:val="ListParagraph"/>
        <w:numPr>
          <w:ilvl w:val="0"/>
          <w:numId w:val="73"/>
        </w:numPr>
        <w:spacing w:after="0" w:line="240" w:lineRule="auto"/>
        <w:ind w:left="1440" w:hanging="720"/>
        <w:rPr>
          <w:rFonts w:ascii="Times New Roman" w:hAnsi="Times New Roman" w:cs="Times New Roman"/>
        </w:rPr>
      </w:pPr>
      <w:r w:rsidRPr="00B639E9">
        <w:rPr>
          <w:rFonts w:ascii="Times New Roman" w:hAnsi="Times New Roman" w:cs="Times New Roman"/>
        </w:rPr>
        <w:t>NUREG</w:t>
      </w:r>
      <w:r w:rsidR="007A3494">
        <w:rPr>
          <w:rFonts w:ascii="Times New Roman" w:hAnsi="Times New Roman" w:cs="Times New Roman"/>
        </w:rPr>
        <w:t>-</w:t>
      </w:r>
      <w:r w:rsidRPr="00B639E9">
        <w:rPr>
          <w:rFonts w:ascii="Times New Roman" w:hAnsi="Times New Roman" w:cs="Times New Roman"/>
        </w:rPr>
        <w:t>1792, “Good Practices for Implementing Human Reliability Analysis,” April 2005 (Ref. A.10</w:t>
      </w:r>
      <w:r w:rsidRPr="00B639E9">
        <w:rPr>
          <w:rFonts w:ascii="Times New Roman" w:hAnsi="Times New Roman" w:cs="Times New Roman"/>
        </w:rPr>
        <w:t>);</w:t>
      </w:r>
    </w:p>
    <w:p w:rsidR="003428EB" w:rsidRPr="00B639E9" w:rsidP="0021002A" w14:paraId="00E6B685" w14:textId="77777777">
      <w:pPr>
        <w:pStyle w:val="ListParagraph"/>
        <w:spacing w:after="0" w:line="240" w:lineRule="auto"/>
        <w:ind w:left="1440"/>
        <w:rPr>
          <w:rFonts w:ascii="Times New Roman" w:hAnsi="Times New Roman" w:cs="Times New Roman"/>
        </w:rPr>
      </w:pPr>
    </w:p>
    <w:p w:rsidR="00472314" w:rsidP="0021002A" w14:paraId="3E8B1D09" w14:textId="0BB72877">
      <w:pPr>
        <w:pStyle w:val="ListParagraph"/>
        <w:numPr>
          <w:ilvl w:val="0"/>
          <w:numId w:val="73"/>
        </w:numPr>
        <w:spacing w:after="0" w:line="240" w:lineRule="auto"/>
        <w:ind w:left="1440" w:hanging="720"/>
        <w:rPr>
          <w:rFonts w:ascii="Times New Roman" w:hAnsi="Times New Roman" w:cs="Times New Roman"/>
        </w:rPr>
      </w:pPr>
      <w:r w:rsidRPr="00472314">
        <w:rPr>
          <w:rFonts w:ascii="Times New Roman" w:hAnsi="Times New Roman" w:cs="Times New Roman"/>
        </w:rPr>
        <w:t>NUREG</w:t>
      </w:r>
      <w:r w:rsidR="007A3494">
        <w:rPr>
          <w:rFonts w:ascii="Times New Roman" w:hAnsi="Times New Roman" w:cs="Times New Roman"/>
        </w:rPr>
        <w:t>-</w:t>
      </w:r>
      <w:r w:rsidRPr="00472314">
        <w:rPr>
          <w:rFonts w:ascii="Times New Roman" w:hAnsi="Times New Roman" w:cs="Times New Roman"/>
        </w:rPr>
        <w:t>1842, “Evaluation of Human Reliability Analysis Methods Against Good Practices,” 2006 (Ref. A.11</w:t>
      </w:r>
      <w:r w:rsidRPr="00472314">
        <w:rPr>
          <w:rFonts w:ascii="Times New Roman" w:hAnsi="Times New Roman" w:cs="Times New Roman"/>
        </w:rPr>
        <w:t>);</w:t>
      </w:r>
    </w:p>
    <w:p w:rsidR="00101A06" w:rsidRPr="003D4130" w:rsidP="0021002A" w14:paraId="74B74F95" w14:textId="77777777">
      <w:pPr>
        <w:pStyle w:val="ListParagraph"/>
        <w:spacing w:line="240" w:lineRule="auto"/>
        <w:rPr>
          <w:rFonts w:ascii="Times New Roman" w:hAnsi="Times New Roman" w:cs="Times New Roman"/>
        </w:rPr>
      </w:pPr>
    </w:p>
    <w:p w:rsidR="00101A06" w:rsidP="0021002A" w14:paraId="0D7FA3B0" w14:textId="517426D0">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NUREG-1921</w:t>
      </w:r>
      <w:r w:rsidR="00F746B1">
        <w:rPr>
          <w:rFonts w:ascii="Times New Roman" w:hAnsi="Times New Roman" w:cs="Times New Roman"/>
        </w:rPr>
        <w:t xml:space="preserve">, </w:t>
      </w:r>
      <w:r w:rsidRPr="00F746B1" w:rsidR="00F746B1">
        <w:rPr>
          <w:rFonts w:ascii="Times New Roman" w:hAnsi="Times New Roman" w:cs="Times New Roman"/>
        </w:rPr>
        <w:t>“EPRI/NRC-RES Fire Human Reliability Analysis Guidelines,”</w:t>
      </w:r>
      <w:r w:rsidR="00DE462B">
        <w:rPr>
          <w:rFonts w:ascii="Times New Roman" w:hAnsi="Times New Roman" w:cs="Times New Roman"/>
        </w:rPr>
        <w:t xml:space="preserve"> 2012 (Ref. A.12</w:t>
      </w:r>
      <w:r w:rsidR="00DE462B">
        <w:rPr>
          <w:rFonts w:ascii="Times New Roman" w:hAnsi="Times New Roman" w:cs="Times New Roman"/>
        </w:rPr>
        <w:t>);</w:t>
      </w:r>
    </w:p>
    <w:p w:rsidR="009B1846" w:rsidRPr="00472314" w:rsidP="0021002A" w14:paraId="5007B25B" w14:textId="77777777">
      <w:pPr>
        <w:pStyle w:val="ListParagraph"/>
        <w:spacing w:after="0" w:line="240" w:lineRule="auto"/>
        <w:ind w:left="1440"/>
        <w:rPr>
          <w:rFonts w:ascii="Times New Roman" w:hAnsi="Times New Roman" w:cs="Times New Roman"/>
        </w:rPr>
      </w:pPr>
    </w:p>
    <w:p w:rsidR="00FD14BA" w:rsidP="0021002A" w14:paraId="378A2AAF" w14:textId="44015D80">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NUREG-2122, “</w:t>
      </w:r>
      <w:r w:rsidRPr="000733AF" w:rsidR="000733AF">
        <w:rPr>
          <w:rFonts w:ascii="Times New Roman" w:hAnsi="Times New Roman" w:cs="Times New Roman"/>
        </w:rPr>
        <w:t>Glossary of Risk-Related Terms in Support of Risk-Informed Decision Making,”</w:t>
      </w:r>
      <w:r w:rsidR="00D123CD">
        <w:rPr>
          <w:rFonts w:ascii="Times New Roman" w:hAnsi="Times New Roman" w:cs="Times New Roman"/>
        </w:rPr>
        <w:t xml:space="preserve"> 2013</w:t>
      </w:r>
      <w:r>
        <w:rPr>
          <w:rFonts w:ascii="Times New Roman" w:hAnsi="Times New Roman" w:cs="Times New Roman"/>
        </w:rPr>
        <w:t xml:space="preserve"> (Ref. 1</w:t>
      </w:r>
      <w:r w:rsidR="0048196C">
        <w:rPr>
          <w:rFonts w:ascii="Times New Roman" w:hAnsi="Times New Roman" w:cs="Times New Roman"/>
        </w:rPr>
        <w:t>3</w:t>
      </w:r>
      <w:r>
        <w:rPr>
          <w:rFonts w:ascii="Times New Roman" w:hAnsi="Times New Roman" w:cs="Times New Roman"/>
        </w:rPr>
        <w:t>);</w:t>
      </w:r>
    </w:p>
    <w:p w:rsidR="009B1846" w:rsidP="0021002A" w14:paraId="31BD0F4B" w14:textId="77777777">
      <w:pPr>
        <w:pStyle w:val="ListParagraph"/>
        <w:spacing w:after="0" w:line="240" w:lineRule="auto"/>
        <w:ind w:left="1440"/>
        <w:rPr>
          <w:rFonts w:ascii="Times New Roman" w:hAnsi="Times New Roman" w:cs="Times New Roman"/>
        </w:rPr>
      </w:pPr>
    </w:p>
    <w:p w:rsidR="00B92428" w:rsidP="0021002A" w14:paraId="584567FE" w14:textId="084C779B">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w:t>
      </w:r>
      <w:r w:rsidRPr="00B92428">
        <w:rPr>
          <w:rFonts w:ascii="Times New Roman" w:hAnsi="Times New Roman" w:cs="Times New Roman"/>
        </w:rPr>
        <w:t>UREG</w:t>
      </w:r>
      <w:r w:rsidR="00281C61">
        <w:rPr>
          <w:rFonts w:ascii="Times New Roman" w:hAnsi="Times New Roman" w:cs="Times New Roman"/>
        </w:rPr>
        <w:t>-</w:t>
      </w:r>
      <w:r w:rsidRPr="00B92428">
        <w:rPr>
          <w:rFonts w:ascii="Times New Roman" w:hAnsi="Times New Roman" w:cs="Times New Roman"/>
        </w:rPr>
        <w:t>2198, “The General Methodology of an Integrated Human Event Analysis System (IDHEAS G),” 2021 (Ref. A.1</w:t>
      </w:r>
      <w:r w:rsidR="0048196C">
        <w:rPr>
          <w:rFonts w:ascii="Times New Roman" w:hAnsi="Times New Roman" w:cs="Times New Roman"/>
        </w:rPr>
        <w:t>4</w:t>
      </w:r>
      <w:r w:rsidRPr="00B92428">
        <w:rPr>
          <w:rFonts w:ascii="Times New Roman" w:hAnsi="Times New Roman" w:cs="Times New Roman"/>
        </w:rPr>
        <w:t>);</w:t>
      </w:r>
    </w:p>
    <w:p w:rsidR="009B1846" w:rsidRPr="00B92428" w:rsidP="0021002A" w14:paraId="6BC30B5F" w14:textId="77777777">
      <w:pPr>
        <w:pStyle w:val="ListParagraph"/>
        <w:spacing w:after="0" w:line="240" w:lineRule="auto"/>
        <w:ind w:left="1440"/>
        <w:rPr>
          <w:rFonts w:ascii="Times New Roman" w:hAnsi="Times New Roman" w:cs="Times New Roman"/>
        </w:rPr>
      </w:pPr>
    </w:p>
    <w:p w:rsidR="00C356C9" w:rsidP="0021002A" w14:paraId="1F42E115" w14:textId="2BB1BB9D">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NUREG</w:t>
      </w:r>
      <w:r w:rsidR="00CF6F18">
        <w:rPr>
          <w:rFonts w:ascii="Times New Roman" w:hAnsi="Times New Roman" w:cs="Times New Roman"/>
        </w:rPr>
        <w:t xml:space="preserve">/CR-5485, “Guidelines on Modeling Common-Cause Failures in Probabilistic Risk Assessment,” </w:t>
      </w:r>
      <w:r w:rsidR="00DC13CA">
        <w:rPr>
          <w:rFonts w:ascii="Times New Roman" w:hAnsi="Times New Roman" w:cs="Times New Roman"/>
        </w:rPr>
        <w:t>November 1998 (Ref. A</w:t>
      </w:r>
      <w:r w:rsidR="006004A4">
        <w:rPr>
          <w:rFonts w:ascii="Times New Roman" w:hAnsi="Times New Roman" w:cs="Times New Roman"/>
        </w:rPr>
        <w:t>.</w:t>
      </w:r>
      <w:r w:rsidR="00DC13CA">
        <w:rPr>
          <w:rFonts w:ascii="Times New Roman" w:hAnsi="Times New Roman" w:cs="Times New Roman"/>
        </w:rPr>
        <w:t>1</w:t>
      </w:r>
      <w:r w:rsidR="00716B11">
        <w:rPr>
          <w:rFonts w:ascii="Times New Roman" w:hAnsi="Times New Roman" w:cs="Times New Roman"/>
        </w:rPr>
        <w:t>5</w:t>
      </w:r>
      <w:r w:rsidR="00DC13CA">
        <w:rPr>
          <w:rFonts w:ascii="Times New Roman" w:hAnsi="Times New Roman" w:cs="Times New Roman"/>
        </w:rPr>
        <w:t>);</w:t>
      </w:r>
    </w:p>
    <w:p w:rsidR="0032725C" w:rsidP="0021002A" w14:paraId="1F440997" w14:textId="1970109C">
      <w:pPr>
        <w:pStyle w:val="ListParagraph"/>
        <w:spacing w:after="0" w:line="240" w:lineRule="auto"/>
        <w:ind w:left="1440"/>
        <w:rPr>
          <w:rFonts w:ascii="Times New Roman" w:hAnsi="Times New Roman" w:cs="Times New Roman"/>
        </w:rPr>
      </w:pPr>
    </w:p>
    <w:p w:rsidR="0063784C" w:rsidP="0021002A" w14:paraId="2D79B9C7" w14:textId="50D4BE80">
      <w:pPr>
        <w:pStyle w:val="ListParagraph"/>
        <w:numPr>
          <w:ilvl w:val="0"/>
          <w:numId w:val="73"/>
        </w:numPr>
        <w:spacing w:after="0" w:line="240" w:lineRule="auto"/>
        <w:ind w:left="1440" w:hanging="630"/>
        <w:rPr>
          <w:rFonts w:ascii="Times New Roman" w:hAnsi="Times New Roman" w:cs="Times New Roman"/>
        </w:rPr>
      </w:pPr>
      <w:r w:rsidRPr="0063784C">
        <w:rPr>
          <w:rFonts w:ascii="Times New Roman" w:hAnsi="Times New Roman" w:cs="Times New Roman"/>
        </w:rPr>
        <w:t>NUREG/CR</w:t>
      </w:r>
      <w:r w:rsidR="0081664D">
        <w:rPr>
          <w:rFonts w:ascii="Times New Roman" w:hAnsi="Times New Roman" w:cs="Times New Roman"/>
        </w:rPr>
        <w:t>-</w:t>
      </w:r>
      <w:r w:rsidRPr="0063784C">
        <w:rPr>
          <w:rFonts w:ascii="Times New Roman" w:hAnsi="Times New Roman" w:cs="Times New Roman"/>
        </w:rPr>
        <w:t>5750, “Rates of Initiating Events at U.S. Nuclear Power Plants: 1987–1995,” 1999 (Ref. A.</w:t>
      </w:r>
      <w:r w:rsidR="0081664D">
        <w:rPr>
          <w:rFonts w:ascii="Times New Roman" w:hAnsi="Times New Roman" w:cs="Times New Roman"/>
        </w:rPr>
        <w:t>1</w:t>
      </w:r>
      <w:r w:rsidR="00833707">
        <w:rPr>
          <w:rFonts w:ascii="Times New Roman" w:hAnsi="Times New Roman" w:cs="Times New Roman"/>
        </w:rPr>
        <w:t>6</w:t>
      </w:r>
      <w:r w:rsidRPr="0063784C">
        <w:rPr>
          <w:rFonts w:ascii="Times New Roman" w:hAnsi="Times New Roman" w:cs="Times New Roman"/>
        </w:rPr>
        <w:t>);</w:t>
      </w:r>
    </w:p>
    <w:p w:rsidR="000C10AB" w:rsidRPr="003D4130" w:rsidP="0021002A" w14:paraId="12E86EE0" w14:textId="77777777">
      <w:pPr>
        <w:pStyle w:val="ListParagraph"/>
        <w:spacing w:line="240" w:lineRule="auto"/>
        <w:rPr>
          <w:rFonts w:ascii="Times New Roman" w:hAnsi="Times New Roman" w:cs="Times New Roman"/>
        </w:rPr>
      </w:pPr>
    </w:p>
    <w:p w:rsidR="000C10AB" w:rsidP="0021002A" w14:paraId="798232EC" w14:textId="5E7C1FCF">
      <w:pPr>
        <w:pStyle w:val="ListParagraph"/>
        <w:numPr>
          <w:ilvl w:val="0"/>
          <w:numId w:val="73"/>
        </w:numPr>
        <w:spacing w:after="0" w:line="240" w:lineRule="auto"/>
        <w:ind w:left="1440" w:hanging="630"/>
        <w:rPr>
          <w:rFonts w:ascii="Times New Roman" w:hAnsi="Times New Roman" w:cs="Times New Roman"/>
        </w:rPr>
      </w:pPr>
      <w:r>
        <w:rPr>
          <w:rFonts w:ascii="Times New Roman" w:hAnsi="Times New Roman" w:cs="Times New Roman"/>
        </w:rPr>
        <w:t>NUREG/CR-6928</w:t>
      </w:r>
      <w:r w:rsidR="00C96EF6">
        <w:rPr>
          <w:rFonts w:ascii="Times New Roman" w:hAnsi="Times New Roman" w:cs="Times New Roman"/>
        </w:rPr>
        <w:t xml:space="preserve">, </w:t>
      </w:r>
      <w:r w:rsidRPr="00FF0405" w:rsidR="00FF0405">
        <w:rPr>
          <w:rFonts w:ascii="Times New Roman" w:hAnsi="Times New Roman" w:cs="Times New Roman"/>
        </w:rPr>
        <w:t>Industry-Average Performance for Components and Initiating Events at U.S. Commercial Nuclear Power Plant</w:t>
      </w:r>
      <w:r w:rsidR="00FF0405">
        <w:rPr>
          <w:rFonts w:ascii="Times New Roman" w:hAnsi="Times New Roman" w:cs="Times New Roman"/>
        </w:rPr>
        <w:t>,” 2007 (Ref. A</w:t>
      </w:r>
      <w:r w:rsidR="004F390A">
        <w:rPr>
          <w:rFonts w:ascii="Times New Roman" w:hAnsi="Times New Roman" w:cs="Times New Roman"/>
        </w:rPr>
        <w:t>.17</w:t>
      </w:r>
      <w:r w:rsidR="004F390A">
        <w:rPr>
          <w:rFonts w:ascii="Times New Roman" w:hAnsi="Times New Roman" w:cs="Times New Roman"/>
        </w:rPr>
        <w:t>);</w:t>
      </w:r>
    </w:p>
    <w:p w:rsidR="0081664D" w:rsidRPr="0063784C" w:rsidP="0021002A" w14:paraId="5D77FA9E" w14:textId="77777777">
      <w:pPr>
        <w:pStyle w:val="ListParagraph"/>
        <w:spacing w:after="0" w:line="240" w:lineRule="auto"/>
        <w:rPr>
          <w:rFonts w:ascii="Times New Roman" w:hAnsi="Times New Roman" w:cs="Times New Roman"/>
        </w:rPr>
      </w:pPr>
    </w:p>
    <w:p w:rsidR="0032725C" w:rsidP="0021002A" w14:paraId="11D464BF" w14:textId="30A83951">
      <w:pPr>
        <w:pStyle w:val="ListParagraph"/>
        <w:numPr>
          <w:ilvl w:val="0"/>
          <w:numId w:val="73"/>
        </w:numPr>
        <w:spacing w:after="0" w:line="240" w:lineRule="auto"/>
        <w:ind w:left="1440" w:hanging="720"/>
        <w:rPr>
          <w:rFonts w:ascii="Times New Roman" w:hAnsi="Times New Roman" w:cs="Times New Roman"/>
        </w:rPr>
      </w:pPr>
      <w:r w:rsidRPr="003028EC">
        <w:rPr>
          <w:rFonts w:ascii="Times New Roman" w:hAnsi="Times New Roman" w:cs="Times New Roman"/>
        </w:rPr>
        <w:t>NUREG/CR</w:t>
      </w:r>
      <w:r w:rsidR="00281C61">
        <w:rPr>
          <w:rFonts w:ascii="Times New Roman" w:hAnsi="Times New Roman" w:cs="Times New Roman"/>
        </w:rPr>
        <w:t>-</w:t>
      </w:r>
      <w:r w:rsidRPr="003028EC">
        <w:rPr>
          <w:rFonts w:ascii="Times New Roman" w:hAnsi="Times New Roman" w:cs="Times New Roman"/>
        </w:rPr>
        <w:t>6962, “Traditional Probabilistic Risk Assessment Methods for Digital Systems,</w:t>
      </w:r>
      <w:r>
        <w:rPr>
          <w:rFonts w:ascii="Times New Roman" w:hAnsi="Times New Roman" w:cs="Times New Roman"/>
        </w:rPr>
        <w:t>” 2008 (Ref. A.1</w:t>
      </w:r>
      <w:r w:rsidR="00654529">
        <w:rPr>
          <w:rFonts w:ascii="Times New Roman" w:hAnsi="Times New Roman" w:cs="Times New Roman"/>
        </w:rPr>
        <w:t>8</w:t>
      </w:r>
      <w:r>
        <w:rPr>
          <w:rFonts w:ascii="Times New Roman" w:hAnsi="Times New Roman" w:cs="Times New Roman"/>
        </w:rPr>
        <w:t>);</w:t>
      </w:r>
    </w:p>
    <w:p w:rsidR="006E62A5" w:rsidRPr="003D4130" w:rsidP="0021002A" w14:paraId="404F52CA" w14:textId="77777777">
      <w:pPr>
        <w:pStyle w:val="ListParagraph"/>
        <w:spacing w:line="240" w:lineRule="auto"/>
        <w:rPr>
          <w:rFonts w:ascii="Times New Roman" w:hAnsi="Times New Roman" w:cs="Times New Roman"/>
        </w:rPr>
      </w:pPr>
    </w:p>
    <w:p w:rsidR="006E62A5" w:rsidP="0021002A" w14:paraId="64D0EF11" w14:textId="54D4BC9E">
      <w:pPr>
        <w:pStyle w:val="ListParagraph"/>
        <w:numPr>
          <w:ilvl w:val="0"/>
          <w:numId w:val="73"/>
        </w:numPr>
        <w:spacing w:line="240" w:lineRule="auto"/>
        <w:ind w:left="1440" w:hanging="720"/>
        <w:rPr>
          <w:rFonts w:ascii="Times New Roman" w:hAnsi="Times New Roman" w:cs="Times New Roman"/>
        </w:rPr>
      </w:pPr>
      <w:r w:rsidRPr="006E62A5">
        <w:rPr>
          <w:rFonts w:ascii="Times New Roman" w:hAnsi="Times New Roman" w:cs="Times New Roman"/>
        </w:rPr>
        <w:t>RG 1.200, “Acceptability of Probabilistic Risk Assessment Results for Risk Informed Activities,” 2020 (Ref. A.1</w:t>
      </w:r>
      <w:r w:rsidR="0038579D">
        <w:rPr>
          <w:rFonts w:ascii="Times New Roman" w:hAnsi="Times New Roman" w:cs="Times New Roman"/>
        </w:rPr>
        <w:t>9</w:t>
      </w:r>
      <w:r w:rsidRPr="006E62A5">
        <w:rPr>
          <w:rFonts w:ascii="Times New Roman" w:hAnsi="Times New Roman" w:cs="Times New Roman"/>
        </w:rPr>
        <w:t>);</w:t>
      </w:r>
    </w:p>
    <w:p w:rsidR="007A48E9" w:rsidRPr="006E62A5" w:rsidP="0021002A" w14:paraId="73AD6710" w14:textId="77777777">
      <w:pPr>
        <w:pStyle w:val="ListParagraph"/>
        <w:spacing w:line="240" w:lineRule="auto"/>
        <w:rPr>
          <w:rFonts w:ascii="Times New Roman" w:hAnsi="Times New Roman" w:cs="Times New Roman"/>
        </w:rPr>
      </w:pPr>
    </w:p>
    <w:p w:rsidR="006E62A5" w:rsidP="0021002A" w14:paraId="14DB68C7" w14:textId="04B4D2B2">
      <w:pPr>
        <w:pStyle w:val="ListParagraph"/>
        <w:numPr>
          <w:ilvl w:val="0"/>
          <w:numId w:val="73"/>
        </w:numPr>
        <w:spacing w:after="0" w:line="240" w:lineRule="auto"/>
        <w:ind w:left="1440" w:hanging="720"/>
        <w:rPr>
          <w:rFonts w:ascii="Times New Roman" w:hAnsi="Times New Roman" w:cs="Times New Roman"/>
        </w:rPr>
      </w:pPr>
      <w:r w:rsidRPr="00DA2477">
        <w:rPr>
          <w:rFonts w:ascii="Times New Roman" w:hAnsi="Times New Roman" w:cs="Times New Roman"/>
        </w:rPr>
        <w:t>NRC and Canadian Nuclear Safety Commission, “Joint Report on Terrestrial Energy’s Methodology for Developing a Postulated Initiating Events List for the Integral Molten Salt Reactor,” 2022 (Ref. A.</w:t>
      </w:r>
      <w:r w:rsidR="00245D00">
        <w:rPr>
          <w:rFonts w:ascii="Times New Roman" w:hAnsi="Times New Roman" w:cs="Times New Roman"/>
        </w:rPr>
        <w:t>20</w:t>
      </w:r>
      <w:r w:rsidRPr="00DA2477">
        <w:rPr>
          <w:rFonts w:ascii="Times New Roman" w:hAnsi="Times New Roman" w:cs="Times New Roman"/>
        </w:rPr>
        <w:t>)</w:t>
      </w:r>
      <w:r w:rsidR="007A48E9">
        <w:rPr>
          <w:rFonts w:ascii="Times New Roman" w:hAnsi="Times New Roman" w:cs="Times New Roman"/>
        </w:rPr>
        <w:t>;</w:t>
      </w:r>
    </w:p>
    <w:p w:rsidR="007A48E9" w:rsidP="0021002A" w14:paraId="51B11940" w14:textId="78D3ADD0">
      <w:pPr>
        <w:pStyle w:val="ListParagraph"/>
        <w:spacing w:after="0" w:line="240" w:lineRule="auto"/>
        <w:ind w:left="1440"/>
        <w:rPr>
          <w:rFonts w:ascii="Times New Roman" w:hAnsi="Times New Roman" w:cs="Times New Roman"/>
        </w:rPr>
      </w:pPr>
    </w:p>
    <w:p w:rsidR="007A48E9" w:rsidP="0021002A" w14:paraId="1F083086" w14:textId="26A574F0">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MIL-STD</w:t>
      </w:r>
      <w:r w:rsidR="0060399A">
        <w:rPr>
          <w:rFonts w:ascii="Times New Roman" w:hAnsi="Times New Roman" w:cs="Times New Roman"/>
        </w:rPr>
        <w:t>-883E with Change 1, “System Safety,” 2023 (Ref. A</w:t>
      </w:r>
      <w:r w:rsidR="00292E76">
        <w:rPr>
          <w:rFonts w:ascii="Times New Roman" w:hAnsi="Times New Roman" w:cs="Times New Roman"/>
        </w:rPr>
        <w:t>.</w:t>
      </w:r>
      <w:r w:rsidR="00240B79">
        <w:rPr>
          <w:rFonts w:ascii="Times New Roman" w:hAnsi="Times New Roman" w:cs="Times New Roman"/>
        </w:rPr>
        <w:t>21</w:t>
      </w:r>
      <w:r w:rsidR="0060399A">
        <w:rPr>
          <w:rFonts w:ascii="Times New Roman" w:hAnsi="Times New Roman" w:cs="Times New Roman"/>
        </w:rPr>
        <w:t>);</w:t>
      </w:r>
    </w:p>
    <w:p w:rsidR="0060399A" w:rsidRPr="003D4130" w:rsidP="0021002A" w14:paraId="366D1F91" w14:textId="77777777">
      <w:pPr>
        <w:pStyle w:val="ListParagraph"/>
        <w:spacing w:line="240" w:lineRule="auto"/>
        <w:rPr>
          <w:rFonts w:ascii="Times New Roman" w:hAnsi="Times New Roman" w:cs="Times New Roman"/>
        </w:rPr>
      </w:pPr>
    </w:p>
    <w:p w:rsidR="0060399A" w:rsidRPr="003D4130" w:rsidP="0021002A" w14:paraId="186D5BF2" w14:textId="12759385">
      <w:pPr>
        <w:pStyle w:val="ListParagraph"/>
        <w:numPr>
          <w:ilvl w:val="0"/>
          <w:numId w:val="73"/>
        </w:numPr>
        <w:spacing w:after="0" w:line="240" w:lineRule="auto"/>
        <w:ind w:left="1440" w:hanging="720"/>
        <w:rPr>
          <w:rFonts w:ascii="Times New Roman" w:hAnsi="Times New Roman" w:cs="Times New Roman"/>
        </w:rPr>
      </w:pPr>
      <w:r>
        <w:rPr>
          <w:rFonts w:ascii="Times New Roman" w:hAnsi="Times New Roman" w:cs="Times New Roman"/>
        </w:rPr>
        <w:t xml:space="preserve">AC 25.1309-1B, “System Design and Analysis,” </w:t>
      </w:r>
      <w:r w:rsidR="00292E76">
        <w:rPr>
          <w:rFonts w:ascii="Times New Roman" w:hAnsi="Times New Roman" w:cs="Times New Roman"/>
        </w:rPr>
        <w:t>2024 (Ref. A.2</w:t>
      </w:r>
      <w:r w:rsidR="009A249B">
        <w:rPr>
          <w:rFonts w:ascii="Times New Roman" w:hAnsi="Times New Roman" w:cs="Times New Roman"/>
        </w:rPr>
        <w:t>2</w:t>
      </w:r>
      <w:r w:rsidR="00292E76">
        <w:rPr>
          <w:rFonts w:ascii="Times New Roman" w:hAnsi="Times New Roman" w:cs="Times New Roman"/>
        </w:rPr>
        <w:t>).</w:t>
      </w:r>
    </w:p>
    <w:p w:rsidR="00C356C9" w:rsidP="002F3C90" w14:paraId="3B6CDD40" w14:textId="77777777">
      <w:pPr>
        <w:spacing w:after="0" w:line="240" w:lineRule="auto"/>
        <w:rPr>
          <w:rFonts w:ascii="Times New Roman" w:hAnsi="Times New Roman" w:cs="Times New Roman"/>
        </w:rPr>
      </w:pPr>
    </w:p>
    <w:p w:rsidR="00C356C9" w:rsidRPr="003D4130" w:rsidP="002F3C90" w14:paraId="47830629" w14:textId="3085414A">
      <w:pPr>
        <w:pStyle w:val="ListParagraph"/>
        <w:numPr>
          <w:ilvl w:val="0"/>
          <w:numId w:val="72"/>
        </w:numPr>
        <w:spacing w:after="0" w:line="240" w:lineRule="auto"/>
        <w:ind w:hanging="720"/>
        <w:rPr>
          <w:rFonts w:ascii="Times New Roman" w:hAnsi="Times New Roman" w:cs="Times New Roman"/>
        </w:rPr>
      </w:pPr>
      <w:r w:rsidRPr="003D4130">
        <w:rPr>
          <w:rFonts w:ascii="Times New Roman" w:hAnsi="Times New Roman" w:cs="Times New Roman"/>
        </w:rPr>
        <w:t xml:space="preserve">References </w:t>
      </w:r>
      <w:r w:rsidRPr="003D4130" w:rsidR="00901FED">
        <w:rPr>
          <w:rFonts w:ascii="Times New Roman" w:hAnsi="Times New Roman" w:cs="Times New Roman"/>
        </w:rPr>
        <w:t>e</w:t>
      </w:r>
      <w:r w:rsidRPr="003D4130">
        <w:rPr>
          <w:rFonts w:ascii="Times New Roman" w:hAnsi="Times New Roman" w:cs="Times New Roman"/>
        </w:rPr>
        <w:t>ndorsed by the NRC</w:t>
      </w:r>
      <w:r w:rsidR="00992FB7">
        <w:rPr>
          <w:rFonts w:ascii="Times New Roman" w:hAnsi="Times New Roman" w:cs="Times New Roman"/>
        </w:rPr>
        <w:t>:</w:t>
      </w:r>
    </w:p>
    <w:p w:rsidR="00C356C9" w:rsidP="002F3C90" w14:paraId="2CE1732F" w14:textId="77777777">
      <w:pPr>
        <w:spacing w:after="0" w:line="240" w:lineRule="auto"/>
        <w:rPr>
          <w:rFonts w:ascii="Times New Roman" w:hAnsi="Times New Roman" w:cs="Times New Roman"/>
        </w:rPr>
      </w:pPr>
    </w:p>
    <w:p w:rsidR="00C356C9" w:rsidRPr="003D4130" w:rsidP="0021002A" w14:paraId="61B74B8C" w14:textId="7195D5CF">
      <w:pPr>
        <w:pStyle w:val="ListParagraph"/>
        <w:numPr>
          <w:ilvl w:val="0"/>
          <w:numId w:val="74"/>
        </w:numPr>
        <w:spacing w:after="0" w:line="240" w:lineRule="auto"/>
        <w:ind w:left="1440" w:hanging="720"/>
        <w:rPr>
          <w:rFonts w:ascii="Times New Roman" w:hAnsi="Times New Roman" w:cs="Times New Roman"/>
        </w:rPr>
      </w:pPr>
      <w:r w:rsidRPr="005C2141">
        <w:rPr>
          <w:rFonts w:ascii="Times New Roman" w:hAnsi="Times New Roman" w:cs="Times New Roman"/>
        </w:rPr>
        <w:t>ASME/ ANS RA</w:t>
      </w:r>
      <w:r w:rsidR="009A249B">
        <w:rPr>
          <w:rFonts w:ascii="Times New Roman" w:hAnsi="Times New Roman" w:cs="Times New Roman"/>
        </w:rPr>
        <w:t>-</w:t>
      </w:r>
      <w:r w:rsidRPr="005C2141">
        <w:rPr>
          <w:rFonts w:ascii="Times New Roman" w:hAnsi="Times New Roman" w:cs="Times New Roman"/>
        </w:rPr>
        <w:t>Sa</w:t>
      </w:r>
      <w:r w:rsidR="009A249B">
        <w:rPr>
          <w:rFonts w:ascii="Times New Roman" w:hAnsi="Times New Roman" w:cs="Times New Roman"/>
        </w:rPr>
        <w:t>-</w:t>
      </w:r>
      <w:r w:rsidRPr="005C2141">
        <w:rPr>
          <w:rFonts w:ascii="Times New Roman" w:hAnsi="Times New Roman" w:cs="Times New Roman"/>
        </w:rPr>
        <w:t>2009, “Standard for Level 1/Large Early Release Frequency Probabilistic Risk Assessment for Nuclear Power Plant Applications,” 2009 (Ref. A.</w:t>
      </w:r>
      <w:r w:rsidR="005A7A02">
        <w:rPr>
          <w:rFonts w:ascii="Times New Roman" w:hAnsi="Times New Roman" w:cs="Times New Roman"/>
        </w:rPr>
        <w:t>2</w:t>
      </w:r>
      <w:r w:rsidR="00E47912">
        <w:rPr>
          <w:rFonts w:ascii="Times New Roman" w:hAnsi="Times New Roman" w:cs="Times New Roman"/>
        </w:rPr>
        <w:t>3</w:t>
      </w:r>
      <w:r w:rsidRPr="005C2141">
        <w:rPr>
          <w:rFonts w:ascii="Times New Roman" w:hAnsi="Times New Roman" w:cs="Times New Roman"/>
        </w:rPr>
        <w:t>), which is endorsed in RG 1.200 (Ref. A.1</w:t>
      </w:r>
      <w:r w:rsidR="00333E5D">
        <w:rPr>
          <w:rFonts w:ascii="Times New Roman" w:hAnsi="Times New Roman" w:cs="Times New Roman"/>
        </w:rPr>
        <w:t>9</w:t>
      </w:r>
      <w:r w:rsidRPr="005C2141">
        <w:rPr>
          <w:rFonts w:ascii="Times New Roman" w:hAnsi="Times New Roman" w:cs="Times New Roman"/>
        </w:rPr>
        <w:t>)</w:t>
      </w:r>
      <w:r w:rsidR="00763AD6">
        <w:rPr>
          <w:rFonts w:ascii="Times New Roman" w:hAnsi="Times New Roman" w:cs="Times New Roman"/>
        </w:rPr>
        <w:t>.</w:t>
      </w:r>
    </w:p>
    <w:p w:rsidR="00C356C9" w:rsidP="002F3C90" w14:paraId="185D20A6" w14:textId="77777777">
      <w:pPr>
        <w:spacing w:after="0" w:line="240" w:lineRule="auto"/>
        <w:rPr>
          <w:rFonts w:ascii="Times New Roman" w:hAnsi="Times New Roman" w:cs="Times New Roman"/>
        </w:rPr>
      </w:pPr>
    </w:p>
    <w:p w:rsidR="008E5739" w:rsidRPr="003D4130" w:rsidP="002F3C90" w14:paraId="309FC5C8" w14:textId="35329747">
      <w:pPr>
        <w:pStyle w:val="ListParagraph"/>
        <w:numPr>
          <w:ilvl w:val="0"/>
          <w:numId w:val="72"/>
        </w:numPr>
        <w:spacing w:after="0" w:line="240" w:lineRule="auto"/>
        <w:ind w:hanging="720"/>
        <w:rPr>
          <w:rFonts w:ascii="Times New Roman" w:hAnsi="Times New Roman" w:cs="Times New Roman"/>
        </w:rPr>
      </w:pPr>
      <w:r w:rsidRPr="003D4130">
        <w:rPr>
          <w:rFonts w:ascii="Times New Roman" w:hAnsi="Times New Roman" w:cs="Times New Roman"/>
        </w:rPr>
        <w:t xml:space="preserve">References </w:t>
      </w:r>
      <w:r w:rsidRPr="003D4130" w:rsidR="00901FED">
        <w:rPr>
          <w:rFonts w:ascii="Times New Roman" w:hAnsi="Times New Roman" w:cs="Times New Roman"/>
        </w:rPr>
        <w:t>r</w:t>
      </w:r>
      <w:r w:rsidRPr="003D4130">
        <w:rPr>
          <w:rFonts w:ascii="Times New Roman" w:hAnsi="Times New Roman" w:cs="Times New Roman"/>
        </w:rPr>
        <w:t>eviewed by</w:t>
      </w:r>
      <w:r w:rsidRPr="003D4130" w:rsidR="00E76770">
        <w:rPr>
          <w:rFonts w:ascii="Times New Roman" w:hAnsi="Times New Roman" w:cs="Times New Roman"/>
        </w:rPr>
        <w:t xml:space="preserve"> the NRC </w:t>
      </w:r>
      <w:r w:rsidR="002235DE">
        <w:rPr>
          <w:rFonts w:ascii="Times New Roman" w:hAnsi="Times New Roman" w:cs="Times New Roman"/>
        </w:rPr>
        <w:t>s</w:t>
      </w:r>
      <w:r w:rsidRPr="003D4130" w:rsidR="00E76770">
        <w:rPr>
          <w:rFonts w:ascii="Times New Roman" w:hAnsi="Times New Roman" w:cs="Times New Roman"/>
        </w:rPr>
        <w:t xml:space="preserve">taff and </w:t>
      </w:r>
      <w:r w:rsidRPr="003D4130" w:rsidR="00901FED">
        <w:rPr>
          <w:rFonts w:ascii="Times New Roman" w:hAnsi="Times New Roman" w:cs="Times New Roman"/>
        </w:rPr>
        <w:t>f</w:t>
      </w:r>
      <w:r w:rsidRPr="003D4130" w:rsidR="00E76770">
        <w:rPr>
          <w:rFonts w:ascii="Times New Roman" w:hAnsi="Times New Roman" w:cs="Times New Roman"/>
        </w:rPr>
        <w:t xml:space="preserve">ound to </w:t>
      </w:r>
      <w:r w:rsidRPr="003D4130" w:rsidR="00901FED">
        <w:rPr>
          <w:rFonts w:ascii="Times New Roman" w:hAnsi="Times New Roman" w:cs="Times New Roman"/>
        </w:rPr>
        <w:t>c</w:t>
      </w:r>
      <w:r w:rsidRPr="003D4130" w:rsidR="00E76770">
        <w:rPr>
          <w:rFonts w:ascii="Times New Roman" w:hAnsi="Times New Roman" w:cs="Times New Roman"/>
        </w:rPr>
        <w:t>ontain technical information on the identification of</w:t>
      </w:r>
      <w:r w:rsidRPr="003D4130" w:rsidR="00901FED">
        <w:rPr>
          <w:rFonts w:ascii="Times New Roman" w:hAnsi="Times New Roman" w:cs="Times New Roman"/>
        </w:rPr>
        <w:t xml:space="preserve"> initiating event</w:t>
      </w:r>
      <w:r w:rsidRPr="003D4130" w:rsidR="00E76770">
        <w:rPr>
          <w:rFonts w:ascii="Times New Roman" w:hAnsi="Times New Roman" w:cs="Times New Roman"/>
        </w:rPr>
        <w:t>s that licensees and applicants may find useful</w:t>
      </w:r>
      <w:r w:rsidRPr="003D4130" w:rsidR="00901FED">
        <w:rPr>
          <w:rFonts w:ascii="Times New Roman" w:hAnsi="Times New Roman" w:cs="Times New Roman"/>
        </w:rPr>
        <w:t xml:space="preserve">, but are not endorsed </w:t>
      </w:r>
      <w:r w:rsidRPr="003D4130" w:rsidR="00E76770">
        <w:rPr>
          <w:rFonts w:ascii="Times New Roman" w:hAnsi="Times New Roman" w:cs="Times New Roman"/>
        </w:rPr>
        <w:t>in this revision of RG 1.254</w:t>
      </w:r>
      <w:r w:rsidR="00992FB7">
        <w:rPr>
          <w:rFonts w:ascii="Times New Roman" w:hAnsi="Times New Roman" w:cs="Times New Roman"/>
        </w:rPr>
        <w:t>:</w:t>
      </w:r>
    </w:p>
    <w:p w:rsidR="00235CB2" w:rsidP="002F3C90" w14:paraId="5489D533" w14:textId="77777777">
      <w:pPr>
        <w:spacing w:after="0" w:line="240" w:lineRule="auto"/>
        <w:rPr>
          <w:rFonts w:ascii="Times New Roman" w:hAnsi="Times New Roman" w:cs="Times New Roman"/>
        </w:rPr>
      </w:pPr>
    </w:p>
    <w:p w:rsidR="00235CB2" w:rsidRPr="003D4130" w:rsidP="002F3C90" w14:paraId="15C29C3A" w14:textId="15986A43">
      <w:pPr>
        <w:pStyle w:val="ListParagraph"/>
        <w:numPr>
          <w:ilvl w:val="0"/>
          <w:numId w:val="75"/>
        </w:numPr>
        <w:spacing w:after="0" w:line="240" w:lineRule="auto"/>
        <w:ind w:left="1440" w:hanging="720"/>
        <w:rPr>
          <w:rFonts w:ascii="Times New Roman" w:hAnsi="Times New Roman" w:cs="Times New Roman"/>
        </w:rPr>
      </w:pPr>
      <w:r w:rsidRPr="000D3997">
        <w:rPr>
          <w:rFonts w:ascii="Times New Roman" w:hAnsi="Times New Roman" w:cs="Times New Roman"/>
        </w:rPr>
        <w:t>Center for Chemical Process Safety (CCPS), “Guidelines for Hazard Evaluation Procedures,” 2008</w:t>
      </w:r>
      <w:r w:rsidR="00D25B8D">
        <w:rPr>
          <w:rFonts w:ascii="Times New Roman" w:hAnsi="Times New Roman" w:cs="Times New Roman"/>
        </w:rPr>
        <w:t xml:space="preserve"> (Ref. A.</w:t>
      </w:r>
      <w:r w:rsidR="00070B54">
        <w:rPr>
          <w:rFonts w:ascii="Times New Roman" w:hAnsi="Times New Roman" w:cs="Times New Roman"/>
        </w:rPr>
        <w:t>2</w:t>
      </w:r>
      <w:r w:rsidR="003653FF">
        <w:rPr>
          <w:rFonts w:ascii="Times New Roman" w:hAnsi="Times New Roman" w:cs="Times New Roman"/>
        </w:rPr>
        <w:t>4</w:t>
      </w:r>
      <w:r w:rsidR="00D25B8D">
        <w:rPr>
          <w:rFonts w:ascii="Times New Roman" w:hAnsi="Times New Roman" w:cs="Times New Roman"/>
        </w:rPr>
        <w:t>);</w:t>
      </w:r>
    </w:p>
    <w:p w:rsidR="00235CB2" w:rsidP="002F3C90" w14:paraId="2F07F144" w14:textId="77777777">
      <w:pPr>
        <w:spacing w:after="0" w:line="240" w:lineRule="auto"/>
        <w:ind w:left="1440" w:hanging="720"/>
        <w:rPr>
          <w:rFonts w:ascii="Times New Roman" w:hAnsi="Times New Roman" w:cs="Times New Roman"/>
        </w:rPr>
      </w:pPr>
    </w:p>
    <w:p w:rsidR="00CA7468" w:rsidP="0021002A" w14:paraId="4F6896E5" w14:textId="41F80901">
      <w:pPr>
        <w:pStyle w:val="ListParagraph"/>
        <w:numPr>
          <w:ilvl w:val="0"/>
          <w:numId w:val="75"/>
        </w:numPr>
        <w:spacing w:after="0" w:line="240" w:lineRule="auto"/>
        <w:ind w:left="1440" w:hanging="720"/>
        <w:rPr>
          <w:rFonts w:ascii="Times New Roman" w:hAnsi="Times New Roman" w:cs="Times New Roman"/>
        </w:rPr>
      </w:pPr>
      <w:r w:rsidRPr="00CA7468">
        <w:rPr>
          <w:rFonts w:ascii="Times New Roman" w:hAnsi="Times New Roman" w:cs="Times New Roman"/>
        </w:rPr>
        <w:t>CCPS, “Guidelines for Initiating Events and Independent Protection Layers in Layer of Protection Analysis,” 2015 (Ref. A.2</w:t>
      </w:r>
      <w:r w:rsidR="00DB0ED5">
        <w:rPr>
          <w:rFonts w:ascii="Times New Roman" w:hAnsi="Times New Roman" w:cs="Times New Roman"/>
        </w:rPr>
        <w:t>5</w:t>
      </w:r>
      <w:r w:rsidRPr="00CA7468">
        <w:rPr>
          <w:rFonts w:ascii="Times New Roman" w:hAnsi="Times New Roman" w:cs="Times New Roman"/>
        </w:rPr>
        <w:t>);</w:t>
      </w:r>
    </w:p>
    <w:p w:rsidR="00B374E3" w:rsidRPr="003D4130" w:rsidP="0021002A" w14:paraId="1E9283E9" w14:textId="77777777">
      <w:pPr>
        <w:pStyle w:val="ListParagraph"/>
        <w:spacing w:line="240" w:lineRule="auto"/>
        <w:rPr>
          <w:rFonts w:ascii="Times New Roman" w:hAnsi="Times New Roman" w:cs="Times New Roman"/>
        </w:rPr>
      </w:pPr>
    </w:p>
    <w:p w:rsidR="00B374E3" w:rsidP="0021002A" w14:paraId="642FF337" w14:textId="33A95E8E">
      <w:pPr>
        <w:pStyle w:val="ListParagraph"/>
        <w:numPr>
          <w:ilvl w:val="0"/>
          <w:numId w:val="75"/>
        </w:numPr>
        <w:spacing w:after="0" w:line="240" w:lineRule="auto"/>
        <w:ind w:left="1440" w:hanging="720"/>
        <w:rPr>
          <w:rFonts w:ascii="Times New Roman" w:hAnsi="Times New Roman" w:cs="Times New Roman"/>
        </w:rPr>
      </w:pPr>
      <w:r>
        <w:rPr>
          <w:rFonts w:ascii="Times New Roman" w:hAnsi="Times New Roman" w:cs="Times New Roman"/>
        </w:rPr>
        <w:t xml:space="preserve">Electric Power Research Institute (EPRI) </w:t>
      </w:r>
      <w:r w:rsidR="00856C5F">
        <w:rPr>
          <w:rFonts w:ascii="Times New Roman" w:hAnsi="Times New Roman" w:cs="Times New Roman"/>
        </w:rPr>
        <w:t xml:space="preserve">Technical Report 110161, “Piping System Reliability and Failure Rate Estimation Models for Use in Risk-Informed In-Service Inspection Applications,” </w:t>
      </w:r>
      <w:r w:rsidR="005829C9">
        <w:rPr>
          <w:rFonts w:ascii="Times New Roman" w:hAnsi="Times New Roman" w:cs="Times New Roman"/>
        </w:rPr>
        <w:t>1998 (Ref. A.2</w:t>
      </w:r>
      <w:r w:rsidR="006C7EC8">
        <w:rPr>
          <w:rFonts w:ascii="Times New Roman" w:hAnsi="Times New Roman" w:cs="Times New Roman"/>
        </w:rPr>
        <w:t>6</w:t>
      </w:r>
      <w:r w:rsidR="005829C9">
        <w:rPr>
          <w:rFonts w:ascii="Times New Roman" w:hAnsi="Times New Roman" w:cs="Times New Roman"/>
        </w:rPr>
        <w:t>);</w:t>
      </w:r>
    </w:p>
    <w:p w:rsidR="005829C9" w:rsidRPr="003D4130" w:rsidP="0021002A" w14:paraId="19A2835D" w14:textId="77777777">
      <w:pPr>
        <w:pStyle w:val="ListParagraph"/>
        <w:spacing w:line="240" w:lineRule="auto"/>
        <w:rPr>
          <w:rFonts w:ascii="Times New Roman" w:hAnsi="Times New Roman" w:cs="Times New Roman"/>
        </w:rPr>
      </w:pPr>
    </w:p>
    <w:p w:rsidR="009E219D" w:rsidP="0021002A" w14:paraId="6C8612EE" w14:textId="1D3CB448">
      <w:pPr>
        <w:pStyle w:val="ListParagraph"/>
        <w:numPr>
          <w:ilvl w:val="0"/>
          <w:numId w:val="75"/>
        </w:numPr>
        <w:spacing w:line="240" w:lineRule="auto"/>
        <w:ind w:left="1440" w:hanging="720"/>
        <w:rPr>
          <w:rFonts w:ascii="Times New Roman" w:hAnsi="Times New Roman" w:cs="Times New Roman"/>
        </w:rPr>
      </w:pPr>
      <w:r w:rsidRPr="009E219D">
        <w:rPr>
          <w:rFonts w:ascii="Times New Roman" w:hAnsi="Times New Roman" w:cs="Times New Roman"/>
        </w:rPr>
        <w:t xml:space="preserve">EPRI </w:t>
      </w:r>
      <w:r w:rsidRPr="009E219D">
        <w:rPr>
          <w:rFonts w:ascii="Times New Roman" w:hAnsi="Times New Roman" w:cs="Times New Roman"/>
        </w:rPr>
        <w:t>Technical Report 3002000509, “Hazard Analysis Methods for Digital Instrumentation and Control Systems,” 2013 (Ref. A.2</w:t>
      </w:r>
      <w:r w:rsidR="00993910">
        <w:rPr>
          <w:rFonts w:ascii="Times New Roman" w:hAnsi="Times New Roman" w:cs="Times New Roman"/>
        </w:rPr>
        <w:t>7</w:t>
      </w:r>
      <w:r w:rsidRPr="009E219D">
        <w:rPr>
          <w:rFonts w:ascii="Times New Roman" w:hAnsi="Times New Roman" w:cs="Times New Roman"/>
        </w:rPr>
        <w:t>);</w:t>
      </w:r>
    </w:p>
    <w:p w:rsidR="004E1FBB" w:rsidRPr="009E219D" w:rsidP="0021002A" w14:paraId="13C8637A" w14:textId="77777777">
      <w:pPr>
        <w:pStyle w:val="ListParagraph"/>
        <w:spacing w:line="240" w:lineRule="auto"/>
        <w:ind w:left="1440"/>
        <w:rPr>
          <w:rFonts w:ascii="Times New Roman" w:hAnsi="Times New Roman" w:cs="Times New Roman"/>
        </w:rPr>
      </w:pPr>
    </w:p>
    <w:p w:rsidR="00235CB2" w:rsidP="0021002A" w14:paraId="0D5DFC0F" w14:textId="7D1ADE93">
      <w:pPr>
        <w:pStyle w:val="ListParagraph"/>
        <w:numPr>
          <w:ilvl w:val="0"/>
          <w:numId w:val="75"/>
        </w:numPr>
        <w:spacing w:line="240" w:lineRule="auto"/>
        <w:ind w:left="1440" w:hanging="720"/>
        <w:rPr>
          <w:rFonts w:ascii="Times New Roman" w:hAnsi="Times New Roman" w:cs="Times New Roman"/>
        </w:rPr>
      </w:pPr>
      <w:r w:rsidRPr="009F43A4">
        <w:rPr>
          <w:rFonts w:ascii="Times New Roman" w:hAnsi="Times New Roman" w:cs="Times New Roman"/>
        </w:rPr>
        <w:t>EPRI Technical Report 3002018340, “Compilation of Molten Salt Reactor Experiment (MSRE) Technical, Hazard, and Risk Analyses: A Retrospective Application of Safety-in-Design Methods,” 2020 (Ref. A.2</w:t>
      </w:r>
      <w:r w:rsidR="002D5D6B">
        <w:rPr>
          <w:rFonts w:ascii="Times New Roman" w:hAnsi="Times New Roman" w:cs="Times New Roman"/>
        </w:rPr>
        <w:t>8</w:t>
      </w:r>
      <w:r w:rsidRPr="009F43A4">
        <w:rPr>
          <w:rFonts w:ascii="Times New Roman" w:hAnsi="Times New Roman" w:cs="Times New Roman"/>
        </w:rPr>
        <w:t>);</w:t>
      </w:r>
    </w:p>
    <w:p w:rsidR="002D1903" w:rsidRPr="003D4130" w:rsidP="0021002A" w14:paraId="75B0AD1C" w14:textId="77777777">
      <w:pPr>
        <w:pStyle w:val="ListParagraph"/>
        <w:spacing w:line="240" w:lineRule="auto"/>
        <w:rPr>
          <w:rFonts w:ascii="Times New Roman" w:hAnsi="Times New Roman" w:cs="Times New Roman"/>
        </w:rPr>
      </w:pPr>
    </w:p>
    <w:p w:rsidR="003814E8" w:rsidP="0021002A" w14:paraId="582DCE5A" w14:textId="1E2075AB">
      <w:pPr>
        <w:pStyle w:val="ListParagraph"/>
        <w:numPr>
          <w:ilvl w:val="0"/>
          <w:numId w:val="75"/>
        </w:numPr>
        <w:spacing w:line="240" w:lineRule="auto"/>
        <w:ind w:left="1440" w:hanging="720"/>
        <w:rPr>
          <w:rFonts w:ascii="Times New Roman" w:hAnsi="Times New Roman" w:cs="Times New Roman"/>
        </w:rPr>
      </w:pPr>
      <w:r w:rsidRPr="003814E8">
        <w:rPr>
          <w:rFonts w:ascii="Times New Roman" w:hAnsi="Times New Roman" w:cs="Times New Roman"/>
        </w:rPr>
        <w:t>IAEA</w:t>
      </w:r>
      <w:r w:rsidR="00601B16">
        <w:rPr>
          <w:rFonts w:ascii="Times New Roman" w:hAnsi="Times New Roman" w:cs="Times New Roman"/>
        </w:rPr>
        <w:t>-</w:t>
      </w:r>
      <w:r w:rsidRPr="003814E8">
        <w:rPr>
          <w:rFonts w:ascii="Times New Roman" w:hAnsi="Times New Roman" w:cs="Times New Roman"/>
        </w:rPr>
        <w:t>TECDOC</w:t>
      </w:r>
      <w:r w:rsidR="00601B16">
        <w:rPr>
          <w:rFonts w:ascii="Times New Roman" w:hAnsi="Times New Roman" w:cs="Times New Roman"/>
        </w:rPr>
        <w:t>-</w:t>
      </w:r>
      <w:r w:rsidRPr="003814E8">
        <w:rPr>
          <w:rFonts w:ascii="Times New Roman" w:hAnsi="Times New Roman" w:cs="Times New Roman"/>
        </w:rPr>
        <w:t>719, “Defining Initiating Events for Purposes of Probabilistic Safety Assessment,” 1993 (Ref. A.</w:t>
      </w:r>
      <w:r>
        <w:rPr>
          <w:rFonts w:ascii="Times New Roman" w:hAnsi="Times New Roman" w:cs="Times New Roman"/>
        </w:rPr>
        <w:t>2</w:t>
      </w:r>
      <w:r w:rsidR="0030274D">
        <w:rPr>
          <w:rFonts w:ascii="Times New Roman" w:hAnsi="Times New Roman" w:cs="Times New Roman"/>
        </w:rPr>
        <w:t>9</w:t>
      </w:r>
      <w:r w:rsidRPr="003814E8">
        <w:rPr>
          <w:rFonts w:ascii="Times New Roman" w:hAnsi="Times New Roman" w:cs="Times New Roman"/>
        </w:rPr>
        <w:t>);</w:t>
      </w:r>
    </w:p>
    <w:p w:rsidR="003814E8" w:rsidRPr="003D4130" w:rsidP="0021002A" w14:paraId="3BA2E25C" w14:textId="77777777">
      <w:pPr>
        <w:pStyle w:val="ListParagraph"/>
        <w:spacing w:line="240" w:lineRule="auto"/>
        <w:rPr>
          <w:rFonts w:ascii="Times New Roman" w:hAnsi="Times New Roman" w:cs="Times New Roman"/>
        </w:rPr>
      </w:pPr>
    </w:p>
    <w:p w:rsidR="007A3501" w:rsidP="0021002A" w14:paraId="4E5D561D" w14:textId="26169B10">
      <w:pPr>
        <w:pStyle w:val="ListParagraph"/>
        <w:numPr>
          <w:ilvl w:val="0"/>
          <w:numId w:val="75"/>
        </w:numPr>
        <w:spacing w:after="0" w:line="240" w:lineRule="auto"/>
        <w:ind w:left="1440" w:hanging="720"/>
        <w:rPr>
          <w:rFonts w:ascii="Times New Roman" w:hAnsi="Times New Roman" w:cs="Times New Roman"/>
        </w:rPr>
      </w:pPr>
      <w:r w:rsidRPr="0083713D">
        <w:rPr>
          <w:rFonts w:ascii="Times New Roman" w:hAnsi="Times New Roman" w:cs="Times New Roman"/>
        </w:rPr>
        <w:t>International Electrotechnical Commission (IEC), International Standard IEC 31010, “Risk Management—Risk Assessment Techniques,” 2019 (Ref. A.</w:t>
      </w:r>
      <w:r w:rsidR="000C72D3">
        <w:rPr>
          <w:rFonts w:ascii="Times New Roman" w:hAnsi="Times New Roman" w:cs="Times New Roman"/>
        </w:rPr>
        <w:t>30</w:t>
      </w:r>
      <w:r w:rsidRPr="0083713D">
        <w:rPr>
          <w:rFonts w:ascii="Times New Roman" w:hAnsi="Times New Roman" w:cs="Times New Roman"/>
        </w:rPr>
        <w:t>);</w:t>
      </w:r>
    </w:p>
    <w:p w:rsidR="00250B99" w:rsidRPr="003D4130" w:rsidP="0021002A" w14:paraId="57D6E232" w14:textId="77777777">
      <w:pPr>
        <w:pStyle w:val="ListParagraph"/>
        <w:spacing w:after="0" w:line="240" w:lineRule="auto"/>
        <w:rPr>
          <w:rFonts w:ascii="Times New Roman" w:hAnsi="Times New Roman" w:cs="Times New Roman"/>
        </w:rPr>
      </w:pPr>
    </w:p>
    <w:p w:rsidR="007A3501" w:rsidRPr="007A3501" w:rsidP="0021002A" w14:paraId="6CAF3DF9" w14:textId="3CAAD2F8">
      <w:pPr>
        <w:pStyle w:val="ListParagraph"/>
        <w:numPr>
          <w:ilvl w:val="0"/>
          <w:numId w:val="75"/>
        </w:numPr>
        <w:spacing w:after="0" w:line="240" w:lineRule="auto"/>
        <w:ind w:left="1440" w:hanging="720"/>
        <w:rPr>
          <w:rFonts w:ascii="Times New Roman" w:hAnsi="Times New Roman" w:cs="Times New Roman"/>
        </w:rPr>
      </w:pPr>
      <w:r w:rsidRPr="007A3501">
        <w:rPr>
          <w:rFonts w:ascii="Times New Roman" w:hAnsi="Times New Roman" w:cs="Times New Roman"/>
        </w:rPr>
        <w:t>IEC Document 61882</w:t>
      </w:r>
      <w:r w:rsidR="000B3C08">
        <w:rPr>
          <w:rFonts w:ascii="Times New Roman" w:hAnsi="Times New Roman" w:cs="Times New Roman"/>
        </w:rPr>
        <w:t>-</w:t>
      </w:r>
      <w:r w:rsidRPr="007A3501">
        <w:rPr>
          <w:rFonts w:ascii="Times New Roman" w:hAnsi="Times New Roman" w:cs="Times New Roman"/>
        </w:rPr>
        <w:t>2001, “Hazard and Operability Studies (HAZOP studies)—Application Guide,”</w:t>
      </w:r>
      <w:r w:rsidR="00250B99">
        <w:rPr>
          <w:rFonts w:ascii="Times New Roman" w:hAnsi="Times New Roman" w:cs="Times New Roman"/>
        </w:rPr>
        <w:t xml:space="preserve"> </w:t>
      </w:r>
      <w:r w:rsidRPr="007A3501">
        <w:rPr>
          <w:rFonts w:ascii="Times New Roman" w:hAnsi="Times New Roman" w:cs="Times New Roman"/>
        </w:rPr>
        <w:t>2001</w:t>
      </w:r>
      <w:r w:rsidR="0050020B">
        <w:rPr>
          <w:rFonts w:ascii="Times New Roman" w:hAnsi="Times New Roman" w:cs="Times New Roman"/>
        </w:rPr>
        <w:t xml:space="preserve"> (Ref. A.</w:t>
      </w:r>
      <w:r w:rsidR="00532009">
        <w:rPr>
          <w:rFonts w:ascii="Times New Roman" w:hAnsi="Times New Roman" w:cs="Times New Roman"/>
        </w:rPr>
        <w:t>31</w:t>
      </w:r>
      <w:r w:rsidR="0050020B">
        <w:rPr>
          <w:rFonts w:ascii="Times New Roman" w:hAnsi="Times New Roman" w:cs="Times New Roman"/>
        </w:rPr>
        <w:t>);</w:t>
      </w:r>
    </w:p>
    <w:p w:rsidR="003814E8" w:rsidRPr="003814E8" w:rsidP="0021002A" w14:paraId="3EAADB11" w14:textId="77777777">
      <w:pPr>
        <w:pStyle w:val="ListParagraph"/>
        <w:spacing w:after="0" w:line="240" w:lineRule="auto"/>
        <w:ind w:left="1440"/>
        <w:rPr>
          <w:rFonts w:ascii="Times New Roman" w:hAnsi="Times New Roman" w:cs="Times New Roman"/>
        </w:rPr>
      </w:pPr>
    </w:p>
    <w:p w:rsidR="002D1903" w:rsidP="0021002A" w14:paraId="1CCCBE63" w14:textId="2BA57AF0">
      <w:pPr>
        <w:pStyle w:val="ListParagraph"/>
        <w:numPr>
          <w:ilvl w:val="0"/>
          <w:numId w:val="75"/>
        </w:numPr>
        <w:spacing w:after="0" w:line="240" w:lineRule="auto"/>
        <w:ind w:left="1440" w:hanging="720"/>
        <w:rPr>
          <w:rFonts w:ascii="Times New Roman" w:hAnsi="Times New Roman" w:cs="Times New Roman"/>
        </w:rPr>
      </w:pPr>
      <w:r>
        <w:rPr>
          <w:rFonts w:ascii="Times New Roman" w:hAnsi="Times New Roman" w:cs="Times New Roman"/>
        </w:rPr>
        <w:t xml:space="preserve">Institute </w:t>
      </w:r>
      <w:r w:rsidRPr="00F22B83" w:rsidR="00F22B83">
        <w:rPr>
          <w:rFonts w:ascii="Times New Roman" w:hAnsi="Times New Roman" w:cs="Times New Roman"/>
        </w:rPr>
        <w:t>of Electrical and Electronics Engineers</w:t>
      </w:r>
      <w:r w:rsidR="00F22B83">
        <w:rPr>
          <w:rFonts w:ascii="Times New Roman" w:hAnsi="Times New Roman" w:cs="Times New Roman"/>
        </w:rPr>
        <w:t xml:space="preserve"> (IEEE), </w:t>
      </w:r>
      <w:r w:rsidRPr="00B46A05" w:rsidR="00B46A05">
        <w:rPr>
          <w:rFonts w:ascii="Times New Roman" w:hAnsi="Times New Roman" w:cs="Times New Roman"/>
        </w:rPr>
        <w:t>IEEE Std. 352</w:t>
      </w:r>
      <w:r w:rsidR="00B46A05">
        <w:rPr>
          <w:rFonts w:ascii="Times New Roman" w:hAnsi="Times New Roman" w:cs="Times New Roman"/>
        </w:rPr>
        <w:t>,</w:t>
      </w:r>
      <w:r w:rsidRPr="00B46A05" w:rsidR="00B46A05">
        <w:rPr>
          <w:rFonts w:ascii="Times New Roman" w:hAnsi="Times New Roman" w:cs="Times New Roman"/>
        </w:rPr>
        <w:t xml:space="preserve"> </w:t>
      </w:r>
      <w:r w:rsidR="00F22B83">
        <w:rPr>
          <w:rFonts w:ascii="Times New Roman" w:hAnsi="Times New Roman" w:cs="Times New Roman"/>
        </w:rPr>
        <w:t xml:space="preserve">“IEEE Guide for General Principles </w:t>
      </w:r>
      <w:r w:rsidR="00831038">
        <w:rPr>
          <w:rFonts w:ascii="Times New Roman" w:hAnsi="Times New Roman" w:cs="Times New Roman"/>
        </w:rPr>
        <w:t>of Reliability Analysis of Nuc</w:t>
      </w:r>
      <w:r w:rsidR="003E39A9">
        <w:rPr>
          <w:rFonts w:ascii="Times New Roman" w:hAnsi="Times New Roman" w:cs="Times New Roman"/>
        </w:rPr>
        <w:t>le</w:t>
      </w:r>
      <w:r w:rsidR="00831038">
        <w:rPr>
          <w:rFonts w:ascii="Times New Roman" w:hAnsi="Times New Roman" w:cs="Times New Roman"/>
        </w:rPr>
        <w:t xml:space="preserve">ar Power Generating </w:t>
      </w:r>
      <w:r w:rsidR="0041334F">
        <w:rPr>
          <w:rFonts w:ascii="Times New Roman" w:hAnsi="Times New Roman" w:cs="Times New Roman"/>
        </w:rPr>
        <w:t xml:space="preserve">Station </w:t>
      </w:r>
      <w:r w:rsidR="00831038">
        <w:rPr>
          <w:rFonts w:ascii="Times New Roman" w:hAnsi="Times New Roman" w:cs="Times New Roman"/>
        </w:rPr>
        <w:t>Systems</w:t>
      </w:r>
      <w:r w:rsidR="0041334F">
        <w:rPr>
          <w:rFonts w:ascii="Times New Roman" w:hAnsi="Times New Roman" w:cs="Times New Roman"/>
        </w:rPr>
        <w:t xml:space="preserve"> and Other Nuclear Facilities,” 2016 (Ref. A.3</w:t>
      </w:r>
      <w:r w:rsidR="0040471E">
        <w:rPr>
          <w:rFonts w:ascii="Times New Roman" w:hAnsi="Times New Roman" w:cs="Times New Roman"/>
        </w:rPr>
        <w:t>2</w:t>
      </w:r>
      <w:r w:rsidR="0041334F">
        <w:rPr>
          <w:rFonts w:ascii="Times New Roman" w:hAnsi="Times New Roman" w:cs="Times New Roman"/>
        </w:rPr>
        <w:t>);</w:t>
      </w:r>
    </w:p>
    <w:p w:rsidR="0041334F" w:rsidRPr="003D4130" w:rsidP="0021002A" w14:paraId="23B6A63E" w14:textId="77777777">
      <w:pPr>
        <w:pStyle w:val="ListParagraph"/>
        <w:spacing w:line="240" w:lineRule="auto"/>
        <w:rPr>
          <w:rFonts w:ascii="Times New Roman" w:hAnsi="Times New Roman" w:cs="Times New Roman"/>
        </w:rPr>
      </w:pPr>
    </w:p>
    <w:p w:rsidR="007C36FA" w:rsidP="0021002A" w14:paraId="067A7606" w14:textId="11CE86E5">
      <w:pPr>
        <w:pStyle w:val="ListParagraph"/>
        <w:numPr>
          <w:ilvl w:val="0"/>
          <w:numId w:val="75"/>
        </w:numPr>
        <w:spacing w:line="240" w:lineRule="auto"/>
        <w:ind w:left="1440" w:hanging="810"/>
        <w:rPr>
          <w:rFonts w:ascii="Times New Roman" w:hAnsi="Times New Roman" w:cs="Times New Roman"/>
        </w:rPr>
      </w:pPr>
      <w:r w:rsidRPr="007C36FA">
        <w:rPr>
          <w:rFonts w:ascii="Times New Roman" w:hAnsi="Times New Roman" w:cs="Times New Roman"/>
        </w:rPr>
        <w:t>Vladimir Popović and Branko Vasić, “Review of Hazard Analysis Methods and Their Basic Characteristics,” FME Transactions, Vol. 36, 2008 (Ref. A.</w:t>
      </w:r>
      <w:r w:rsidR="00C06897">
        <w:rPr>
          <w:rFonts w:ascii="Times New Roman" w:hAnsi="Times New Roman" w:cs="Times New Roman"/>
        </w:rPr>
        <w:t>3</w:t>
      </w:r>
      <w:r w:rsidR="0037399A">
        <w:rPr>
          <w:rFonts w:ascii="Times New Roman" w:hAnsi="Times New Roman" w:cs="Times New Roman"/>
        </w:rPr>
        <w:t>3</w:t>
      </w:r>
      <w:r w:rsidRPr="007C36FA">
        <w:rPr>
          <w:rFonts w:ascii="Times New Roman" w:hAnsi="Times New Roman" w:cs="Times New Roman"/>
        </w:rPr>
        <w:t>); and</w:t>
      </w:r>
    </w:p>
    <w:p w:rsidR="007C36FA" w:rsidRPr="007C36FA" w:rsidP="0021002A" w14:paraId="71EDE2AB" w14:textId="77777777">
      <w:pPr>
        <w:pStyle w:val="ListParagraph"/>
        <w:spacing w:line="240" w:lineRule="auto"/>
        <w:ind w:left="1440" w:hanging="810"/>
        <w:rPr>
          <w:rFonts w:ascii="Times New Roman" w:hAnsi="Times New Roman" w:cs="Times New Roman"/>
        </w:rPr>
      </w:pPr>
    </w:p>
    <w:p w:rsidR="007C36FA" w:rsidRPr="007C36FA" w:rsidP="00596DF6" w14:paraId="6E42A4AC" w14:textId="1D06CDEF">
      <w:pPr>
        <w:pStyle w:val="ListParagraph"/>
        <w:numPr>
          <w:ilvl w:val="0"/>
          <w:numId w:val="75"/>
        </w:numPr>
        <w:spacing w:after="0" w:line="240" w:lineRule="auto"/>
        <w:ind w:left="1440" w:hanging="806"/>
        <w:rPr>
          <w:rFonts w:ascii="Times New Roman" w:hAnsi="Times New Roman" w:cs="Times New Roman"/>
        </w:rPr>
      </w:pPr>
      <w:r w:rsidRPr="007C36FA">
        <w:rPr>
          <w:rFonts w:ascii="Times New Roman" w:hAnsi="Times New Roman" w:cs="Times New Roman"/>
        </w:rPr>
        <w:t>B. Chisholm, S. Krahn, and K. Fleming, “A systematic approach to identify initiating events and its relationship to Probabilistic Risk Assessment: Demonstrated on the Molten Salt Reactor Experiment,” Progress in Nuclear Engineering, Vol. 129, 2020 (Ref. A.</w:t>
      </w:r>
      <w:r w:rsidR="00C06897">
        <w:rPr>
          <w:rFonts w:ascii="Times New Roman" w:hAnsi="Times New Roman" w:cs="Times New Roman"/>
        </w:rPr>
        <w:t>3</w:t>
      </w:r>
      <w:r w:rsidR="00FD06D5">
        <w:rPr>
          <w:rFonts w:ascii="Times New Roman" w:hAnsi="Times New Roman" w:cs="Times New Roman"/>
        </w:rPr>
        <w:t>4</w:t>
      </w:r>
      <w:r w:rsidRPr="007C36FA">
        <w:rPr>
          <w:rFonts w:ascii="Times New Roman" w:hAnsi="Times New Roman" w:cs="Times New Roman"/>
        </w:rPr>
        <w:t>).</w:t>
      </w:r>
    </w:p>
    <w:p w:rsidR="00431508" w:rsidRPr="006E2BCA" w:rsidP="002F3C90" w14:paraId="71A35157" w14:textId="77777777">
      <w:pPr>
        <w:pStyle w:val="NoSpacing"/>
        <w:jc w:val="both"/>
        <w:rPr>
          <w:rFonts w:ascii="Times New Roman" w:hAnsi="Times New Roman" w:cs="Times New Roman"/>
        </w:rPr>
      </w:pPr>
      <w:bookmarkStart w:id="3" w:name="_bookmark68"/>
      <w:bookmarkStart w:id="4" w:name="_bookmark41"/>
      <w:bookmarkEnd w:id="3"/>
      <w:bookmarkEnd w:id="4"/>
    </w:p>
    <w:p w:rsidR="008F2145" w:rsidP="002F3C90" w14:paraId="5C53682A" w14:textId="259B33BA">
      <w:pPr>
        <w:spacing w:after="0" w:line="240" w:lineRule="auto"/>
        <w:ind w:firstLine="720"/>
        <w:rPr>
          <w:rFonts w:ascii="Times New Roman" w:hAnsi="Times New Roman" w:cs="Times New Roman"/>
        </w:rPr>
      </w:pPr>
      <w:r w:rsidRPr="006E2BCA">
        <w:rPr>
          <w:rFonts w:ascii="Times New Roman" w:hAnsi="Times New Roman" w:cs="Times New Roman"/>
        </w:rPr>
        <w:t xml:space="preserve">For IE searching, the combination of a deductive technique with an inductive technique has been found to be effective to ensure completeness of </w:t>
      </w:r>
      <w:r w:rsidR="000D4CC3">
        <w:rPr>
          <w:rFonts w:ascii="Times New Roman" w:hAnsi="Times New Roman" w:cs="Times New Roman"/>
        </w:rPr>
        <w:t xml:space="preserve">an </w:t>
      </w:r>
      <w:r w:rsidRPr="006E2BCA">
        <w:rPr>
          <w:rFonts w:ascii="Times New Roman" w:hAnsi="Times New Roman" w:cs="Times New Roman"/>
        </w:rPr>
        <w:t>IE set</w:t>
      </w:r>
      <w:r w:rsidR="008751C0">
        <w:rPr>
          <w:rFonts w:ascii="Times New Roman" w:hAnsi="Times New Roman" w:cs="Times New Roman"/>
        </w:rPr>
        <w:t xml:space="preserve">. </w:t>
      </w:r>
      <w:r w:rsidRPr="006E2BCA">
        <w:rPr>
          <w:rFonts w:ascii="Times New Roman" w:hAnsi="Times New Roman" w:cs="Times New Roman"/>
        </w:rPr>
        <w:t>The set of IEs can be further refined by performing a human reliability analysis to identify potential human-induced events</w:t>
      </w:r>
      <w:r w:rsidR="008751C0">
        <w:rPr>
          <w:rFonts w:ascii="Times New Roman" w:hAnsi="Times New Roman" w:cs="Times New Roman"/>
        </w:rPr>
        <w:t xml:space="preserve">. </w:t>
      </w:r>
      <w:r w:rsidRPr="006E2BCA">
        <w:rPr>
          <w:rFonts w:ascii="Times New Roman" w:hAnsi="Times New Roman" w:cs="Times New Roman"/>
        </w:rPr>
        <w:t>In addition, comparing the IE set to the generic list of IEs and operational experiences will provide high confidence that IEs have been comprehensively identified</w:t>
      </w:r>
      <w:r w:rsidR="008751C0">
        <w:rPr>
          <w:rFonts w:ascii="Times New Roman" w:hAnsi="Times New Roman" w:cs="Times New Roman"/>
        </w:rPr>
        <w:t xml:space="preserve">. </w:t>
      </w:r>
      <w:r w:rsidRPr="006E2BCA">
        <w:rPr>
          <w:rFonts w:ascii="Times New Roman" w:hAnsi="Times New Roman" w:cs="Times New Roman"/>
        </w:rPr>
        <w:t xml:space="preserve">The choice of the deductive and inductive methods or combination of methods is dependent upon </w:t>
      </w:r>
      <w:r w:rsidRPr="006E2BCA">
        <w:rPr>
          <w:rFonts w:ascii="Times New Roman" w:hAnsi="Times New Roman" w:cs="Times New Roman"/>
        </w:rPr>
        <w:t>a number of</w:t>
      </w:r>
      <w:r w:rsidRPr="006E2BCA">
        <w:rPr>
          <w:rFonts w:ascii="Times New Roman" w:hAnsi="Times New Roman" w:cs="Times New Roman"/>
        </w:rPr>
        <w:t xml:space="preserve"> factors</w:t>
      </w:r>
      <w:r w:rsidR="000D4CC3">
        <w:rPr>
          <w:rFonts w:ascii="Times New Roman" w:hAnsi="Times New Roman" w:cs="Times New Roman"/>
        </w:rPr>
        <w:t>,</w:t>
      </w:r>
      <w:r w:rsidRPr="006E2BCA">
        <w:rPr>
          <w:rFonts w:ascii="Times New Roman" w:hAnsi="Times New Roman" w:cs="Times New Roman"/>
        </w:rPr>
        <w:t xml:space="preserve"> including the reason for conducting the </w:t>
      </w:r>
      <w:r w:rsidRPr="006E2BCA">
        <w:rPr>
          <w:rFonts w:ascii="Times New Roman" w:hAnsi="Times New Roman" w:cs="Times New Roman"/>
        </w:rPr>
        <w:t>analysis, the results needed from the analysis, the information available, the complexity of the process being analyzed, the personnel and experience available to conduct the analysis, and the perceived risk of the process</w:t>
      </w:r>
      <w:r w:rsidR="008751C0">
        <w:rPr>
          <w:rFonts w:ascii="Times New Roman" w:hAnsi="Times New Roman" w:cs="Times New Roman"/>
        </w:rPr>
        <w:t xml:space="preserve">. </w:t>
      </w:r>
      <w:r w:rsidRPr="006E2BCA">
        <w:rPr>
          <w:rFonts w:ascii="Times New Roman" w:hAnsi="Times New Roman" w:cs="Times New Roman"/>
        </w:rPr>
        <w:t xml:space="preserve">Therefore, given the availability of numerous methods, it is not necessary to rely exclusively on any specific one </w:t>
      </w:r>
      <w:r w:rsidR="000D4CC3">
        <w:rPr>
          <w:rFonts w:ascii="Times New Roman" w:hAnsi="Times New Roman" w:cs="Times New Roman"/>
        </w:rPr>
        <w:t>in</w:t>
      </w:r>
      <w:r w:rsidRPr="006E2BCA">
        <w:rPr>
          <w:rFonts w:ascii="Times New Roman" w:hAnsi="Times New Roman" w:cs="Times New Roman"/>
        </w:rPr>
        <w:t xml:space="preserve"> searching </w:t>
      </w:r>
      <w:r w:rsidR="000D4CC3">
        <w:rPr>
          <w:rFonts w:ascii="Times New Roman" w:hAnsi="Times New Roman" w:cs="Times New Roman"/>
        </w:rPr>
        <w:t xml:space="preserve">for </w:t>
      </w:r>
      <w:r w:rsidRPr="006E2BCA">
        <w:rPr>
          <w:rFonts w:ascii="Times New Roman" w:hAnsi="Times New Roman" w:cs="Times New Roman"/>
        </w:rPr>
        <w:t>the IEs.</w:t>
      </w:r>
    </w:p>
    <w:p w:rsidR="008A2846" w:rsidP="002F3C90" w14:paraId="79060282" w14:textId="77777777">
      <w:pPr>
        <w:spacing w:after="0" w:line="240" w:lineRule="auto"/>
        <w:ind w:firstLine="720"/>
        <w:rPr>
          <w:rFonts w:ascii="Times New Roman" w:hAnsi="Times New Roman" w:cs="Times New Roman"/>
        </w:rPr>
      </w:pPr>
    </w:p>
    <w:p w:rsidR="0030138D" w:rsidP="002F3C90" w14:paraId="5B9B77D0" w14:textId="77777777">
      <w:pPr>
        <w:spacing w:after="0" w:line="240" w:lineRule="auto"/>
        <w:rPr>
          <w:rFonts w:ascii="Times New Roman" w:hAnsi="Times New Roman" w:cs="Times New Roman"/>
        </w:rPr>
      </w:pPr>
      <w:r w:rsidRPr="00E329BB">
        <w:rPr>
          <w:rFonts w:ascii="Times New Roman" w:hAnsi="Times New Roman" w:cs="Times New Roman"/>
        </w:rPr>
        <w:t xml:space="preserve">In addition to applying inductive and detective techniques for identifying IEs, when evaluating human-induced initiating events (HIIEs), there are multiple sources that offer guidance, methodology, and data. These HIIEs can include operator errors, maintenance-related mistakes, or misalignments during testing or surveillance that initiate plant transients, loss of power, or other abnormal conditions. Comprehensive identification and rigorous treatment of HIIEs are essential to ensure that plant risk assessments capture the complete range of potential accident initiators, including those stemming from operator actions, maintenance errors, and procedural missteps. The following </w:t>
      </w:r>
      <w:r w:rsidRPr="00E329BB">
        <w:rPr>
          <w:rFonts w:ascii="Times New Roman" w:hAnsi="Times New Roman" w:cs="Times New Roman"/>
        </w:rPr>
        <w:t>guidance</w:t>
      </w:r>
      <w:r w:rsidRPr="00E329BB">
        <w:rPr>
          <w:rFonts w:ascii="Times New Roman" w:hAnsi="Times New Roman" w:cs="Times New Roman"/>
        </w:rPr>
        <w:t xml:space="preserve"> documents provide frameworks and methodologies that can be used for systematically identifying and evaluating HIIEs.</w:t>
      </w:r>
    </w:p>
    <w:p w:rsidR="00E329BB" w:rsidRPr="00E329BB" w:rsidP="002F3C90" w14:paraId="2DB3C27B" w14:textId="77777777">
      <w:pPr>
        <w:spacing w:after="0" w:line="240" w:lineRule="auto"/>
        <w:rPr>
          <w:rFonts w:ascii="Times New Roman" w:hAnsi="Times New Roman" w:cs="Times New Roman"/>
        </w:rPr>
      </w:pPr>
    </w:p>
    <w:p w:rsidR="0030138D" w:rsidP="002F3C90" w14:paraId="76505395" w14:textId="77777777">
      <w:pPr>
        <w:pStyle w:val="ListParagraph"/>
        <w:numPr>
          <w:ilvl w:val="0"/>
          <w:numId w:val="72"/>
        </w:numPr>
        <w:spacing w:after="0" w:line="240" w:lineRule="auto"/>
        <w:rPr>
          <w:rFonts w:ascii="Times New Roman" w:hAnsi="Times New Roman" w:cs="Times New Roman"/>
        </w:rPr>
      </w:pPr>
      <w:r w:rsidRPr="00E329BB">
        <w:rPr>
          <w:rFonts w:ascii="Times New Roman" w:hAnsi="Times New Roman" w:cs="Times New Roman"/>
        </w:rPr>
        <w:t>NUREG-1792, “Good Practices for Implementing Human Reliability Analysis (HRA),” April 2005 (Ref. A.10), supports the identification of HIIEs by emphasizing the importance of a comprehensive task analysis and clear scoping of human actions. Although the document primarily focuses on post-initiator actions, it discusses the need to consider pre-initiator human errors that can directly lead to plant transients or other initiating conditions. By applying this guidance on analyzing tasks, identifying error-</w:t>
      </w:r>
      <w:r w:rsidRPr="00E329BB">
        <w:rPr>
          <w:rFonts w:ascii="Times New Roman" w:hAnsi="Times New Roman" w:cs="Times New Roman"/>
        </w:rPr>
        <w:t>likely</w:t>
      </w:r>
      <w:r w:rsidRPr="00E329BB">
        <w:rPr>
          <w:rFonts w:ascii="Times New Roman" w:hAnsi="Times New Roman" w:cs="Times New Roman"/>
        </w:rPr>
        <w:t xml:space="preserve"> situations, and integrating human reliability insights with IE analysis, analysts can systematically uncover human actions that may result in IEs.</w:t>
      </w:r>
    </w:p>
    <w:p w:rsidR="00EB2BEC" w:rsidRPr="00E329BB" w:rsidP="002F3C90" w14:paraId="426BB142" w14:textId="77777777">
      <w:pPr>
        <w:pStyle w:val="ListParagraph"/>
        <w:spacing w:after="0" w:line="240" w:lineRule="auto"/>
        <w:rPr>
          <w:rFonts w:ascii="Times New Roman" w:hAnsi="Times New Roman" w:cs="Times New Roman"/>
        </w:rPr>
      </w:pPr>
    </w:p>
    <w:p w:rsidR="0030138D" w:rsidP="002F3C90" w14:paraId="02A35FFD" w14:textId="77777777">
      <w:pPr>
        <w:pStyle w:val="ListParagraph"/>
        <w:numPr>
          <w:ilvl w:val="0"/>
          <w:numId w:val="72"/>
        </w:numPr>
        <w:spacing w:after="0" w:line="240" w:lineRule="auto"/>
        <w:rPr>
          <w:rFonts w:ascii="Times New Roman" w:hAnsi="Times New Roman" w:cs="Times New Roman"/>
        </w:rPr>
      </w:pPr>
      <w:r w:rsidRPr="00E329BB">
        <w:rPr>
          <w:rFonts w:ascii="Times New Roman" w:hAnsi="Times New Roman" w:cs="Times New Roman"/>
        </w:rPr>
        <w:t>NUREG-1842, “Evaluation of Human Reliability Analysis Methods Against Good Practices,” September 2006 (Ref. A.11), provides insights that can support the identification of HIIEs, particularly by examining the contextual and situational factors that influence human performance. Although the document focuses on post-initiator actions, its detailed discussion of performance-shaping factors (PSFs), such as stress, workload, training, and procedural quality, would help identify conditions under which human errors are more likely to occur. By considering these factors, analysts can more effectively identify and characterize plausible HIIEs and ensure they are appropriately integrated into the plant risk assessment.</w:t>
      </w:r>
    </w:p>
    <w:p w:rsidR="00EB2BEC" w:rsidRPr="00E329BB" w:rsidP="002F3C90" w14:paraId="34F76B8B" w14:textId="77777777">
      <w:pPr>
        <w:pStyle w:val="ListParagraph"/>
        <w:spacing w:after="0" w:line="240" w:lineRule="auto"/>
        <w:rPr>
          <w:rFonts w:ascii="Times New Roman" w:hAnsi="Times New Roman" w:cs="Times New Roman"/>
        </w:rPr>
      </w:pPr>
    </w:p>
    <w:p w:rsidR="0030138D" w:rsidP="002F3C90" w14:paraId="0D49E944" w14:textId="25A3DBA6">
      <w:pPr>
        <w:pStyle w:val="ListParagraph"/>
        <w:numPr>
          <w:ilvl w:val="0"/>
          <w:numId w:val="72"/>
        </w:numPr>
        <w:spacing w:after="0" w:line="240" w:lineRule="auto"/>
        <w:rPr>
          <w:rFonts w:ascii="Times New Roman" w:hAnsi="Times New Roman" w:cs="Times New Roman"/>
        </w:rPr>
      </w:pPr>
      <w:r w:rsidRPr="00E329BB">
        <w:rPr>
          <w:rFonts w:ascii="Times New Roman" w:hAnsi="Times New Roman" w:cs="Times New Roman"/>
        </w:rPr>
        <w:t xml:space="preserve">NUREG-1921, “EPRI/NRC-RES Fire Human Reliability Analysis Guidelines,” July 2012 (Ref. </w:t>
      </w:r>
      <w:r w:rsidR="00582DD6">
        <w:rPr>
          <w:rFonts w:ascii="Times New Roman" w:hAnsi="Times New Roman" w:cs="Times New Roman"/>
        </w:rPr>
        <w:t>A.</w:t>
      </w:r>
      <w:r w:rsidR="00B933A4">
        <w:rPr>
          <w:rFonts w:ascii="Times New Roman" w:hAnsi="Times New Roman" w:cs="Times New Roman"/>
        </w:rPr>
        <w:t>12</w:t>
      </w:r>
      <w:r w:rsidRPr="00E329BB">
        <w:rPr>
          <w:rFonts w:ascii="Times New Roman" w:hAnsi="Times New Roman" w:cs="Times New Roman"/>
        </w:rPr>
        <w:t>), while focused primarily on human reliability analysis in fire scenarios, includes robust treatment of operator actions that may inadvertently cause IEs. These include mistaken actions taken under stress or poor visibility, and the guidance can be extended to other scenarios involving degraded conditions.</w:t>
      </w:r>
    </w:p>
    <w:p w:rsidR="00EB2BEC" w:rsidP="002F3C90" w14:paraId="4B6F7492" w14:textId="77777777">
      <w:pPr>
        <w:pStyle w:val="ListParagraph"/>
        <w:spacing w:after="0" w:line="240" w:lineRule="auto"/>
        <w:rPr>
          <w:rFonts w:ascii="Times New Roman" w:hAnsi="Times New Roman" w:cs="Times New Roman"/>
        </w:rPr>
      </w:pPr>
    </w:p>
    <w:p w:rsidR="008F3C93" w:rsidP="00596DF6" w14:paraId="5BD769BC" w14:textId="77777777">
      <w:pPr>
        <w:pStyle w:val="ListParagraph"/>
        <w:numPr>
          <w:ilvl w:val="0"/>
          <w:numId w:val="72"/>
        </w:numPr>
        <w:spacing w:after="0" w:line="240" w:lineRule="auto"/>
        <w:rPr>
          <w:rFonts w:ascii="Times New Roman" w:hAnsi="Times New Roman" w:cs="Times New Roman"/>
        </w:rPr>
      </w:pPr>
      <w:r w:rsidRPr="008F3C93">
        <w:rPr>
          <w:rFonts w:ascii="Times New Roman" w:hAnsi="Times New Roman" w:cs="Times New Roman"/>
        </w:rPr>
        <w:t>NUREG/CR-6928, “Industry-Average Performance for Components and Initiating Events at U.S. Commercial Nuclear Power Plant,” February 2007 (Ref. A.17), provides statistical data on the frequencies of IEs observed in operating U.S. nuclear plants. Although it does not focus exclusively on HIIEs, many of the documented IEs include contributions from human errors.</w:t>
      </w:r>
    </w:p>
    <w:p w:rsidR="00596DF6" w:rsidRPr="00006164" w:rsidP="00006164" w14:paraId="275A3019" w14:textId="77777777">
      <w:pPr>
        <w:spacing w:after="0" w:line="240" w:lineRule="auto"/>
        <w:rPr>
          <w:rFonts w:ascii="Times New Roman" w:hAnsi="Times New Roman" w:cs="Times New Roman"/>
        </w:rPr>
      </w:pPr>
    </w:p>
    <w:p w:rsidR="00987D7C" w:rsidP="00596DF6" w14:paraId="064C14BF" w14:textId="68313EF3">
      <w:pPr>
        <w:spacing w:after="0" w:line="240" w:lineRule="auto"/>
        <w:ind w:left="720" w:hanging="720"/>
        <w:rPr>
          <w:rFonts w:ascii="Times New Roman" w:hAnsi="Times New Roman" w:cs="Times New Roman"/>
          <w:b/>
          <w:bCs/>
          <w:sz w:val="24"/>
          <w:szCs w:val="24"/>
        </w:rPr>
      </w:pPr>
      <w:r w:rsidRPr="004D2EC8">
        <w:rPr>
          <w:rFonts w:ascii="Times New Roman" w:hAnsi="Times New Roman" w:cs="Times New Roman"/>
          <w:b/>
          <w:bCs/>
          <w:sz w:val="24"/>
          <w:szCs w:val="24"/>
        </w:rPr>
        <w:t>A-1.</w:t>
      </w:r>
      <w:r w:rsidRPr="004D2EC8">
        <w:rPr>
          <w:rFonts w:ascii="Times New Roman" w:hAnsi="Times New Roman" w:cs="Times New Roman"/>
          <w:b/>
          <w:bCs/>
          <w:sz w:val="24"/>
          <w:szCs w:val="24"/>
        </w:rPr>
        <w:tab/>
      </w:r>
      <w:r w:rsidRPr="004D2EC8" w:rsidR="008F2145">
        <w:rPr>
          <w:rFonts w:ascii="Times New Roman" w:hAnsi="Times New Roman" w:cs="Times New Roman"/>
          <w:b/>
          <w:bCs/>
          <w:sz w:val="24"/>
          <w:szCs w:val="24"/>
        </w:rPr>
        <w:t>Inductive Techniques</w:t>
      </w:r>
    </w:p>
    <w:p w:rsidR="00596DF6" w:rsidP="00006164" w14:paraId="5B68512B" w14:textId="77777777">
      <w:pPr>
        <w:spacing w:after="0" w:line="240" w:lineRule="auto"/>
        <w:rPr>
          <w:rFonts w:ascii="Times New Roman" w:hAnsi="Times New Roman" w:cs="Times New Roman"/>
          <w:b/>
          <w:bCs/>
          <w:sz w:val="24"/>
          <w:szCs w:val="24"/>
        </w:rPr>
      </w:pPr>
    </w:p>
    <w:p w:rsidR="008F2145" w:rsidRPr="006E2BCA" w:rsidP="002F3C90" w14:paraId="7104498C" w14:textId="5A20BEB2">
      <w:pPr>
        <w:spacing w:after="0" w:line="240" w:lineRule="auto"/>
        <w:ind w:firstLine="720"/>
        <w:rPr>
          <w:rFonts w:ascii="Times New Roman" w:hAnsi="Times New Roman" w:cs="Times New Roman"/>
        </w:rPr>
      </w:pPr>
      <w:r w:rsidRPr="006E2BCA">
        <w:rPr>
          <w:rFonts w:ascii="Times New Roman" w:hAnsi="Times New Roman" w:cs="Times New Roman"/>
        </w:rPr>
        <w:t xml:space="preserve">The inductive techniques provide answers to the generic question </w:t>
      </w:r>
      <w:r w:rsidR="000D4CC3">
        <w:rPr>
          <w:rFonts w:ascii="Times New Roman" w:hAnsi="Times New Roman" w:cs="Times New Roman"/>
        </w:rPr>
        <w:t>“</w:t>
      </w:r>
      <w:r w:rsidRPr="006E2BCA">
        <w:rPr>
          <w:rFonts w:ascii="Times New Roman" w:hAnsi="Times New Roman" w:cs="Times New Roman"/>
        </w:rPr>
        <w:t>What happens if …?</w:t>
      </w:r>
      <w:r w:rsidR="000D4CC3">
        <w:rPr>
          <w:rFonts w:ascii="Times New Roman" w:hAnsi="Times New Roman" w:cs="Times New Roman"/>
        </w:rPr>
        <w:t>”</w:t>
      </w:r>
      <w:r w:rsidRPr="006E2BCA">
        <w:rPr>
          <w:rFonts w:ascii="Times New Roman" w:hAnsi="Times New Roman" w:cs="Times New Roman"/>
        </w:rPr>
        <w:t xml:space="preserve"> More formally, analyzing from specific to general, the inductive process initiates by assuming a particular state of existence of a component and examining to determine the effects of that condition on the system</w:t>
      </w:r>
      <w:r w:rsidR="008751C0">
        <w:rPr>
          <w:rFonts w:ascii="Times New Roman" w:hAnsi="Times New Roman" w:cs="Times New Roman"/>
        </w:rPr>
        <w:t>.</w:t>
      </w:r>
      <w:r w:rsidR="00A05F5A">
        <w:rPr>
          <w:rFonts w:ascii="Times New Roman" w:hAnsi="Times New Roman" w:cs="Times New Roman"/>
        </w:rPr>
        <w:t xml:space="preserve"> </w:t>
      </w:r>
      <w:r w:rsidR="00BB1BA4">
        <w:rPr>
          <w:rFonts w:ascii="Times New Roman" w:hAnsi="Times New Roman" w:cs="Times New Roman"/>
        </w:rPr>
        <w:t>A</w:t>
      </w:r>
      <w:r w:rsidRPr="006E2BCA" w:rsidR="00BB1BA4">
        <w:rPr>
          <w:rFonts w:ascii="Times New Roman" w:hAnsi="Times New Roman" w:cs="Times New Roman"/>
        </w:rPr>
        <w:t xml:space="preserve">ttempts to identify all possible hazards or all possible component failure modes, both singly and in </w:t>
      </w:r>
      <w:r w:rsidRPr="006E2BCA" w:rsidR="00BB1BA4">
        <w:rPr>
          <w:rFonts w:ascii="Times New Roman" w:hAnsi="Times New Roman" w:cs="Times New Roman"/>
        </w:rPr>
        <w:t xml:space="preserve">combination, </w:t>
      </w:r>
      <w:r w:rsidR="00BB1BA4">
        <w:rPr>
          <w:rFonts w:ascii="Times New Roman" w:hAnsi="Times New Roman" w:cs="Times New Roman"/>
        </w:rPr>
        <w:t>are challenging for</w:t>
      </w:r>
      <w:r w:rsidRPr="006E2BCA" w:rsidR="00BB1BA4">
        <w:rPr>
          <w:rFonts w:ascii="Times New Roman" w:hAnsi="Times New Roman" w:cs="Times New Roman"/>
        </w:rPr>
        <w:t xml:space="preserve"> </w:t>
      </w:r>
      <w:r w:rsidR="00BB1BA4">
        <w:rPr>
          <w:rFonts w:ascii="Times New Roman" w:hAnsi="Times New Roman" w:cs="Times New Roman"/>
        </w:rPr>
        <w:t>complex</w:t>
      </w:r>
      <w:r w:rsidRPr="006E2BCA" w:rsidR="00BB1BA4">
        <w:rPr>
          <w:rFonts w:ascii="Times New Roman" w:hAnsi="Times New Roman" w:cs="Times New Roman"/>
        </w:rPr>
        <w:t xml:space="preserve"> systems</w:t>
      </w:r>
      <w:r w:rsidR="00BB1BA4">
        <w:rPr>
          <w:rFonts w:ascii="Times New Roman" w:hAnsi="Times New Roman" w:cs="Times New Roman"/>
        </w:rPr>
        <w:t xml:space="preserve">. </w:t>
      </w:r>
      <w:r w:rsidRPr="006E2BCA">
        <w:rPr>
          <w:rFonts w:ascii="Times New Roman" w:hAnsi="Times New Roman" w:cs="Times New Roman"/>
        </w:rPr>
        <w:t>For this reason, the inductive techniques are generally circumscribed by considerations of time, budget, and manpower</w:t>
      </w:r>
      <w:r w:rsidR="008751C0">
        <w:rPr>
          <w:rFonts w:ascii="Times New Roman" w:hAnsi="Times New Roman" w:cs="Times New Roman"/>
        </w:rPr>
        <w:t xml:space="preserve">. </w:t>
      </w:r>
    </w:p>
    <w:p w:rsidR="001C15D0" w:rsidP="002F3C90" w14:paraId="44036540" w14:textId="77777777">
      <w:pPr>
        <w:spacing w:after="0" w:line="240" w:lineRule="auto"/>
        <w:ind w:firstLine="720"/>
        <w:rPr>
          <w:rFonts w:ascii="Times New Roman" w:hAnsi="Times New Roman" w:cs="Times New Roman"/>
        </w:rPr>
      </w:pPr>
    </w:p>
    <w:p w:rsidR="008F2145" w:rsidP="002F3C90" w14:paraId="4C86823C" w14:textId="304BFCD4">
      <w:pPr>
        <w:spacing w:after="0" w:line="240" w:lineRule="auto"/>
        <w:ind w:firstLine="720"/>
        <w:rPr>
          <w:rFonts w:ascii="Times New Roman" w:hAnsi="Times New Roman" w:cs="Times New Roman"/>
        </w:rPr>
      </w:pPr>
      <w:r w:rsidRPr="006E2BCA">
        <w:rPr>
          <w:rFonts w:ascii="Times New Roman" w:hAnsi="Times New Roman" w:cs="Times New Roman"/>
        </w:rPr>
        <w:t>Induction constitutes reasoning from individual cases to a general conclusion</w:t>
      </w:r>
      <w:r w:rsidR="008751C0">
        <w:rPr>
          <w:rFonts w:ascii="Times New Roman" w:hAnsi="Times New Roman" w:cs="Times New Roman"/>
        </w:rPr>
        <w:t xml:space="preserve">. </w:t>
      </w:r>
      <w:r w:rsidRPr="006E2BCA">
        <w:rPr>
          <w:rFonts w:ascii="Times New Roman" w:hAnsi="Times New Roman" w:cs="Times New Roman"/>
        </w:rPr>
        <w:t>The inductive technique assumes some possible conditions and tries to determine the corresponding effect on the overall system</w:t>
      </w:r>
      <w:r w:rsidR="008751C0">
        <w:rPr>
          <w:rFonts w:ascii="Times New Roman" w:hAnsi="Times New Roman" w:cs="Times New Roman"/>
        </w:rPr>
        <w:t xml:space="preserve">. </w:t>
      </w:r>
      <w:r w:rsidRPr="006E2BCA">
        <w:rPr>
          <w:rFonts w:ascii="Times New Roman" w:hAnsi="Times New Roman" w:cs="Times New Roman"/>
        </w:rPr>
        <w:t xml:space="preserve">For example, in constructing an inductive system analysis, </w:t>
      </w:r>
      <w:r w:rsidR="00BB3EA7">
        <w:rPr>
          <w:rFonts w:ascii="Times New Roman" w:hAnsi="Times New Roman" w:cs="Times New Roman"/>
        </w:rPr>
        <w:t>one would</w:t>
      </w:r>
      <w:r w:rsidRPr="006E2BCA" w:rsidR="00BB3EA7">
        <w:rPr>
          <w:rFonts w:ascii="Times New Roman" w:hAnsi="Times New Roman" w:cs="Times New Roman"/>
        </w:rPr>
        <w:t xml:space="preserve"> </w:t>
      </w:r>
      <w:r w:rsidRPr="006E2BCA">
        <w:rPr>
          <w:rFonts w:ascii="Times New Roman" w:hAnsi="Times New Roman" w:cs="Times New Roman"/>
        </w:rPr>
        <w:t>postulate a particular fault or initiating condition and attempt to ascertain the effect of that fault or condition on system operation</w:t>
      </w:r>
      <w:r w:rsidR="008751C0">
        <w:rPr>
          <w:rFonts w:ascii="Times New Roman" w:hAnsi="Times New Roman" w:cs="Times New Roman"/>
        </w:rPr>
        <w:t xml:space="preserve">. </w:t>
      </w:r>
      <w:r w:rsidRPr="006E2BCA">
        <w:rPr>
          <w:rFonts w:ascii="Times New Roman" w:hAnsi="Times New Roman" w:cs="Times New Roman"/>
        </w:rPr>
        <w:t>In short, inductive methods are applied to determine what failed states are possible</w:t>
      </w:r>
      <w:r w:rsidR="008751C0">
        <w:rPr>
          <w:rFonts w:ascii="Times New Roman" w:hAnsi="Times New Roman" w:cs="Times New Roman"/>
        </w:rPr>
        <w:t xml:space="preserve">. </w:t>
      </w:r>
      <w:r w:rsidRPr="006E2BCA">
        <w:rPr>
          <w:rFonts w:ascii="Times New Roman" w:hAnsi="Times New Roman" w:cs="Times New Roman"/>
        </w:rPr>
        <w:t>These methods should be carried out by a suitable</w:t>
      </w:r>
      <w:r w:rsidR="005218FE">
        <w:rPr>
          <w:rFonts w:ascii="Times New Roman" w:hAnsi="Times New Roman" w:cs="Times New Roman"/>
        </w:rPr>
        <w:t>,</w:t>
      </w:r>
      <w:r w:rsidRPr="006E2BCA">
        <w:rPr>
          <w:rFonts w:ascii="Times New Roman" w:hAnsi="Times New Roman" w:cs="Times New Roman"/>
        </w:rPr>
        <w:t xml:space="preserve"> experienced</w:t>
      </w:r>
      <w:r w:rsidR="005218FE">
        <w:rPr>
          <w:rFonts w:ascii="Times New Roman" w:hAnsi="Times New Roman" w:cs="Times New Roman"/>
        </w:rPr>
        <w:t>,</w:t>
      </w:r>
      <w:r w:rsidRPr="006E2BCA">
        <w:rPr>
          <w:rFonts w:ascii="Times New Roman" w:hAnsi="Times New Roman" w:cs="Times New Roman"/>
        </w:rPr>
        <w:t xml:space="preserve"> multidisciplinary team and followed by an independent review</w:t>
      </w:r>
      <w:r w:rsidR="008751C0">
        <w:rPr>
          <w:rFonts w:ascii="Times New Roman" w:hAnsi="Times New Roman" w:cs="Times New Roman"/>
        </w:rPr>
        <w:t xml:space="preserve">. </w:t>
      </w:r>
      <w:r w:rsidRPr="006E2BCA">
        <w:rPr>
          <w:rFonts w:ascii="Times New Roman" w:hAnsi="Times New Roman" w:cs="Times New Roman"/>
        </w:rPr>
        <w:t xml:space="preserve">Many inductive methods have been developed, </w:t>
      </w:r>
      <w:r w:rsidR="005218FE">
        <w:rPr>
          <w:rFonts w:ascii="Times New Roman" w:hAnsi="Times New Roman" w:cs="Times New Roman"/>
        </w:rPr>
        <w:t>such as the following</w:t>
      </w:r>
      <w:r w:rsidRPr="006E2BCA">
        <w:rPr>
          <w:rFonts w:ascii="Times New Roman" w:hAnsi="Times New Roman" w:cs="Times New Roman"/>
        </w:rPr>
        <w:t>:</w:t>
      </w:r>
    </w:p>
    <w:p w:rsidR="001C15D0" w:rsidRPr="006E2BCA" w:rsidP="002F3C90" w14:paraId="4572A6F9" w14:textId="77777777">
      <w:pPr>
        <w:spacing w:after="0" w:line="240" w:lineRule="auto"/>
        <w:ind w:firstLine="720"/>
        <w:rPr>
          <w:rFonts w:ascii="Times New Roman" w:hAnsi="Times New Roman" w:cs="Times New Roman"/>
        </w:rPr>
      </w:pPr>
    </w:p>
    <w:p w:rsidR="008F2145" w:rsidP="002F3C90" w14:paraId="5F3F13BB" w14:textId="298CEAC8">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5654A8">
        <w:rPr>
          <w:rFonts w:ascii="Times New Roman" w:hAnsi="Times New Roman" w:cs="Times New Roman"/>
        </w:rPr>
        <w:t>Double Failure Matrix (DFM</w:t>
      </w:r>
      <w:r w:rsidR="005654A8">
        <w:rPr>
          <w:rFonts w:ascii="Times New Roman" w:hAnsi="Times New Roman" w:cs="Times New Roman"/>
        </w:rPr>
        <w:t xml:space="preserve">; </w:t>
      </w:r>
      <w:r w:rsidR="00757899">
        <w:rPr>
          <w:rFonts w:ascii="Times New Roman" w:hAnsi="Times New Roman" w:cs="Times New Roman"/>
        </w:rPr>
        <w:t>Refs. A.</w:t>
      </w:r>
      <w:r w:rsidR="00E9355B">
        <w:rPr>
          <w:rFonts w:ascii="Times New Roman" w:hAnsi="Times New Roman" w:cs="Times New Roman"/>
        </w:rPr>
        <w:t>7</w:t>
      </w:r>
      <w:r w:rsidR="00757899">
        <w:rPr>
          <w:rFonts w:ascii="Times New Roman" w:hAnsi="Times New Roman" w:cs="Times New Roman"/>
        </w:rPr>
        <w:t xml:space="preserve"> and A.</w:t>
      </w:r>
      <w:r w:rsidR="00E9355B">
        <w:rPr>
          <w:rFonts w:ascii="Times New Roman" w:hAnsi="Times New Roman" w:cs="Times New Roman"/>
        </w:rPr>
        <w:t>2</w:t>
      </w:r>
      <w:r w:rsidR="00242D8E">
        <w:rPr>
          <w:rFonts w:ascii="Times New Roman" w:hAnsi="Times New Roman" w:cs="Times New Roman"/>
        </w:rPr>
        <w:t>4</w:t>
      </w:r>
      <w:r w:rsidRPr="005654A8">
        <w:rPr>
          <w:rFonts w:ascii="Times New Roman" w:hAnsi="Times New Roman" w:cs="Times New Roman"/>
        </w:rPr>
        <w:t>)</w:t>
      </w:r>
      <w:r w:rsidRPr="005654A8" w:rsidR="002B190A">
        <w:rPr>
          <w:rFonts w:ascii="Times New Roman" w:hAnsi="Times New Roman" w:cs="Times New Roman"/>
        </w:rPr>
        <w:t>,</w:t>
      </w:r>
      <w:r w:rsidRPr="005654A8">
        <w:rPr>
          <w:rFonts w:ascii="Times New Roman" w:hAnsi="Times New Roman" w:cs="Times New Roman"/>
        </w:rPr>
        <w:t xml:space="preserve"> </w:t>
      </w:r>
    </w:p>
    <w:p w:rsidR="00EB2BEC" w:rsidRPr="005654A8" w:rsidP="002F3C90" w14:paraId="2BEC8C47"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11E4E845" w14:textId="3BC698BF">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Failure Mode</w:t>
      </w:r>
      <w:r w:rsidR="005218FE">
        <w:rPr>
          <w:rFonts w:ascii="Times New Roman" w:hAnsi="Times New Roman" w:cs="Times New Roman"/>
        </w:rPr>
        <w:t>s</w:t>
      </w:r>
      <w:r w:rsidRPr="006E2BCA">
        <w:rPr>
          <w:rFonts w:ascii="Times New Roman" w:hAnsi="Times New Roman" w:cs="Times New Roman"/>
        </w:rPr>
        <w:t xml:space="preserve"> and Effect</w:t>
      </w:r>
      <w:r w:rsidR="005218FE">
        <w:rPr>
          <w:rFonts w:ascii="Times New Roman" w:hAnsi="Times New Roman" w:cs="Times New Roman"/>
        </w:rPr>
        <w:t>s</w:t>
      </w:r>
      <w:r w:rsidRPr="006E2BCA">
        <w:rPr>
          <w:rFonts w:ascii="Times New Roman" w:hAnsi="Times New Roman" w:cs="Times New Roman"/>
        </w:rPr>
        <w:t xml:space="preserve"> Analysis (FMEA</w:t>
      </w:r>
      <w:r w:rsidR="00E9355B">
        <w:rPr>
          <w:rFonts w:ascii="Times New Roman" w:hAnsi="Times New Roman" w:cs="Times New Roman"/>
        </w:rPr>
        <w:t>; Refs. A.7</w:t>
      </w:r>
      <w:r w:rsidR="00A252F2">
        <w:rPr>
          <w:rFonts w:ascii="Times New Roman" w:hAnsi="Times New Roman" w:cs="Times New Roman"/>
        </w:rPr>
        <w:t xml:space="preserve">, </w:t>
      </w:r>
      <w:r w:rsidR="00E9355B">
        <w:rPr>
          <w:rFonts w:ascii="Times New Roman" w:hAnsi="Times New Roman" w:cs="Times New Roman"/>
        </w:rPr>
        <w:t>A.</w:t>
      </w:r>
      <w:r w:rsidR="00A252F2">
        <w:rPr>
          <w:rFonts w:ascii="Times New Roman" w:hAnsi="Times New Roman" w:cs="Times New Roman"/>
        </w:rPr>
        <w:t>2</w:t>
      </w:r>
      <w:r w:rsidR="00242D8E">
        <w:rPr>
          <w:rFonts w:ascii="Times New Roman" w:hAnsi="Times New Roman" w:cs="Times New Roman"/>
        </w:rPr>
        <w:t>4</w:t>
      </w:r>
      <w:r w:rsidR="00A252F2">
        <w:rPr>
          <w:rFonts w:ascii="Times New Roman" w:hAnsi="Times New Roman" w:cs="Times New Roman"/>
        </w:rPr>
        <w:t>, and A.3</w:t>
      </w:r>
      <w:r w:rsidR="00242D8E">
        <w:rPr>
          <w:rFonts w:ascii="Times New Roman" w:hAnsi="Times New Roman" w:cs="Times New Roman"/>
        </w:rPr>
        <w:t>2</w:t>
      </w:r>
      <w:r w:rsidRPr="006E2BCA">
        <w:rPr>
          <w:rFonts w:ascii="Times New Roman" w:hAnsi="Times New Roman" w:cs="Times New Roman"/>
        </w:rPr>
        <w:t>)</w:t>
      </w:r>
      <w:r w:rsidR="002B190A">
        <w:rPr>
          <w:rFonts w:ascii="Times New Roman" w:hAnsi="Times New Roman" w:cs="Times New Roman"/>
        </w:rPr>
        <w:t>,</w:t>
      </w:r>
    </w:p>
    <w:p w:rsidR="00EB2BEC" w:rsidRPr="006E2BCA" w:rsidP="002F3C90" w14:paraId="4A317AED" w14:textId="77777777">
      <w:pPr>
        <w:pStyle w:val="ListParagraph"/>
        <w:widowControl w:val="0"/>
        <w:autoSpaceDE w:val="0"/>
        <w:autoSpaceDN w:val="0"/>
        <w:spacing w:after="0" w:line="240" w:lineRule="auto"/>
        <w:contextualSpacing w:val="0"/>
        <w:rPr>
          <w:rFonts w:ascii="Times New Roman" w:hAnsi="Times New Roman" w:cs="Times New Roman"/>
        </w:rPr>
      </w:pPr>
    </w:p>
    <w:p w:rsidR="00EB2BEC" w:rsidP="002F3C90" w14:paraId="4E4DDC8C" w14:textId="77777777">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Failure Mode Effects and Criticality Analysis (FMECA</w:t>
      </w:r>
      <w:r w:rsidR="009B11D5">
        <w:rPr>
          <w:rFonts w:ascii="Times New Roman" w:hAnsi="Times New Roman" w:cs="Times New Roman"/>
        </w:rPr>
        <w:t>; Ref. A.7</w:t>
      </w:r>
      <w:r w:rsidRPr="006E2BCA">
        <w:rPr>
          <w:rFonts w:ascii="Times New Roman" w:hAnsi="Times New Roman" w:cs="Times New Roman"/>
        </w:rPr>
        <w:t>)</w:t>
      </w:r>
      <w:r w:rsidR="002B190A">
        <w:rPr>
          <w:rFonts w:ascii="Times New Roman" w:hAnsi="Times New Roman" w:cs="Times New Roman"/>
        </w:rPr>
        <w:t>,</w:t>
      </w:r>
    </w:p>
    <w:p w:rsidR="008F2145" w:rsidRPr="006E2BCA" w:rsidP="002F3C90" w14:paraId="15AF51CC" w14:textId="4AAB1446">
      <w:pPr>
        <w:pStyle w:val="ListParagraph"/>
        <w:widowControl w:val="0"/>
        <w:autoSpaceDE w:val="0"/>
        <w:autoSpaceDN w:val="0"/>
        <w:spacing w:after="0" w:line="240" w:lineRule="auto"/>
        <w:contextualSpacing w:val="0"/>
        <w:rPr>
          <w:rFonts w:ascii="Times New Roman" w:hAnsi="Times New Roman" w:cs="Times New Roman"/>
        </w:rPr>
      </w:pPr>
    </w:p>
    <w:p w:rsidR="0074501A" w:rsidP="002F3C90" w14:paraId="56402788" w14:textId="7B08B462">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D15BFC">
        <w:rPr>
          <w:rFonts w:ascii="Times New Roman" w:hAnsi="Times New Roman" w:cs="Times New Roman"/>
        </w:rPr>
        <w:t>System-Level Failure Modes and Effects Analysis (SLFMEA)</w:t>
      </w:r>
    </w:p>
    <w:p w:rsidR="00F41B05" w:rsidRPr="00D15BFC" w:rsidP="002F3C90" w14:paraId="0725F351"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01E1B177" w14:textId="4CA16662">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Fault Hazard Analysis (</w:t>
      </w:r>
      <w:r w:rsidRPr="006E2BCA">
        <w:rPr>
          <w:rFonts w:ascii="Times New Roman" w:hAnsi="Times New Roman" w:cs="Times New Roman"/>
        </w:rPr>
        <w:t>FaHA</w:t>
      </w:r>
      <w:r w:rsidR="003548ED">
        <w:rPr>
          <w:rFonts w:ascii="Times New Roman" w:hAnsi="Times New Roman" w:cs="Times New Roman"/>
        </w:rPr>
        <w:t>; Ref. A.7</w:t>
      </w:r>
      <w:r w:rsidRPr="006E2BCA">
        <w:rPr>
          <w:rFonts w:ascii="Times New Roman" w:hAnsi="Times New Roman" w:cs="Times New Roman"/>
        </w:rPr>
        <w:t>)</w:t>
      </w:r>
      <w:r w:rsidR="002B190A">
        <w:rPr>
          <w:rFonts w:ascii="Times New Roman" w:hAnsi="Times New Roman" w:cs="Times New Roman"/>
        </w:rPr>
        <w:t>,</w:t>
      </w:r>
    </w:p>
    <w:p w:rsidR="00F41B05" w:rsidRPr="006E2BCA" w:rsidP="002F3C90" w14:paraId="7574C559"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4A61D81B" w14:textId="319E72FE">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Functional Hazard Analysis (</w:t>
      </w:r>
      <w:r w:rsidRPr="006E2BCA">
        <w:rPr>
          <w:rFonts w:ascii="Times New Roman" w:hAnsi="Times New Roman" w:cs="Times New Roman"/>
        </w:rPr>
        <w:t>FuHA</w:t>
      </w:r>
      <w:r w:rsidR="00B7124C">
        <w:rPr>
          <w:rFonts w:ascii="Times New Roman" w:hAnsi="Times New Roman" w:cs="Times New Roman"/>
        </w:rPr>
        <w:t>; Ref. A.2</w:t>
      </w:r>
      <w:r w:rsidR="005C349C">
        <w:rPr>
          <w:rFonts w:ascii="Times New Roman" w:hAnsi="Times New Roman" w:cs="Times New Roman"/>
        </w:rPr>
        <w:t>2</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F41B05" w:rsidRPr="006E2BCA" w:rsidP="002F3C90" w14:paraId="5BEA90CB"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26AC4E4B" w14:textId="5D38190F">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Hazard and Operability Analysis (HAZOP</w:t>
      </w:r>
      <w:r w:rsidR="002D2458">
        <w:rPr>
          <w:rFonts w:ascii="Times New Roman" w:hAnsi="Times New Roman" w:cs="Times New Roman"/>
        </w:rPr>
        <w:t>; Refs. A.2</w:t>
      </w:r>
      <w:r w:rsidR="005C349C">
        <w:rPr>
          <w:rFonts w:ascii="Times New Roman" w:hAnsi="Times New Roman" w:cs="Times New Roman"/>
        </w:rPr>
        <w:t>4</w:t>
      </w:r>
      <w:r w:rsidR="002D2458">
        <w:rPr>
          <w:rFonts w:ascii="Times New Roman" w:hAnsi="Times New Roman" w:cs="Times New Roman"/>
        </w:rPr>
        <w:t xml:space="preserve"> and A.</w:t>
      </w:r>
      <w:r w:rsidR="005C349C">
        <w:rPr>
          <w:rFonts w:ascii="Times New Roman" w:hAnsi="Times New Roman" w:cs="Times New Roman"/>
        </w:rPr>
        <w:t>31</w:t>
      </w:r>
      <w:r w:rsidRPr="006E2BCA">
        <w:rPr>
          <w:rFonts w:ascii="Times New Roman" w:hAnsi="Times New Roman" w:cs="Times New Roman"/>
        </w:rPr>
        <w:t>)</w:t>
      </w:r>
      <w:r w:rsidR="002B190A">
        <w:rPr>
          <w:rFonts w:ascii="Times New Roman" w:hAnsi="Times New Roman" w:cs="Times New Roman"/>
        </w:rPr>
        <w:t>, and</w:t>
      </w:r>
    </w:p>
    <w:p w:rsidR="00F41B05" w:rsidRPr="006E2BCA" w:rsidP="002F3C90" w14:paraId="00E08042"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RPr="006E2BCA" w:rsidP="002F3C90" w14:paraId="3B444C7E" w14:textId="055661A6">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Preliminary Hazard Analysis (PHA</w:t>
      </w:r>
      <w:r w:rsidR="00453453">
        <w:rPr>
          <w:rFonts w:ascii="Times New Roman" w:hAnsi="Times New Roman" w:cs="Times New Roman"/>
        </w:rPr>
        <w:t>; Refs. A.7, A.</w:t>
      </w:r>
      <w:r w:rsidR="005C349C">
        <w:rPr>
          <w:rFonts w:ascii="Times New Roman" w:hAnsi="Times New Roman" w:cs="Times New Roman"/>
        </w:rPr>
        <w:t>21</w:t>
      </w:r>
      <w:r w:rsidR="00453453">
        <w:rPr>
          <w:rFonts w:ascii="Times New Roman" w:hAnsi="Times New Roman" w:cs="Times New Roman"/>
        </w:rPr>
        <w:t xml:space="preserve">, </w:t>
      </w:r>
      <w:r w:rsidR="00EC1311">
        <w:rPr>
          <w:rFonts w:ascii="Times New Roman" w:hAnsi="Times New Roman" w:cs="Times New Roman"/>
        </w:rPr>
        <w:t>A.2</w:t>
      </w:r>
      <w:r w:rsidR="005C349C">
        <w:rPr>
          <w:rFonts w:ascii="Times New Roman" w:hAnsi="Times New Roman" w:cs="Times New Roman"/>
        </w:rPr>
        <w:t>3</w:t>
      </w:r>
      <w:r w:rsidR="00EC1311">
        <w:rPr>
          <w:rFonts w:ascii="Times New Roman" w:hAnsi="Times New Roman" w:cs="Times New Roman"/>
        </w:rPr>
        <w:t>, and A.2</w:t>
      </w:r>
      <w:r w:rsidR="005C349C">
        <w:rPr>
          <w:rFonts w:ascii="Times New Roman" w:hAnsi="Times New Roman" w:cs="Times New Roman"/>
        </w:rPr>
        <w:t>7</w:t>
      </w:r>
      <w:r w:rsidRPr="006E2BCA">
        <w:rPr>
          <w:rFonts w:ascii="Times New Roman" w:hAnsi="Times New Roman" w:cs="Times New Roman"/>
        </w:rPr>
        <w:t>)</w:t>
      </w:r>
      <w:r w:rsidR="002B190A">
        <w:rPr>
          <w:rFonts w:ascii="Times New Roman" w:hAnsi="Times New Roman" w:cs="Times New Roman"/>
        </w:rPr>
        <w:t>.</w:t>
      </w:r>
    </w:p>
    <w:p w:rsidR="008F2145" w:rsidRPr="006E2BCA" w:rsidP="002F3C90" w14:paraId="46374EEC" w14:textId="77777777">
      <w:pPr>
        <w:spacing w:after="0" w:line="240" w:lineRule="auto"/>
        <w:ind w:hanging="360"/>
        <w:rPr>
          <w:rFonts w:ascii="Times New Roman" w:hAnsi="Times New Roman" w:cs="Times New Roman"/>
        </w:rPr>
      </w:pPr>
    </w:p>
    <w:p w:rsidR="008F2145" w:rsidRPr="006E2BCA" w:rsidP="002F3C90" w14:paraId="52DB82B5" w14:textId="670F6576">
      <w:pPr>
        <w:spacing w:after="0" w:line="240" w:lineRule="auto"/>
        <w:ind w:firstLine="720"/>
        <w:rPr>
          <w:rFonts w:ascii="Times New Roman" w:hAnsi="Times New Roman" w:cs="Times New Roman"/>
        </w:rPr>
      </w:pPr>
      <w:r w:rsidRPr="006E2BCA">
        <w:rPr>
          <w:rFonts w:ascii="Times New Roman" w:hAnsi="Times New Roman" w:cs="Times New Roman"/>
        </w:rPr>
        <w:t xml:space="preserve">The most common and well-developed ones among them are FMEA, </w:t>
      </w:r>
      <w:r w:rsidR="00C31A64">
        <w:rPr>
          <w:rFonts w:ascii="Times New Roman" w:hAnsi="Times New Roman" w:cs="Times New Roman"/>
        </w:rPr>
        <w:t xml:space="preserve">SLFMEA, </w:t>
      </w:r>
      <w:r w:rsidRPr="006E2BCA">
        <w:rPr>
          <w:rFonts w:ascii="Times New Roman" w:hAnsi="Times New Roman" w:cs="Times New Roman"/>
        </w:rPr>
        <w:t>HAZOP, and PHA.</w:t>
      </w:r>
    </w:p>
    <w:p w:rsidR="008F2145" w:rsidP="002F3C90" w14:paraId="4A3244D3" w14:textId="67DC1D80">
      <w:pPr>
        <w:spacing w:after="0" w:line="240" w:lineRule="auto"/>
        <w:rPr>
          <w:rFonts w:ascii="Times New Roman" w:hAnsi="Times New Roman" w:cs="Times New Roman"/>
        </w:rPr>
      </w:pPr>
    </w:p>
    <w:p w:rsidR="008F2145" w:rsidRPr="004D2EC8" w:rsidP="002F3C90" w14:paraId="05874226" w14:textId="6DBA8F46">
      <w:pPr>
        <w:spacing w:after="0" w:line="240" w:lineRule="auto"/>
        <w:rPr>
          <w:rFonts w:ascii="Times New Roman" w:hAnsi="Times New Roman" w:cs="Times New Roman"/>
          <w:b/>
          <w:bCs/>
        </w:rPr>
      </w:pPr>
      <w:r w:rsidRPr="004D2EC8">
        <w:rPr>
          <w:rFonts w:ascii="Times New Roman" w:hAnsi="Times New Roman" w:cs="Times New Roman"/>
          <w:b/>
          <w:bCs/>
        </w:rPr>
        <w:t>A-1.</w:t>
      </w:r>
      <w:r w:rsidR="00ED0664">
        <w:rPr>
          <w:rFonts w:ascii="Times New Roman" w:hAnsi="Times New Roman" w:cs="Times New Roman"/>
          <w:b/>
          <w:bCs/>
        </w:rPr>
        <w:t>1</w:t>
      </w:r>
      <w:r w:rsidRPr="004D2EC8">
        <w:rPr>
          <w:rFonts w:ascii="Times New Roman" w:hAnsi="Times New Roman" w:cs="Times New Roman"/>
          <w:b/>
          <w:bCs/>
        </w:rPr>
        <w:tab/>
      </w:r>
      <w:r w:rsidRPr="004D2EC8">
        <w:rPr>
          <w:rFonts w:ascii="Times New Roman" w:hAnsi="Times New Roman" w:cs="Times New Roman"/>
          <w:b/>
          <w:u w:val="single"/>
        </w:rPr>
        <w:t>Failure Mode</w:t>
      </w:r>
      <w:r w:rsidR="005218FE">
        <w:rPr>
          <w:rFonts w:ascii="Times New Roman" w:hAnsi="Times New Roman" w:cs="Times New Roman"/>
          <w:b/>
          <w:u w:val="single"/>
        </w:rPr>
        <w:t>s</w:t>
      </w:r>
      <w:r w:rsidRPr="004D2EC8">
        <w:rPr>
          <w:rFonts w:ascii="Times New Roman" w:hAnsi="Times New Roman" w:cs="Times New Roman"/>
          <w:b/>
          <w:u w:val="single"/>
        </w:rPr>
        <w:t xml:space="preserve"> and Effect</w:t>
      </w:r>
      <w:r w:rsidR="005218FE">
        <w:rPr>
          <w:rFonts w:ascii="Times New Roman" w:hAnsi="Times New Roman" w:cs="Times New Roman"/>
          <w:b/>
          <w:u w:val="single"/>
        </w:rPr>
        <w:t>s</w:t>
      </w:r>
      <w:r w:rsidRPr="004D2EC8">
        <w:rPr>
          <w:rFonts w:ascii="Times New Roman" w:hAnsi="Times New Roman" w:cs="Times New Roman"/>
          <w:b/>
          <w:u w:val="single"/>
        </w:rPr>
        <w:t xml:space="preserve"> Analysis </w:t>
      </w:r>
    </w:p>
    <w:p w:rsidR="001C15D0" w:rsidP="002F3C90" w14:paraId="35C730B7" w14:textId="77777777">
      <w:pPr>
        <w:spacing w:after="0" w:line="240" w:lineRule="auto"/>
        <w:ind w:firstLine="720"/>
        <w:rPr>
          <w:rFonts w:ascii="Times New Roman" w:hAnsi="Times New Roman" w:cs="Times New Roman"/>
        </w:rPr>
      </w:pPr>
    </w:p>
    <w:p w:rsidR="008F2145" w:rsidRPr="006E2BCA" w:rsidP="002F3C90" w14:paraId="31016A12" w14:textId="7ED90A6C">
      <w:pPr>
        <w:spacing w:after="0" w:line="240" w:lineRule="auto"/>
        <w:ind w:firstLine="720"/>
        <w:rPr>
          <w:rFonts w:ascii="Times New Roman" w:eastAsia="ArialMT" w:hAnsi="Times New Roman" w:cs="Times New Roman"/>
        </w:rPr>
      </w:pPr>
      <w:r>
        <w:rPr>
          <w:rFonts w:ascii="Times New Roman" w:hAnsi="Times New Roman" w:cs="Times New Roman"/>
        </w:rPr>
        <w:t xml:space="preserve">The </w:t>
      </w:r>
      <w:r w:rsidRPr="006E2BCA">
        <w:rPr>
          <w:rFonts w:ascii="Times New Roman" w:hAnsi="Times New Roman" w:cs="Times New Roman"/>
        </w:rPr>
        <w:t xml:space="preserve">ASME/ANS PRA standard defines FMEA as a process for identifying failure modes of specific components and evaluating their effects on other components, systems, and </w:t>
      </w:r>
      <w:r w:rsidRPr="006E2BCA" w:rsidR="005218FE">
        <w:rPr>
          <w:rFonts w:ascii="Times New Roman" w:hAnsi="Times New Roman" w:cs="Times New Roman"/>
        </w:rPr>
        <w:t>sub</w:t>
      </w:r>
      <w:r w:rsidRPr="006E2BCA">
        <w:rPr>
          <w:rFonts w:ascii="Times New Roman" w:hAnsi="Times New Roman" w:cs="Times New Roman"/>
        </w:rPr>
        <w:t>systems</w:t>
      </w:r>
      <w:r w:rsidR="008751C0">
        <w:rPr>
          <w:rFonts w:ascii="Times New Roman" w:hAnsi="Times New Roman" w:cs="Times New Roman"/>
        </w:rPr>
        <w:t xml:space="preserve">. </w:t>
      </w:r>
      <w:r w:rsidRPr="006E2BCA">
        <w:rPr>
          <w:rFonts w:ascii="Times New Roman" w:eastAsia="ArialMT" w:hAnsi="Times New Roman" w:cs="Times New Roman"/>
        </w:rPr>
        <w:t xml:space="preserve">As discussed </w:t>
      </w:r>
      <w:r w:rsidRPr="008255A8">
        <w:rPr>
          <w:rFonts w:ascii="Times New Roman" w:eastAsia="ArialMT" w:hAnsi="Times New Roman" w:cs="Times New Roman"/>
        </w:rPr>
        <w:t>in NUREG</w:t>
      </w:r>
      <w:r w:rsidRPr="008255A8">
        <w:rPr>
          <w:rFonts w:ascii="Times New Roman" w:eastAsia="ArialMT" w:hAnsi="Times New Roman" w:cs="Times New Roman"/>
        </w:rPr>
        <w:noBreakHyphen/>
      </w:r>
      <w:r w:rsidRPr="008255A8">
        <w:rPr>
          <w:rFonts w:ascii="Times New Roman" w:eastAsia="ArialMT" w:hAnsi="Times New Roman" w:cs="Times New Roman"/>
        </w:rPr>
        <w:t>2122</w:t>
      </w:r>
      <w:r w:rsidRPr="008255A8" w:rsidR="00B76CFC">
        <w:rPr>
          <w:rFonts w:ascii="Times New Roman" w:hAnsi="Times New Roman" w:cs="Times New Roman"/>
        </w:rPr>
        <w:t xml:space="preserve">, </w:t>
      </w:r>
      <w:r w:rsidRPr="008255A8" w:rsidR="00B76CFC">
        <w:rPr>
          <w:rFonts w:ascii="Times New Roman" w:eastAsia="ArialMT" w:hAnsi="Times New Roman" w:cs="Times New Roman"/>
        </w:rPr>
        <w:t>“</w:t>
      </w:r>
      <w:r w:rsidRPr="008255A8" w:rsidR="00B76CFC">
        <w:rPr>
          <w:rFonts w:ascii="Times New Roman" w:hAnsi="Times New Roman" w:cs="Times New Roman"/>
        </w:rPr>
        <w:t>Glossary of Risk-Related Terms in Support of Risk-Informed Decision</w:t>
      </w:r>
      <w:r w:rsidRPr="008255A8" w:rsidR="00B76CFC">
        <w:rPr>
          <w:rFonts w:ascii="Times New Roman" w:hAnsi="Times New Roman" w:cs="Times New Roman"/>
        </w:rPr>
        <w:noBreakHyphen/>
        <w:t>Making,” issued 2013</w:t>
      </w:r>
      <w:r w:rsidRPr="008255A8" w:rsidR="00893F4C">
        <w:rPr>
          <w:rFonts w:ascii="Times New Roman" w:eastAsia="ArialMT" w:hAnsi="Times New Roman" w:cs="Times New Roman"/>
        </w:rPr>
        <w:t xml:space="preserve"> (Ref.</w:t>
      </w:r>
      <w:r w:rsidRPr="008255A8">
        <w:rPr>
          <w:rFonts w:ascii="Times New Roman" w:eastAsia="ArialMT" w:hAnsi="Times New Roman" w:cs="Times New Roman"/>
        </w:rPr>
        <w:t> </w:t>
      </w:r>
      <w:r w:rsidRPr="008255A8" w:rsidR="00893F4C">
        <w:rPr>
          <w:rFonts w:ascii="Times New Roman" w:eastAsia="ArialMT" w:hAnsi="Times New Roman" w:cs="Times New Roman"/>
        </w:rPr>
        <w:t>A</w:t>
      </w:r>
      <w:r w:rsidRPr="008255A8" w:rsidR="006D487E">
        <w:rPr>
          <w:rFonts w:ascii="Times New Roman" w:eastAsia="ArialMT" w:hAnsi="Times New Roman" w:cs="Times New Roman"/>
        </w:rPr>
        <w:t>.</w:t>
      </w:r>
      <w:r w:rsidR="006C3551">
        <w:rPr>
          <w:rFonts w:ascii="Times New Roman" w:eastAsia="ArialMT" w:hAnsi="Times New Roman" w:cs="Times New Roman"/>
        </w:rPr>
        <w:t>1</w:t>
      </w:r>
      <w:r w:rsidR="00F6530F">
        <w:rPr>
          <w:rFonts w:ascii="Times New Roman" w:eastAsia="ArialMT" w:hAnsi="Times New Roman" w:cs="Times New Roman"/>
        </w:rPr>
        <w:t>3</w:t>
      </w:r>
      <w:r w:rsidRPr="008255A8" w:rsidR="0095026D">
        <w:rPr>
          <w:rFonts w:ascii="Times New Roman" w:eastAsia="ArialMT" w:hAnsi="Times New Roman" w:cs="Times New Roman"/>
        </w:rPr>
        <w:t>)</w:t>
      </w:r>
      <w:r w:rsidRPr="008255A8">
        <w:rPr>
          <w:rFonts w:ascii="Times New Roman" w:eastAsia="ArialMT" w:hAnsi="Times New Roman" w:cs="Times New Roman"/>
        </w:rPr>
        <w:t>,</w:t>
      </w:r>
      <w:r w:rsidRPr="006E2BCA">
        <w:rPr>
          <w:rFonts w:ascii="Times New Roman" w:eastAsia="ArialMT" w:hAnsi="Times New Roman" w:cs="Times New Roman"/>
        </w:rPr>
        <w:t xml:space="preserve"> FMEA is generally used to identify IEs for a new plant design with no operational history or failure data</w:t>
      </w:r>
      <w:r w:rsidR="008751C0">
        <w:rPr>
          <w:rFonts w:ascii="Times New Roman" w:eastAsia="ArialMT" w:hAnsi="Times New Roman" w:cs="Times New Roman"/>
        </w:rPr>
        <w:t xml:space="preserve">. </w:t>
      </w:r>
      <w:r w:rsidRPr="006E2BCA">
        <w:rPr>
          <w:rFonts w:ascii="Times New Roman" w:eastAsia="ArialMT" w:hAnsi="Times New Roman" w:cs="Times New Roman"/>
        </w:rPr>
        <w:t>FMEA is aimed at analyzing the effects of a single component or function failure on other components, systems, and subsystems</w:t>
      </w:r>
      <w:r w:rsidR="008751C0">
        <w:rPr>
          <w:rFonts w:ascii="Times New Roman" w:eastAsia="ArialMT" w:hAnsi="Times New Roman" w:cs="Times New Roman"/>
        </w:rPr>
        <w:t xml:space="preserve">. </w:t>
      </w:r>
      <w:r w:rsidRPr="006E2BCA">
        <w:rPr>
          <w:rFonts w:ascii="Times New Roman" w:eastAsia="ArialMT" w:hAnsi="Times New Roman" w:cs="Times New Roman"/>
        </w:rPr>
        <w:t xml:space="preserve">FMEA can be useful in identifying </w:t>
      </w:r>
      <w:r w:rsidR="00475263">
        <w:rPr>
          <w:rFonts w:ascii="Times New Roman" w:eastAsia="ArialMT" w:hAnsi="Times New Roman" w:cs="Times New Roman"/>
        </w:rPr>
        <w:t>IEs</w:t>
      </w:r>
      <w:r w:rsidRPr="006E2BCA">
        <w:rPr>
          <w:rFonts w:ascii="Times New Roman" w:eastAsia="ArialMT" w:hAnsi="Times New Roman" w:cs="Times New Roman"/>
        </w:rPr>
        <w:t xml:space="preserve"> that involve support system failures and the expected effects on the plant, especially on mitigating systems.</w:t>
      </w:r>
    </w:p>
    <w:p w:rsidR="001C15D0" w:rsidRPr="001C15D0" w:rsidP="002F3C90" w14:paraId="1030A59A" w14:textId="77777777">
      <w:pPr>
        <w:spacing w:after="0" w:line="240" w:lineRule="auto"/>
        <w:ind w:firstLine="720"/>
        <w:rPr>
          <w:rFonts w:ascii="Times New Roman" w:eastAsia="ArialMT" w:hAnsi="Times New Roman" w:cs="Times New Roman"/>
        </w:rPr>
      </w:pPr>
    </w:p>
    <w:p w:rsidR="008F2145" w:rsidRPr="001C15D0" w:rsidP="002F3C90" w14:paraId="1E4F0C35" w14:textId="01ADE285">
      <w:pPr>
        <w:spacing w:after="0" w:line="240" w:lineRule="auto"/>
        <w:ind w:firstLine="720"/>
        <w:rPr>
          <w:rFonts w:ascii="Times New Roman" w:eastAsia="ArialMT" w:hAnsi="Times New Roman" w:cs="Times New Roman"/>
        </w:rPr>
      </w:pPr>
      <w:r w:rsidRPr="006C3551">
        <w:rPr>
          <w:rFonts w:ascii="Times New Roman" w:eastAsia="ArialMT" w:hAnsi="Times New Roman" w:cs="Times New Roman"/>
        </w:rPr>
        <w:t>NUREG/CR</w:t>
      </w:r>
      <w:r w:rsidRPr="006C3551" w:rsidR="001E1666">
        <w:rPr>
          <w:rFonts w:ascii="Times New Roman" w:eastAsia="ArialMT" w:hAnsi="Times New Roman" w:cs="Times New Roman"/>
        </w:rPr>
        <w:noBreakHyphen/>
      </w:r>
      <w:r w:rsidRPr="006C3551">
        <w:rPr>
          <w:rFonts w:ascii="Times New Roman" w:eastAsia="ArialMT" w:hAnsi="Times New Roman" w:cs="Times New Roman"/>
        </w:rPr>
        <w:t>6962</w:t>
      </w:r>
      <w:r w:rsidRPr="006C3551" w:rsidR="00B76CFC">
        <w:rPr>
          <w:rFonts w:ascii="Times New Roman" w:eastAsia="ArialMT" w:hAnsi="Times New Roman" w:cs="Times New Roman"/>
        </w:rPr>
        <w:t xml:space="preserve">, </w:t>
      </w:r>
      <w:r w:rsidRPr="006C3551" w:rsidR="00B76CFC">
        <w:rPr>
          <w:rFonts w:ascii="Times New Roman" w:hAnsi="Times New Roman" w:cs="Times New Roman"/>
        </w:rPr>
        <w:t>“Traditional Probabilistic Risk Assessment Methods for Digital Systems,” issued 2008</w:t>
      </w:r>
      <w:r w:rsidRPr="006C3551" w:rsidR="00130442">
        <w:rPr>
          <w:rFonts w:ascii="Times New Roman" w:eastAsia="ArialMT" w:hAnsi="Times New Roman" w:cs="Times New Roman"/>
        </w:rPr>
        <w:t xml:space="preserve"> (Ref.</w:t>
      </w:r>
      <w:r w:rsidRPr="006C3551" w:rsidR="001E1666">
        <w:rPr>
          <w:rFonts w:ascii="Times New Roman" w:eastAsia="ArialMT" w:hAnsi="Times New Roman" w:cs="Times New Roman"/>
        </w:rPr>
        <w:t> </w:t>
      </w:r>
      <w:r w:rsidRPr="006C3551" w:rsidR="00130442">
        <w:rPr>
          <w:rFonts w:ascii="Times New Roman" w:eastAsia="ArialMT" w:hAnsi="Times New Roman" w:cs="Times New Roman"/>
        </w:rPr>
        <w:t>A</w:t>
      </w:r>
      <w:r w:rsidRPr="006C3551" w:rsidR="006D487E">
        <w:rPr>
          <w:rFonts w:ascii="Times New Roman" w:eastAsia="ArialMT" w:hAnsi="Times New Roman" w:cs="Times New Roman"/>
        </w:rPr>
        <w:t>.</w:t>
      </w:r>
      <w:r w:rsidRPr="003D4130" w:rsidR="006C3551">
        <w:rPr>
          <w:rFonts w:ascii="Times New Roman" w:eastAsia="ArialMT" w:hAnsi="Times New Roman" w:cs="Times New Roman"/>
        </w:rPr>
        <w:t>1</w:t>
      </w:r>
      <w:r w:rsidR="00F6530F">
        <w:rPr>
          <w:rFonts w:ascii="Times New Roman" w:eastAsia="ArialMT" w:hAnsi="Times New Roman" w:cs="Times New Roman"/>
        </w:rPr>
        <w:t>8</w:t>
      </w:r>
      <w:r w:rsidRPr="006C3551" w:rsidR="002E2124">
        <w:rPr>
          <w:rFonts w:ascii="Times New Roman" w:eastAsia="ArialMT" w:hAnsi="Times New Roman" w:cs="Times New Roman"/>
        </w:rPr>
        <w:t>)</w:t>
      </w:r>
      <w:r w:rsidRPr="006C3551" w:rsidR="00B76CFC">
        <w:rPr>
          <w:rFonts w:ascii="Times New Roman" w:eastAsia="ArialMT" w:hAnsi="Times New Roman" w:cs="Times New Roman"/>
        </w:rPr>
        <w:t>,</w:t>
      </w:r>
      <w:r w:rsidRPr="001C15D0">
        <w:rPr>
          <w:rFonts w:ascii="Times New Roman" w:eastAsia="ArialMT" w:hAnsi="Times New Roman" w:cs="Times New Roman"/>
        </w:rPr>
        <w:t xml:space="preserve"> describes FMEA as a well-known method used to identify the failure modes of a system and their effects or consequences upon it</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In this technique, failure modes can be categorized according to how serious their consequences are, how frequently they occur, and how easily they can be detected.</w:t>
      </w:r>
    </w:p>
    <w:p w:rsidR="001C15D0" w:rsidP="002F3C90" w14:paraId="39A78ED1" w14:textId="77777777">
      <w:pPr>
        <w:spacing w:after="0" w:line="240" w:lineRule="auto"/>
        <w:ind w:firstLine="720"/>
        <w:rPr>
          <w:rFonts w:ascii="Times New Roman" w:eastAsia="ArialMT" w:hAnsi="Times New Roman" w:cs="Times New Roman"/>
        </w:rPr>
      </w:pPr>
    </w:p>
    <w:p w:rsidR="008F2145" w:rsidP="002F3C90" w14:paraId="599414A9" w14:textId="19D7D20F">
      <w:pPr>
        <w:spacing w:after="0" w:line="240" w:lineRule="auto"/>
        <w:ind w:firstLine="720"/>
        <w:rPr>
          <w:rFonts w:ascii="Times New Roman" w:eastAsia="ArialMT" w:hAnsi="Times New Roman" w:cs="Times New Roman"/>
        </w:rPr>
      </w:pPr>
      <w:r w:rsidRPr="001C15D0">
        <w:rPr>
          <w:rFonts w:ascii="Times New Roman" w:eastAsia="ArialMT" w:hAnsi="Times New Roman" w:cs="Times New Roman"/>
        </w:rPr>
        <w:t>EPRI Report 3002000509</w:t>
      </w:r>
      <w:r w:rsidR="00275454">
        <w:rPr>
          <w:rFonts w:ascii="Times New Roman" w:eastAsia="ArialMT" w:hAnsi="Times New Roman" w:cs="Times New Roman"/>
        </w:rPr>
        <w:t xml:space="preserve"> </w:t>
      </w:r>
      <w:r w:rsidR="00E07FE2">
        <w:rPr>
          <w:rFonts w:ascii="Times New Roman" w:eastAsia="ArialMT" w:hAnsi="Times New Roman" w:cs="Times New Roman"/>
        </w:rPr>
        <w:t>(Ref. A.</w:t>
      </w:r>
      <w:r w:rsidR="0052034A">
        <w:rPr>
          <w:rFonts w:ascii="Times New Roman" w:eastAsia="ArialMT" w:hAnsi="Times New Roman" w:cs="Times New Roman"/>
        </w:rPr>
        <w:t>2</w:t>
      </w:r>
      <w:r w:rsidR="00D46C25">
        <w:rPr>
          <w:rFonts w:ascii="Times New Roman" w:eastAsia="ArialMT" w:hAnsi="Times New Roman" w:cs="Times New Roman"/>
        </w:rPr>
        <w:t>7</w:t>
      </w:r>
      <w:r w:rsidR="0052034A">
        <w:rPr>
          <w:rFonts w:ascii="Times New Roman" w:eastAsia="ArialMT" w:hAnsi="Times New Roman" w:cs="Times New Roman"/>
        </w:rPr>
        <w:t>),</w:t>
      </w:r>
      <w:r w:rsidRPr="001C15D0">
        <w:rPr>
          <w:rFonts w:ascii="Times New Roman" w:eastAsia="ArialMT" w:hAnsi="Times New Roman" w:cs="Times New Roman"/>
        </w:rPr>
        <w:t xml:space="preserve"> states that FMEA is a step-by-step approach for identifying possible failures in a design, process, or product</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“Failure modes” means the ways, or modes, in which something might fail to meet a specified functional or performance characteristic</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 xml:space="preserve">“Effects </w:t>
      </w:r>
      <w:r w:rsidRPr="001C15D0">
        <w:rPr>
          <w:rFonts w:ascii="Times New Roman" w:eastAsia="ArialMT" w:hAnsi="Times New Roman" w:cs="Times New Roman"/>
        </w:rPr>
        <w:t>analysis” refers to studying the consequences of those failures</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 xml:space="preserve">The EPRI report also identifies some </w:t>
      </w:r>
      <w:r w:rsidRPr="001C15D0" w:rsidR="000F156B">
        <w:rPr>
          <w:rFonts w:ascii="Times New Roman" w:eastAsia="ArialMT" w:hAnsi="Times New Roman" w:cs="Times New Roman"/>
        </w:rPr>
        <w:t>FMEA</w:t>
      </w:r>
      <w:r w:rsidR="000F156B">
        <w:rPr>
          <w:rFonts w:ascii="Times New Roman" w:eastAsia="ArialMT" w:hAnsi="Times New Roman" w:cs="Times New Roman"/>
        </w:rPr>
        <w:t xml:space="preserve"> </w:t>
      </w:r>
      <w:r w:rsidRPr="001C15D0">
        <w:rPr>
          <w:rFonts w:ascii="Times New Roman" w:eastAsia="ArialMT" w:hAnsi="Times New Roman" w:cs="Times New Roman"/>
        </w:rPr>
        <w:t>limitations</w:t>
      </w:r>
      <w:r w:rsidR="000F156B">
        <w:rPr>
          <w:rFonts w:ascii="Times New Roman" w:eastAsia="ArialMT" w:hAnsi="Times New Roman" w:cs="Times New Roman"/>
        </w:rPr>
        <w:t>,</w:t>
      </w:r>
      <w:r w:rsidRPr="001C15D0">
        <w:rPr>
          <w:rFonts w:ascii="Times New Roman" w:eastAsia="ArialMT" w:hAnsi="Times New Roman" w:cs="Times New Roman"/>
        </w:rPr>
        <w:t xml:space="preserve"> as follows:</w:t>
      </w:r>
    </w:p>
    <w:p w:rsidR="005E175C" w:rsidRPr="001C15D0" w:rsidP="002F3C90" w14:paraId="00FC7EFF" w14:textId="77777777">
      <w:pPr>
        <w:spacing w:after="0" w:line="240" w:lineRule="auto"/>
        <w:ind w:left="720"/>
        <w:rPr>
          <w:rFonts w:ascii="Times New Roman" w:eastAsia="ArialMT" w:hAnsi="Times New Roman" w:cs="Times New Roman"/>
        </w:rPr>
      </w:pPr>
    </w:p>
    <w:p w:rsidR="008F2145" w:rsidP="002F3C90" w14:paraId="20E97535" w14:textId="5F82D4D5">
      <w:pPr>
        <w:pStyle w:val="ListParagraph"/>
        <w:widowControl w:val="0"/>
        <w:numPr>
          <w:ilvl w:val="0"/>
          <w:numId w:val="48"/>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Common</w:t>
      </w:r>
      <w:r w:rsidR="001E1666">
        <w:rPr>
          <w:rFonts w:ascii="Times New Roman" w:hAnsi="Times New Roman" w:cs="Times New Roman"/>
        </w:rPr>
        <w:t>-</w:t>
      </w:r>
      <w:r w:rsidRPr="006E2BCA">
        <w:rPr>
          <w:rFonts w:ascii="Times New Roman" w:hAnsi="Times New Roman" w:cs="Times New Roman"/>
        </w:rPr>
        <w:t>cause failures</w:t>
      </w:r>
      <w:r w:rsidR="001E1666">
        <w:rPr>
          <w:rFonts w:ascii="Times New Roman" w:hAnsi="Times New Roman" w:cs="Times New Roman"/>
        </w:rPr>
        <w:t>—</w:t>
      </w:r>
      <w:r w:rsidRPr="006E2BCA">
        <w:rPr>
          <w:rFonts w:ascii="Times New Roman" w:hAnsi="Times New Roman" w:cs="Times New Roman"/>
        </w:rPr>
        <w:t>It is difficult to postulate and consider the effects of potential common</w:t>
      </w:r>
      <w:r w:rsidR="00E96B34">
        <w:rPr>
          <w:rFonts w:ascii="Times New Roman" w:hAnsi="Times New Roman" w:cs="Times New Roman"/>
        </w:rPr>
        <w:noBreakHyphen/>
      </w:r>
      <w:r w:rsidRPr="006E2BCA">
        <w:rPr>
          <w:rFonts w:ascii="Times New Roman" w:hAnsi="Times New Roman" w:cs="Times New Roman"/>
        </w:rPr>
        <w:t>cause failures</w:t>
      </w:r>
      <w:r w:rsidR="008751C0">
        <w:rPr>
          <w:rFonts w:ascii="Times New Roman" w:hAnsi="Times New Roman" w:cs="Times New Roman"/>
        </w:rPr>
        <w:t xml:space="preserve">. </w:t>
      </w:r>
      <w:r w:rsidRPr="006E2BCA">
        <w:rPr>
          <w:rFonts w:ascii="Times New Roman" w:hAnsi="Times New Roman" w:cs="Times New Roman"/>
        </w:rPr>
        <w:t>The focus on single failures also limits consideration of adverse interactions between systems or components, including human interactions.</w:t>
      </w:r>
    </w:p>
    <w:p w:rsidR="00C20761" w:rsidRPr="006E2BCA" w:rsidP="002F3C90" w14:paraId="01363D97"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3742359E" w14:textId="1DABF104">
      <w:pPr>
        <w:pStyle w:val="ListParagraph"/>
        <w:widowControl w:val="0"/>
        <w:numPr>
          <w:ilvl w:val="0"/>
          <w:numId w:val="48"/>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Software hazards</w:t>
      </w:r>
      <w:r w:rsidR="001E1666">
        <w:rPr>
          <w:rFonts w:ascii="Times New Roman" w:hAnsi="Times New Roman" w:cs="Times New Roman"/>
        </w:rPr>
        <w:t>—</w:t>
      </w:r>
      <w:r w:rsidRPr="006E2BCA">
        <w:rPr>
          <w:rFonts w:ascii="Times New Roman" w:hAnsi="Times New Roman" w:cs="Times New Roman"/>
        </w:rPr>
        <w:t>The FMEA method typically considers hardware failures only, where it can be applied effectively</w:t>
      </w:r>
      <w:r w:rsidR="008751C0">
        <w:rPr>
          <w:rFonts w:ascii="Times New Roman" w:hAnsi="Times New Roman" w:cs="Times New Roman"/>
        </w:rPr>
        <w:t xml:space="preserve">. </w:t>
      </w:r>
      <w:r w:rsidRPr="006E2BCA">
        <w:rPr>
          <w:rFonts w:ascii="Times New Roman" w:hAnsi="Times New Roman" w:cs="Times New Roman"/>
        </w:rPr>
        <w:t xml:space="preserve">However, to date, methods for identifying software failures and determining their effects still </w:t>
      </w:r>
      <w:r w:rsidR="00356EAC">
        <w:rPr>
          <w:rFonts w:ascii="Times New Roman" w:hAnsi="Times New Roman" w:cs="Times New Roman"/>
        </w:rPr>
        <w:t>require</w:t>
      </w:r>
      <w:r w:rsidRPr="006E2BCA">
        <w:rPr>
          <w:rFonts w:ascii="Times New Roman" w:hAnsi="Times New Roman" w:cs="Times New Roman"/>
        </w:rPr>
        <w:t xml:space="preserve"> </w:t>
      </w:r>
      <w:r w:rsidR="000D3BAB">
        <w:rPr>
          <w:rFonts w:ascii="Times New Roman" w:hAnsi="Times New Roman" w:cs="Times New Roman"/>
        </w:rPr>
        <w:t xml:space="preserve">further </w:t>
      </w:r>
      <w:r w:rsidRPr="006E2BCA">
        <w:rPr>
          <w:rFonts w:ascii="Times New Roman" w:hAnsi="Times New Roman" w:cs="Times New Roman"/>
        </w:rPr>
        <w:t xml:space="preserve">research, especially since there </w:t>
      </w:r>
      <w:r w:rsidRPr="006E2BCA">
        <w:rPr>
          <w:rFonts w:ascii="Times New Roman" w:hAnsi="Times New Roman" w:cs="Times New Roman"/>
        </w:rPr>
        <w:t>is</w:t>
      </w:r>
      <w:r w:rsidRPr="006E2BCA">
        <w:rPr>
          <w:rFonts w:ascii="Times New Roman" w:hAnsi="Times New Roman" w:cs="Times New Roman"/>
        </w:rPr>
        <w:t xml:space="preserve"> no clear industry and regulatory consensus on the meaning of “software failure.”</w:t>
      </w:r>
    </w:p>
    <w:p w:rsidR="00C20761" w:rsidRPr="006E2BCA" w:rsidP="002F3C90" w14:paraId="5307EF9E"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020FAD31" w14:textId="2A9D7671">
      <w:pPr>
        <w:pStyle w:val="ListParagraph"/>
        <w:widowControl w:val="0"/>
        <w:numPr>
          <w:ilvl w:val="0"/>
          <w:numId w:val="48"/>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Dependent on analysis boundary</w:t>
      </w:r>
      <w:r w:rsidR="00E75A50">
        <w:rPr>
          <w:rFonts w:ascii="Times New Roman" w:hAnsi="Times New Roman" w:cs="Times New Roman"/>
        </w:rPr>
        <w:t>—</w:t>
      </w:r>
      <w:r w:rsidRPr="006E2BCA">
        <w:rPr>
          <w:rFonts w:ascii="Times New Roman" w:hAnsi="Times New Roman" w:cs="Times New Roman"/>
        </w:rPr>
        <w:t>The FMEA method is useful for analyzing failure modes and effects between components of interest and between interfacing systems and components</w:t>
      </w:r>
      <w:r w:rsidR="008751C0">
        <w:rPr>
          <w:rFonts w:ascii="Times New Roman" w:hAnsi="Times New Roman" w:cs="Times New Roman"/>
        </w:rPr>
        <w:t xml:space="preserve">. </w:t>
      </w:r>
      <w:r w:rsidRPr="006E2BCA">
        <w:rPr>
          <w:rFonts w:ascii="Times New Roman" w:hAnsi="Times New Roman" w:cs="Times New Roman"/>
        </w:rPr>
        <w:t xml:space="preserve">However, it may not assess the effects of all interfaces if the boundary is not drawn correctly or if the block diagram does not account for all interfaces that </w:t>
      </w:r>
      <w:r w:rsidRPr="006E2BCA">
        <w:rPr>
          <w:rFonts w:ascii="Times New Roman" w:hAnsi="Times New Roman" w:cs="Times New Roman"/>
        </w:rPr>
        <w:t>actually cross</w:t>
      </w:r>
      <w:r w:rsidRPr="006E2BCA">
        <w:rPr>
          <w:rFonts w:ascii="Times New Roman" w:hAnsi="Times New Roman" w:cs="Times New Roman"/>
        </w:rPr>
        <w:t xml:space="preserve"> the boundary in the implemented system.</w:t>
      </w:r>
    </w:p>
    <w:p w:rsidR="00C20761" w:rsidRPr="006E2BCA" w:rsidP="002F3C90" w14:paraId="19F182AA"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2E73EC85" w14:textId="495C546D">
      <w:pPr>
        <w:pStyle w:val="ListParagraph"/>
        <w:widowControl w:val="0"/>
        <w:numPr>
          <w:ilvl w:val="0"/>
          <w:numId w:val="48"/>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Coverage of other hazards</w:t>
      </w:r>
      <w:r w:rsidR="00E75A50">
        <w:rPr>
          <w:rFonts w:ascii="Times New Roman" w:hAnsi="Times New Roman" w:cs="Times New Roman"/>
        </w:rPr>
        <w:t>—</w:t>
      </w:r>
      <w:r w:rsidRPr="006E2BCA">
        <w:rPr>
          <w:rFonts w:ascii="Times New Roman" w:hAnsi="Times New Roman" w:cs="Times New Roman"/>
        </w:rPr>
        <w:t xml:space="preserve">Because </w:t>
      </w:r>
      <w:r w:rsidR="00E75A50">
        <w:rPr>
          <w:rFonts w:ascii="Times New Roman" w:hAnsi="Times New Roman" w:cs="Times New Roman"/>
        </w:rPr>
        <w:t xml:space="preserve">the </w:t>
      </w:r>
      <w:r w:rsidRPr="006E2BCA">
        <w:rPr>
          <w:rFonts w:ascii="Times New Roman" w:hAnsi="Times New Roman" w:cs="Times New Roman"/>
        </w:rPr>
        <w:t xml:space="preserve">FMEA method is a bottom-up method that is focused on single failures of equipment, it does not systematically identify a wider range of hazards that can lead to accidents or losses, such as requirements errors, human errors, or adverse interactions between components that </w:t>
      </w:r>
      <w:r w:rsidRPr="006E2BCA" w:rsidR="009A1810">
        <w:rPr>
          <w:rFonts w:ascii="Times New Roman" w:hAnsi="Times New Roman" w:cs="Times New Roman"/>
        </w:rPr>
        <w:t>have not</w:t>
      </w:r>
      <w:r w:rsidRPr="006E2BCA">
        <w:rPr>
          <w:rFonts w:ascii="Times New Roman" w:hAnsi="Times New Roman" w:cs="Times New Roman"/>
        </w:rPr>
        <w:t xml:space="preserve"> failed.</w:t>
      </w:r>
    </w:p>
    <w:p w:rsidR="00C20761" w:rsidRPr="006E2BCA" w:rsidP="002F3C90" w14:paraId="71AA2DDB" w14:textId="77777777">
      <w:pPr>
        <w:pStyle w:val="ListParagraph"/>
        <w:widowControl w:val="0"/>
        <w:autoSpaceDE w:val="0"/>
        <w:autoSpaceDN w:val="0"/>
        <w:spacing w:after="0" w:line="240" w:lineRule="auto"/>
        <w:contextualSpacing w:val="0"/>
        <w:rPr>
          <w:rFonts w:ascii="Times New Roman" w:hAnsi="Times New Roman" w:cs="Times New Roman"/>
        </w:rPr>
      </w:pPr>
    </w:p>
    <w:p w:rsidR="00275F76" w:rsidP="00596DF6" w14:paraId="5C1D490A" w14:textId="77777777">
      <w:pPr>
        <w:spacing w:after="0" w:line="240" w:lineRule="auto"/>
        <w:rPr>
          <w:rFonts w:ascii="Times New Roman" w:hAnsi="Times New Roman" w:cs="Times New Roman"/>
          <w:b/>
          <w:bCs/>
          <w:u w:val="single"/>
        </w:rPr>
      </w:pPr>
      <w:r w:rsidRPr="004D2EC8">
        <w:rPr>
          <w:rFonts w:ascii="Times New Roman" w:hAnsi="Times New Roman" w:cs="Times New Roman"/>
          <w:b/>
          <w:bCs/>
        </w:rPr>
        <w:t>A-1.</w:t>
      </w:r>
      <w:r w:rsidR="00367E9A">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b/>
          <w:bCs/>
        </w:rPr>
        <w:tab/>
      </w:r>
      <w:r w:rsidRPr="006B7431">
        <w:rPr>
          <w:rFonts w:ascii="Times New Roman" w:hAnsi="Times New Roman" w:cs="Times New Roman"/>
          <w:b/>
          <w:bCs/>
          <w:u w:val="single"/>
        </w:rPr>
        <w:t>System-Level Failure Modes and Effects Analysis (SLFMEA)</w:t>
      </w:r>
    </w:p>
    <w:p w:rsidR="00596DF6" w:rsidP="00006164" w14:paraId="3C84540F" w14:textId="77777777">
      <w:pPr>
        <w:spacing w:after="0" w:line="240" w:lineRule="auto"/>
        <w:rPr>
          <w:rFonts w:ascii="Times New Roman" w:hAnsi="Times New Roman" w:cs="Times New Roman"/>
          <w:b/>
          <w:bCs/>
        </w:rPr>
      </w:pPr>
    </w:p>
    <w:p w:rsidR="00423E0F" w:rsidP="002F3C90" w14:paraId="1D188DFB" w14:textId="50F978D3">
      <w:pPr>
        <w:spacing w:after="0" w:line="240" w:lineRule="auto"/>
        <w:ind w:firstLine="720"/>
        <w:rPr>
          <w:rFonts w:ascii="Times New Roman" w:hAnsi="Times New Roman" w:cs="Times New Roman"/>
        </w:rPr>
      </w:pPr>
      <w:r w:rsidRPr="006B7431">
        <w:rPr>
          <w:rFonts w:ascii="Times New Roman" w:hAnsi="Times New Roman" w:cs="Times New Roman"/>
        </w:rPr>
        <w:t xml:space="preserve">SLFMEA focuses on the effects of system, subsystem, and train failures on plant </w:t>
      </w:r>
      <w:r w:rsidRPr="006B7431">
        <w:rPr>
          <w:rFonts w:ascii="Times New Roman" w:hAnsi="Times New Roman" w:cs="Times New Roman"/>
        </w:rPr>
        <w:t>operation</w:t>
      </w:r>
      <w:r w:rsidRPr="006B7431">
        <w:rPr>
          <w:rFonts w:ascii="Times New Roman" w:hAnsi="Times New Roman" w:cs="Times New Roman"/>
        </w:rPr>
        <w:t xml:space="preserve"> and shows the impacts on equipment needed to control the plant after a trip. The FMEA looks at the impact of each component failure mode on system performance. In a well-engineered </w:t>
      </w:r>
      <w:r w:rsidRPr="006B7431">
        <w:rPr>
          <w:rFonts w:ascii="Times New Roman" w:hAnsi="Times New Roman" w:cs="Times New Roman"/>
        </w:rPr>
        <w:t>designs</w:t>
      </w:r>
      <w:r w:rsidRPr="006B7431">
        <w:rPr>
          <w:rFonts w:ascii="Times New Roman" w:hAnsi="Times New Roman" w:cs="Times New Roman"/>
        </w:rPr>
        <w:t xml:space="preserve"> that </w:t>
      </w:r>
      <w:r w:rsidRPr="006B7431">
        <w:rPr>
          <w:rFonts w:ascii="Times New Roman" w:hAnsi="Times New Roman" w:cs="Times New Roman"/>
        </w:rPr>
        <w:t>have</w:t>
      </w:r>
      <w:r w:rsidRPr="006B7431">
        <w:rPr>
          <w:rFonts w:ascii="Times New Roman" w:hAnsi="Times New Roman" w:cs="Times New Roman"/>
        </w:rPr>
        <w:t xml:space="preserve"> at least a single-failure criterion, those single component failure modes have no negative impact on any safety or support system. Therefore, the SLFMEA is performed to identify system, sub-system, or train failures that can initiate an accident or challenge functions important to risk.</w:t>
      </w:r>
    </w:p>
    <w:p w:rsidR="002775D3" w:rsidRPr="00D15BFC" w:rsidP="002F3C90" w14:paraId="70F77A18" w14:textId="77777777">
      <w:pPr>
        <w:spacing w:after="0" w:line="240" w:lineRule="auto"/>
        <w:ind w:left="720"/>
        <w:rPr>
          <w:rFonts w:ascii="Times New Roman" w:hAnsi="Times New Roman" w:cs="Times New Roman"/>
        </w:rPr>
      </w:pPr>
    </w:p>
    <w:p w:rsidR="008F2145" w:rsidP="00596DF6" w14:paraId="30457B3E" w14:textId="11A3C92A">
      <w:pPr>
        <w:spacing w:after="0" w:line="240" w:lineRule="auto"/>
        <w:rPr>
          <w:rFonts w:ascii="Times New Roman" w:hAnsi="Times New Roman" w:cs="Times New Roman"/>
          <w:b/>
          <w:u w:val="single"/>
        </w:rPr>
      </w:pPr>
      <w:r w:rsidRPr="004D2EC8">
        <w:rPr>
          <w:rFonts w:ascii="Times New Roman" w:hAnsi="Times New Roman" w:cs="Times New Roman"/>
          <w:b/>
          <w:bCs/>
        </w:rPr>
        <w:t>A-1.</w:t>
      </w:r>
      <w:r w:rsidR="00423E0F">
        <w:rPr>
          <w:rFonts w:ascii="Times New Roman" w:hAnsi="Times New Roman" w:cs="Times New Roman"/>
          <w:b/>
          <w:bCs/>
        </w:rPr>
        <w:t>3</w:t>
      </w:r>
      <w:r w:rsidRPr="00C96DF8">
        <w:rPr>
          <w:rFonts w:ascii="Times New Roman" w:hAnsi="Times New Roman" w:cs="Times New Roman"/>
          <w:b/>
        </w:rPr>
        <w:tab/>
      </w:r>
      <w:r w:rsidRPr="004D2EC8">
        <w:rPr>
          <w:rFonts w:ascii="Times New Roman" w:hAnsi="Times New Roman" w:cs="Times New Roman"/>
          <w:b/>
          <w:u w:val="single"/>
        </w:rPr>
        <w:t>Hazard and Operability Analysis</w:t>
      </w:r>
    </w:p>
    <w:p w:rsidR="00596DF6" w:rsidRPr="004D2EC8" w:rsidP="00006164" w14:paraId="2C29B741" w14:textId="77777777">
      <w:pPr>
        <w:spacing w:after="0" w:line="240" w:lineRule="auto"/>
        <w:rPr>
          <w:rFonts w:ascii="Times New Roman" w:hAnsi="Times New Roman" w:cs="Times New Roman"/>
          <w:b/>
          <w:bCs/>
        </w:rPr>
      </w:pPr>
    </w:p>
    <w:p w:rsidR="008F2145" w:rsidRPr="006E2BCA" w:rsidP="002F3C90" w14:paraId="7495CA98" w14:textId="55A05FCA">
      <w:pPr>
        <w:spacing w:after="0" w:line="240" w:lineRule="auto"/>
        <w:ind w:firstLine="720"/>
        <w:rPr>
          <w:rFonts w:ascii="Times New Roman" w:hAnsi="Times New Roman" w:cs="Times New Roman"/>
        </w:rPr>
      </w:pPr>
      <w:r w:rsidRPr="006E2BCA">
        <w:rPr>
          <w:rFonts w:ascii="Times New Roman" w:hAnsi="Times New Roman" w:cs="Times New Roman"/>
        </w:rPr>
        <w:t>NUREG</w:t>
      </w:r>
      <w:r w:rsidR="00E75A50">
        <w:rPr>
          <w:rFonts w:ascii="Times New Roman" w:hAnsi="Times New Roman" w:cs="Times New Roman"/>
        </w:rPr>
        <w:noBreakHyphen/>
      </w:r>
      <w:r w:rsidRPr="006E2BCA">
        <w:rPr>
          <w:rFonts w:ascii="Times New Roman" w:hAnsi="Times New Roman" w:cs="Times New Roman"/>
        </w:rPr>
        <w:t>1513</w:t>
      </w:r>
      <w:r w:rsidR="00337E98">
        <w:rPr>
          <w:rFonts w:ascii="Times New Roman" w:hAnsi="Times New Roman" w:cs="Times New Roman"/>
        </w:rPr>
        <w:t xml:space="preserve"> (Ref. A.9),</w:t>
      </w:r>
      <w:r w:rsidR="00C24FEC">
        <w:rPr>
          <w:rFonts w:ascii="Times New Roman" w:hAnsi="Times New Roman" w:cs="Times New Roman"/>
        </w:rPr>
        <w:t xml:space="preserve"> </w:t>
      </w:r>
      <w:r w:rsidRPr="006E2BCA">
        <w:rPr>
          <w:rFonts w:ascii="Times New Roman" w:hAnsi="Times New Roman" w:cs="Times New Roman"/>
        </w:rPr>
        <w:t>states that the HAZOP method provides a detailed framework for studying each process, line by line, in an exhaustive manner</w:t>
      </w:r>
      <w:r w:rsidR="008751C0">
        <w:rPr>
          <w:rFonts w:ascii="Times New Roman" w:hAnsi="Times New Roman" w:cs="Times New Roman"/>
        </w:rPr>
        <w:t xml:space="preserve">. </w:t>
      </w:r>
      <w:r w:rsidRPr="006E2BCA">
        <w:rPr>
          <w:rFonts w:ascii="Times New Roman" w:hAnsi="Times New Roman" w:cs="Times New Roman"/>
        </w:rPr>
        <w:t xml:space="preserve">Each process variable (such as flow, temperature, pressure), a description of deviations </w:t>
      </w:r>
      <w:r w:rsidRPr="001C15D0">
        <w:rPr>
          <w:rFonts w:ascii="Times New Roman" w:eastAsia="ArialMT" w:hAnsi="Times New Roman" w:cs="Times New Roman"/>
        </w:rPr>
        <w:t>from</w:t>
      </w:r>
      <w:r w:rsidRPr="006E2BCA">
        <w:rPr>
          <w:rFonts w:ascii="Times New Roman" w:hAnsi="Times New Roman" w:cs="Times New Roman"/>
        </w:rPr>
        <w:t xml:space="preserve"> normal values, potential consequences of these deviations, and existing controls, are recorded.</w:t>
      </w:r>
    </w:p>
    <w:p w:rsidR="00F0133E" w:rsidRPr="006E2BCA" w:rsidP="002F3C90" w14:paraId="2FACCEB7" w14:textId="77777777">
      <w:pPr>
        <w:spacing w:after="0" w:line="240" w:lineRule="auto"/>
        <w:ind w:firstLine="720"/>
        <w:rPr>
          <w:rFonts w:ascii="Times New Roman" w:hAnsi="Times New Roman" w:cs="Times New Roman"/>
        </w:rPr>
      </w:pPr>
    </w:p>
    <w:p w:rsidR="008F2145" w:rsidRPr="006E2BCA" w:rsidP="002F3C90" w14:paraId="318A1797" w14:textId="24A5190E">
      <w:pPr>
        <w:spacing w:after="0" w:line="240" w:lineRule="auto"/>
        <w:ind w:firstLine="720"/>
        <w:rPr>
          <w:rFonts w:ascii="Times New Roman" w:hAnsi="Times New Roman" w:cs="Times New Roman"/>
        </w:rPr>
      </w:pPr>
      <w:r w:rsidRPr="006E2BCA">
        <w:rPr>
          <w:rFonts w:ascii="Times New Roman" w:hAnsi="Times New Roman" w:cs="Times New Roman"/>
        </w:rPr>
        <w:t xml:space="preserve">EPRI Report </w:t>
      </w:r>
      <w:r w:rsidRPr="006E2BCA">
        <w:rPr>
          <w:rFonts w:ascii="Times New Roman" w:hAnsi="Times New Roman" w:cs="Times New Roman"/>
        </w:rPr>
        <w:t>3002000509</w:t>
      </w:r>
      <w:r w:rsidR="00337E98">
        <w:rPr>
          <w:rFonts w:ascii="Times New Roman" w:hAnsi="Times New Roman" w:cs="Times New Roman"/>
        </w:rPr>
        <w:t xml:space="preserve"> </w:t>
      </w:r>
      <w:r w:rsidR="00D43809">
        <w:rPr>
          <w:rFonts w:ascii="Times New Roman" w:hAnsi="Times New Roman" w:cs="Times New Roman"/>
        </w:rPr>
        <w:t xml:space="preserve"> (</w:t>
      </w:r>
      <w:r w:rsidR="00D43809">
        <w:rPr>
          <w:rFonts w:ascii="Times New Roman" w:hAnsi="Times New Roman" w:cs="Times New Roman"/>
        </w:rPr>
        <w:t>Ref. A.2</w:t>
      </w:r>
      <w:r w:rsidR="00D46C25">
        <w:rPr>
          <w:rFonts w:ascii="Times New Roman" w:hAnsi="Times New Roman" w:cs="Times New Roman"/>
        </w:rPr>
        <w:t>7</w:t>
      </w:r>
      <w:r w:rsidR="00D43809">
        <w:rPr>
          <w:rFonts w:ascii="Times New Roman" w:hAnsi="Times New Roman" w:cs="Times New Roman"/>
        </w:rPr>
        <w:t>),</w:t>
      </w:r>
      <w:r w:rsidRPr="006E2BCA">
        <w:rPr>
          <w:rFonts w:ascii="Times New Roman" w:hAnsi="Times New Roman" w:cs="Times New Roman"/>
        </w:rPr>
        <w:t xml:space="preserve"> describes the HAZOP method as a systematic review of a process, using “guide words” to visualize the ways in which a system can malfunction</w:t>
      </w:r>
      <w:r w:rsidR="008751C0">
        <w:rPr>
          <w:rFonts w:ascii="Times New Roman" w:hAnsi="Times New Roman" w:cs="Times New Roman"/>
        </w:rPr>
        <w:t xml:space="preserve">. </w:t>
      </w:r>
      <w:r w:rsidRPr="006E2BCA">
        <w:rPr>
          <w:rFonts w:ascii="Times New Roman" w:hAnsi="Times New Roman" w:cs="Times New Roman"/>
        </w:rPr>
        <w:t>The HAZOP analysis searches for possible deviations from the design intent that can occur in components, operator or maintenance technician actions, or material elements (e.g.,</w:t>
      </w:r>
      <w:r w:rsidR="00E75A50">
        <w:rPr>
          <w:rFonts w:ascii="Times New Roman" w:hAnsi="Times New Roman" w:cs="Times New Roman"/>
        </w:rPr>
        <w:t> </w:t>
      </w:r>
      <w:r w:rsidRPr="006E2BCA">
        <w:rPr>
          <w:rFonts w:ascii="Times New Roman" w:hAnsi="Times New Roman" w:cs="Times New Roman"/>
        </w:rPr>
        <w:t xml:space="preserve">air, water, steam) and determines whether the consequences of such </w:t>
      </w:r>
      <w:r w:rsidRPr="001C15D0">
        <w:rPr>
          <w:rFonts w:ascii="Times New Roman" w:hAnsi="Times New Roman" w:cs="Times New Roman"/>
        </w:rPr>
        <w:t>deviations</w:t>
      </w:r>
      <w:r w:rsidRPr="006E2BCA">
        <w:rPr>
          <w:rFonts w:ascii="Times New Roman" w:hAnsi="Times New Roman" w:cs="Times New Roman"/>
        </w:rPr>
        <w:t xml:space="preserve"> can result in hazards</w:t>
      </w:r>
      <w:r w:rsidR="008751C0">
        <w:rPr>
          <w:rFonts w:ascii="Times New Roman" w:hAnsi="Times New Roman" w:cs="Times New Roman"/>
        </w:rPr>
        <w:t xml:space="preserve">. </w:t>
      </w:r>
      <w:r w:rsidRPr="006E2BCA">
        <w:rPr>
          <w:rFonts w:ascii="Times New Roman" w:hAnsi="Times New Roman" w:cs="Times New Roman"/>
        </w:rPr>
        <w:t>The EPRI report quoted fro</w:t>
      </w:r>
      <w:r w:rsidRPr="00D279BB">
        <w:rPr>
          <w:rFonts w:ascii="Times New Roman" w:hAnsi="Times New Roman" w:cs="Times New Roman"/>
        </w:rPr>
        <w:t>m IEC Document 61882-2001</w:t>
      </w:r>
      <w:r w:rsidRPr="00D279BB" w:rsidR="0028143C">
        <w:rPr>
          <w:rFonts w:ascii="Times New Roman" w:hAnsi="Times New Roman" w:cs="Times New Roman"/>
        </w:rPr>
        <w:t xml:space="preserve">, </w:t>
      </w:r>
      <w:r w:rsidRPr="00D279BB" w:rsidR="00A933AC">
        <w:rPr>
          <w:rFonts w:ascii="Times New Roman" w:hAnsi="Times New Roman" w:cs="Times New Roman"/>
        </w:rPr>
        <w:t>“</w:t>
      </w:r>
      <w:r w:rsidRPr="00D279BB" w:rsidR="0028143C">
        <w:rPr>
          <w:rFonts w:ascii="Times New Roman" w:hAnsi="Times New Roman" w:cs="Times New Roman"/>
        </w:rPr>
        <w:t>Hazard and Operability Studies (HAZOP Studies)—Application Guide”</w:t>
      </w:r>
      <w:r w:rsidRPr="00D279BB" w:rsidR="00913DBB">
        <w:rPr>
          <w:rFonts w:ascii="Times New Roman" w:hAnsi="Times New Roman" w:cs="Times New Roman"/>
        </w:rPr>
        <w:t xml:space="preserve"> (Ref.</w:t>
      </w:r>
      <w:r w:rsidRPr="00D279BB" w:rsidR="00A933AC">
        <w:rPr>
          <w:rFonts w:ascii="Times New Roman" w:hAnsi="Times New Roman" w:cs="Times New Roman"/>
        </w:rPr>
        <w:t> </w:t>
      </w:r>
      <w:r w:rsidRPr="00D279BB" w:rsidR="00913DBB">
        <w:rPr>
          <w:rFonts w:ascii="Times New Roman" w:hAnsi="Times New Roman" w:cs="Times New Roman"/>
        </w:rPr>
        <w:t>A</w:t>
      </w:r>
      <w:r w:rsidRPr="00D279BB" w:rsidR="000E2A5A">
        <w:rPr>
          <w:rFonts w:ascii="Times New Roman" w:hAnsi="Times New Roman" w:cs="Times New Roman"/>
        </w:rPr>
        <w:t>.</w:t>
      </w:r>
      <w:r w:rsidRPr="00D279BB" w:rsidR="00D279BB">
        <w:rPr>
          <w:rFonts w:ascii="Times New Roman" w:hAnsi="Times New Roman" w:cs="Times New Roman"/>
        </w:rPr>
        <w:t>2</w:t>
      </w:r>
      <w:r w:rsidRPr="003D4130" w:rsidR="00D279BB">
        <w:rPr>
          <w:rFonts w:ascii="Times New Roman" w:hAnsi="Times New Roman" w:cs="Times New Roman"/>
        </w:rPr>
        <w:t>9</w:t>
      </w:r>
      <w:r w:rsidRPr="00D279BB" w:rsidR="00B51933">
        <w:rPr>
          <w:rFonts w:ascii="Times New Roman" w:hAnsi="Times New Roman" w:cs="Times New Roman"/>
        </w:rPr>
        <w:t>)</w:t>
      </w:r>
      <w:r w:rsidRPr="00D279BB" w:rsidR="0028143C">
        <w:rPr>
          <w:rFonts w:ascii="Times New Roman" w:hAnsi="Times New Roman" w:cs="Times New Roman"/>
        </w:rPr>
        <w:t>,</w:t>
      </w:r>
      <w:r w:rsidR="0028143C">
        <w:rPr>
          <w:rFonts w:ascii="Times New Roman" w:hAnsi="Times New Roman" w:cs="Times New Roman"/>
        </w:rPr>
        <w:t xml:space="preserve"> which</w:t>
      </w:r>
      <w:r w:rsidRPr="006E2BCA">
        <w:rPr>
          <w:rFonts w:ascii="Times New Roman" w:hAnsi="Times New Roman" w:cs="Times New Roman"/>
        </w:rPr>
        <w:t xml:space="preserve"> </w:t>
      </w:r>
      <w:r w:rsidR="0028416A">
        <w:rPr>
          <w:rFonts w:ascii="Times New Roman" w:hAnsi="Times New Roman" w:cs="Times New Roman"/>
        </w:rPr>
        <w:t>states</w:t>
      </w:r>
      <w:r w:rsidRPr="006E2BCA">
        <w:rPr>
          <w:rFonts w:ascii="Times New Roman" w:hAnsi="Times New Roman" w:cs="Times New Roman"/>
        </w:rPr>
        <w:t xml:space="preserve"> that HAZOP is a structured and systematic technique for examining a defined system, with the objective of (1)</w:t>
      </w:r>
      <w:r w:rsidR="00E75A50">
        <w:rPr>
          <w:rFonts w:ascii="Times New Roman" w:hAnsi="Times New Roman" w:cs="Times New Roman"/>
        </w:rPr>
        <w:t> </w:t>
      </w:r>
      <w:r w:rsidRPr="006E2BCA">
        <w:rPr>
          <w:rFonts w:ascii="Times New Roman" w:hAnsi="Times New Roman" w:cs="Times New Roman"/>
        </w:rPr>
        <w:t>identifying potential hazards in the system and (2)</w:t>
      </w:r>
      <w:r w:rsidR="00E75A50">
        <w:rPr>
          <w:rFonts w:ascii="Times New Roman" w:hAnsi="Times New Roman" w:cs="Times New Roman"/>
        </w:rPr>
        <w:t> </w:t>
      </w:r>
      <w:r w:rsidRPr="006E2BCA">
        <w:rPr>
          <w:rFonts w:ascii="Times New Roman" w:hAnsi="Times New Roman" w:cs="Times New Roman"/>
        </w:rPr>
        <w:t>identifying potential operability problems with the system and</w:t>
      </w:r>
      <w:r w:rsidR="00E75A50">
        <w:rPr>
          <w:rFonts w:ascii="Times New Roman" w:hAnsi="Times New Roman" w:cs="Times New Roman"/>
        </w:rPr>
        <w:t>,</w:t>
      </w:r>
      <w:r w:rsidRPr="006E2BCA">
        <w:rPr>
          <w:rFonts w:ascii="Times New Roman" w:hAnsi="Times New Roman" w:cs="Times New Roman"/>
        </w:rPr>
        <w:t xml:space="preserve"> in particular</w:t>
      </w:r>
      <w:r w:rsidR="00E75A50">
        <w:rPr>
          <w:rFonts w:ascii="Times New Roman" w:hAnsi="Times New Roman" w:cs="Times New Roman"/>
        </w:rPr>
        <w:t>,</w:t>
      </w:r>
      <w:r w:rsidRPr="006E2BCA">
        <w:rPr>
          <w:rFonts w:ascii="Times New Roman" w:hAnsi="Times New Roman" w:cs="Times New Roman"/>
        </w:rPr>
        <w:t xml:space="preserve"> identifying causes of operational disturbances and production deviations.</w:t>
      </w:r>
    </w:p>
    <w:p w:rsidR="001C15D0" w:rsidP="002F3C90" w14:paraId="3BEC4CF6" w14:textId="77777777">
      <w:pPr>
        <w:spacing w:after="0" w:line="240" w:lineRule="auto"/>
        <w:ind w:firstLine="720"/>
        <w:rPr>
          <w:rFonts w:ascii="Times New Roman" w:hAnsi="Times New Roman" w:cs="Times New Roman"/>
        </w:rPr>
      </w:pPr>
    </w:p>
    <w:p w:rsidR="008F2145" w:rsidP="002F3C90" w14:paraId="19B7C4C3" w14:textId="6A151A6B">
      <w:pPr>
        <w:spacing w:after="0" w:line="240" w:lineRule="auto"/>
        <w:ind w:firstLine="720"/>
        <w:rPr>
          <w:rFonts w:ascii="Times New Roman" w:hAnsi="Times New Roman" w:cs="Times New Roman"/>
        </w:rPr>
      </w:pPr>
      <w:r w:rsidRPr="006E2BCA">
        <w:rPr>
          <w:rFonts w:ascii="Times New Roman" w:hAnsi="Times New Roman" w:cs="Times New Roman"/>
        </w:rPr>
        <w:t>A characteristic feature of a HAZOP study is the “examination session</w:t>
      </w:r>
      <w:r w:rsidR="00561C38">
        <w:rPr>
          <w:rFonts w:ascii="Times New Roman" w:hAnsi="Times New Roman" w:cs="Times New Roman"/>
        </w:rPr>
        <w:t>,</w:t>
      </w:r>
      <w:r w:rsidRPr="006E2BCA">
        <w:rPr>
          <w:rFonts w:ascii="Times New Roman" w:hAnsi="Times New Roman" w:cs="Times New Roman"/>
        </w:rPr>
        <w:t>” during which a multi</w:t>
      </w:r>
      <w:r w:rsidR="00CE4AA8">
        <w:rPr>
          <w:rFonts w:ascii="Times New Roman" w:hAnsi="Times New Roman" w:cs="Times New Roman"/>
        </w:rPr>
        <w:t>disciplinary</w:t>
      </w:r>
      <w:r w:rsidRPr="006E2BCA">
        <w:rPr>
          <w:rFonts w:ascii="Times New Roman" w:hAnsi="Times New Roman" w:cs="Times New Roman"/>
        </w:rPr>
        <w:t xml:space="preserve"> team under the guidance of a study leader systematically examines all relevant parts of a design or system</w:t>
      </w:r>
      <w:r w:rsidR="008751C0">
        <w:rPr>
          <w:rFonts w:ascii="Times New Roman" w:hAnsi="Times New Roman" w:cs="Times New Roman"/>
        </w:rPr>
        <w:t xml:space="preserve">. </w:t>
      </w:r>
      <w:r w:rsidRPr="006E2BCA">
        <w:rPr>
          <w:rFonts w:ascii="Times New Roman" w:hAnsi="Times New Roman" w:cs="Times New Roman"/>
        </w:rPr>
        <w:t xml:space="preserve">It identifies deviations from the system design intent </w:t>
      </w:r>
      <w:r w:rsidRPr="006E2BCA" w:rsidR="00E75A50">
        <w:rPr>
          <w:rFonts w:ascii="Times New Roman" w:hAnsi="Times New Roman" w:cs="Times New Roman"/>
        </w:rPr>
        <w:t>u</w:t>
      </w:r>
      <w:r w:rsidR="00E75A50">
        <w:rPr>
          <w:rFonts w:ascii="Times New Roman" w:hAnsi="Times New Roman" w:cs="Times New Roman"/>
        </w:rPr>
        <w:t>s</w:t>
      </w:r>
      <w:r w:rsidRPr="006E2BCA" w:rsidR="00E75A50">
        <w:rPr>
          <w:rFonts w:ascii="Times New Roman" w:hAnsi="Times New Roman" w:cs="Times New Roman"/>
        </w:rPr>
        <w:t xml:space="preserve">ing </w:t>
      </w:r>
      <w:r w:rsidRPr="006E2BCA">
        <w:rPr>
          <w:rFonts w:ascii="Times New Roman" w:hAnsi="Times New Roman" w:cs="Times New Roman"/>
        </w:rPr>
        <w:t>a core set of guide words</w:t>
      </w:r>
      <w:r w:rsidR="008751C0">
        <w:rPr>
          <w:rFonts w:ascii="Times New Roman" w:hAnsi="Times New Roman" w:cs="Times New Roman"/>
        </w:rPr>
        <w:t xml:space="preserve">. </w:t>
      </w:r>
      <w:r w:rsidRPr="006E2BCA">
        <w:rPr>
          <w:rFonts w:ascii="Times New Roman" w:hAnsi="Times New Roman" w:cs="Times New Roman"/>
        </w:rPr>
        <w:t>The technique aims to stimulate the imagination of participants in a systematic way to identify hazards and operability problems</w:t>
      </w:r>
      <w:r w:rsidR="008751C0">
        <w:rPr>
          <w:rFonts w:ascii="Times New Roman" w:hAnsi="Times New Roman" w:cs="Times New Roman"/>
        </w:rPr>
        <w:t xml:space="preserve">. </w:t>
      </w:r>
      <w:r w:rsidRPr="006E2BCA">
        <w:rPr>
          <w:rFonts w:ascii="Times New Roman" w:hAnsi="Times New Roman" w:cs="Times New Roman"/>
        </w:rPr>
        <w:t>The EPRI report also quoted from IEC</w:t>
      </w:r>
      <w:r w:rsidR="00E75A50">
        <w:rPr>
          <w:rFonts w:ascii="Times New Roman" w:hAnsi="Times New Roman" w:cs="Times New Roman"/>
        </w:rPr>
        <w:t> </w:t>
      </w:r>
      <w:r w:rsidRPr="006E2BCA">
        <w:rPr>
          <w:rFonts w:ascii="Times New Roman" w:hAnsi="Times New Roman" w:cs="Times New Roman"/>
        </w:rPr>
        <w:t>61882</w:t>
      </w:r>
      <w:r w:rsidR="00E75A50">
        <w:rPr>
          <w:rFonts w:ascii="Times New Roman" w:hAnsi="Times New Roman" w:cs="Times New Roman"/>
        </w:rPr>
        <w:noBreakHyphen/>
      </w:r>
      <w:r w:rsidRPr="006E2BCA">
        <w:rPr>
          <w:rFonts w:ascii="Times New Roman" w:hAnsi="Times New Roman" w:cs="Times New Roman"/>
        </w:rPr>
        <w:t xml:space="preserve">2001 on the limitations of </w:t>
      </w:r>
      <w:r w:rsidR="00561C38">
        <w:rPr>
          <w:rFonts w:ascii="Times New Roman" w:hAnsi="Times New Roman" w:cs="Times New Roman"/>
        </w:rPr>
        <w:t xml:space="preserve">the </w:t>
      </w:r>
      <w:r w:rsidRPr="006E2BCA">
        <w:rPr>
          <w:rFonts w:ascii="Times New Roman" w:hAnsi="Times New Roman" w:cs="Times New Roman"/>
        </w:rPr>
        <w:t>HAZOP method</w:t>
      </w:r>
      <w:r w:rsidR="00A32C16">
        <w:rPr>
          <w:rFonts w:ascii="Times New Roman" w:hAnsi="Times New Roman" w:cs="Times New Roman"/>
        </w:rPr>
        <w:t>,</w:t>
      </w:r>
      <w:r w:rsidRPr="006E2BCA">
        <w:rPr>
          <w:rFonts w:ascii="Times New Roman" w:hAnsi="Times New Roman" w:cs="Times New Roman"/>
        </w:rPr>
        <w:t xml:space="preserve"> as follows:</w:t>
      </w:r>
    </w:p>
    <w:p w:rsidR="001C15D0" w:rsidRPr="006E2BCA" w:rsidP="002F3C90" w14:paraId="27FDDB61" w14:textId="77777777">
      <w:pPr>
        <w:spacing w:after="0" w:line="240" w:lineRule="auto"/>
        <w:ind w:firstLine="720"/>
        <w:rPr>
          <w:rFonts w:ascii="Times New Roman" w:hAnsi="Times New Roman" w:cs="Times New Roman"/>
        </w:rPr>
      </w:pPr>
    </w:p>
    <w:p w:rsidR="008F2145" w:rsidP="002F3C90" w14:paraId="3A043C90" w14:textId="48A160F3">
      <w:pPr>
        <w:pStyle w:val="ListParagraph"/>
        <w:widowControl w:val="0"/>
        <w:numPr>
          <w:ilvl w:val="0"/>
          <w:numId w:val="49"/>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Interactions between systems or parts of a system</w:t>
      </w:r>
      <w:r w:rsidR="00E75A50">
        <w:rPr>
          <w:rFonts w:ascii="Times New Roman" w:hAnsi="Times New Roman" w:cs="Times New Roman"/>
        </w:rPr>
        <w:t>—</w:t>
      </w:r>
      <w:r w:rsidRPr="006E2BCA">
        <w:rPr>
          <w:rFonts w:ascii="Times New Roman" w:hAnsi="Times New Roman" w:cs="Times New Roman"/>
        </w:rPr>
        <w:t xml:space="preserve">HAZOP is a hazard identification technique </w:t>
      </w:r>
      <w:r w:rsidR="00E75A50">
        <w:rPr>
          <w:rFonts w:ascii="Times New Roman" w:hAnsi="Times New Roman" w:cs="Times New Roman"/>
        </w:rPr>
        <w:t>that</w:t>
      </w:r>
      <w:r w:rsidRPr="006E2BCA" w:rsidR="00E75A50">
        <w:rPr>
          <w:rFonts w:ascii="Times New Roman" w:hAnsi="Times New Roman" w:cs="Times New Roman"/>
        </w:rPr>
        <w:t xml:space="preserve"> </w:t>
      </w:r>
      <w:r w:rsidRPr="006E2BCA">
        <w:rPr>
          <w:rFonts w:ascii="Times New Roman" w:hAnsi="Times New Roman" w:cs="Times New Roman"/>
        </w:rPr>
        <w:t>considers system parts individually and methodically examines the effects of deviations on each part</w:t>
      </w:r>
      <w:r w:rsidR="008751C0">
        <w:rPr>
          <w:rFonts w:ascii="Times New Roman" w:hAnsi="Times New Roman" w:cs="Times New Roman"/>
        </w:rPr>
        <w:t xml:space="preserve">. </w:t>
      </w:r>
      <w:r w:rsidRPr="006E2BCA">
        <w:rPr>
          <w:rFonts w:ascii="Times New Roman" w:hAnsi="Times New Roman" w:cs="Times New Roman"/>
        </w:rPr>
        <w:t xml:space="preserve">The hazard may need to be studied in more detail using techniques such as event tree and fault tree analyses if it involves the interaction </w:t>
      </w:r>
      <w:r w:rsidR="00A32C16">
        <w:rPr>
          <w:rFonts w:ascii="Times New Roman" w:hAnsi="Times New Roman" w:cs="Times New Roman"/>
        </w:rPr>
        <w:t>among</w:t>
      </w:r>
      <w:r w:rsidRPr="006E2BCA" w:rsidR="00A32C16">
        <w:rPr>
          <w:rFonts w:ascii="Times New Roman" w:hAnsi="Times New Roman" w:cs="Times New Roman"/>
        </w:rPr>
        <w:t xml:space="preserve"> </w:t>
      </w:r>
      <w:r w:rsidRPr="006E2BCA">
        <w:rPr>
          <w:rFonts w:ascii="Times New Roman" w:hAnsi="Times New Roman" w:cs="Times New Roman"/>
        </w:rPr>
        <w:t>a number of</w:t>
      </w:r>
      <w:r w:rsidRPr="006E2BCA">
        <w:rPr>
          <w:rFonts w:ascii="Times New Roman" w:hAnsi="Times New Roman" w:cs="Times New Roman"/>
        </w:rPr>
        <w:t xml:space="preserve"> parts of the system.</w:t>
      </w:r>
    </w:p>
    <w:p w:rsidR="00C20761" w:rsidRPr="006E2BCA" w:rsidP="002F3C90" w14:paraId="3FAA8396"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4F944457" w14:textId="7211173A">
      <w:pPr>
        <w:pStyle w:val="ListParagraph"/>
        <w:widowControl w:val="0"/>
        <w:numPr>
          <w:ilvl w:val="0"/>
          <w:numId w:val="49"/>
        </w:numPr>
        <w:autoSpaceDE w:val="0"/>
        <w:autoSpaceDN w:val="0"/>
        <w:spacing w:after="0" w:line="240" w:lineRule="auto"/>
        <w:ind w:left="720"/>
        <w:contextualSpacing w:val="0"/>
        <w:rPr>
          <w:rFonts w:ascii="Times New Roman" w:hAnsi="Times New Roman" w:cs="Times New Roman"/>
        </w:rPr>
      </w:pPr>
      <w:r w:rsidRPr="36C6C2EA">
        <w:rPr>
          <w:rFonts w:ascii="Times New Roman" w:hAnsi="Times New Roman" w:cs="Times New Roman"/>
        </w:rPr>
        <w:t xml:space="preserve">Trained </w:t>
      </w:r>
      <w:r w:rsidR="002B190A">
        <w:rPr>
          <w:rFonts w:ascii="Times New Roman" w:hAnsi="Times New Roman" w:cs="Times New Roman"/>
        </w:rPr>
        <w:t>f</w:t>
      </w:r>
      <w:r w:rsidRPr="36C6C2EA">
        <w:rPr>
          <w:rFonts w:ascii="Times New Roman" w:hAnsi="Times New Roman" w:cs="Times New Roman"/>
        </w:rPr>
        <w:t>acilitator</w:t>
      </w:r>
      <w:r w:rsidR="00E75A50">
        <w:rPr>
          <w:rFonts w:ascii="Times New Roman" w:hAnsi="Times New Roman" w:cs="Times New Roman"/>
        </w:rPr>
        <w:t>—</w:t>
      </w:r>
      <w:r w:rsidRPr="36C6C2EA">
        <w:rPr>
          <w:rFonts w:ascii="Times New Roman" w:hAnsi="Times New Roman" w:cs="Times New Roman"/>
        </w:rPr>
        <w:t>It is difficult to navigate the HAZOP process without a facilitator</w:t>
      </w:r>
      <w:r w:rsidR="008751C0">
        <w:rPr>
          <w:rFonts w:ascii="Times New Roman" w:hAnsi="Times New Roman" w:cs="Times New Roman"/>
        </w:rPr>
        <w:t xml:space="preserve">. </w:t>
      </w:r>
      <w:r w:rsidRPr="36C6C2EA">
        <w:rPr>
          <w:rFonts w:ascii="Times New Roman" w:hAnsi="Times New Roman" w:cs="Times New Roman"/>
        </w:rPr>
        <w:t>A trained facilitator helped the team recognize the error traps created by their own mindsets.</w:t>
      </w:r>
    </w:p>
    <w:p w:rsidR="00C20761" w:rsidRPr="006E2BCA" w:rsidP="00596DF6" w14:paraId="545B4F08" w14:textId="77777777">
      <w:pPr>
        <w:pStyle w:val="ListParagraph"/>
        <w:widowControl w:val="0"/>
        <w:autoSpaceDE w:val="0"/>
        <w:autoSpaceDN w:val="0"/>
        <w:spacing w:after="0" w:line="240" w:lineRule="auto"/>
        <w:contextualSpacing w:val="0"/>
        <w:rPr>
          <w:rFonts w:ascii="Times New Roman" w:hAnsi="Times New Roman" w:cs="Times New Roman"/>
        </w:rPr>
      </w:pPr>
    </w:p>
    <w:p w:rsidR="00596DF6" w:rsidP="00596DF6" w14:paraId="709467E4" w14:textId="29420E78">
      <w:pPr>
        <w:spacing w:after="0" w:line="240" w:lineRule="auto"/>
        <w:rPr>
          <w:rFonts w:ascii="Times New Roman" w:hAnsi="Times New Roman" w:cs="Times New Roman"/>
          <w:b/>
          <w:u w:val="single"/>
        </w:rPr>
      </w:pPr>
      <w:r w:rsidRPr="004D2EC8">
        <w:rPr>
          <w:rFonts w:ascii="Times New Roman" w:hAnsi="Times New Roman" w:cs="Times New Roman"/>
          <w:b/>
          <w:bCs/>
        </w:rPr>
        <w:t>A</w:t>
      </w:r>
      <w:r w:rsidR="00B845D6">
        <w:rPr>
          <w:rFonts w:ascii="Times New Roman" w:hAnsi="Times New Roman" w:cs="Times New Roman"/>
          <w:b/>
          <w:bCs/>
        </w:rPr>
        <w:t>-</w:t>
      </w:r>
      <w:r w:rsidRPr="004D2EC8">
        <w:rPr>
          <w:rFonts w:ascii="Times New Roman" w:hAnsi="Times New Roman" w:cs="Times New Roman"/>
          <w:b/>
          <w:bCs/>
        </w:rPr>
        <w:t>1.</w:t>
      </w:r>
      <w:r w:rsidR="008B567D">
        <w:rPr>
          <w:rFonts w:ascii="Times New Roman" w:hAnsi="Times New Roman" w:cs="Times New Roman"/>
          <w:b/>
          <w:bCs/>
        </w:rPr>
        <w:t>4</w:t>
      </w:r>
      <w:r w:rsidR="00367E9A">
        <w:rPr>
          <w:rFonts w:ascii="Times New Roman" w:hAnsi="Times New Roman" w:cs="Times New Roman"/>
          <w:b/>
          <w:bCs/>
        </w:rPr>
        <w:tab/>
      </w:r>
      <w:r w:rsidRPr="004D2EC8" w:rsidR="008F2145">
        <w:rPr>
          <w:rFonts w:ascii="Times New Roman" w:hAnsi="Times New Roman" w:cs="Times New Roman"/>
          <w:b/>
          <w:u w:val="single"/>
        </w:rPr>
        <w:t>Preliminary Hazards Analysis</w:t>
      </w:r>
    </w:p>
    <w:p w:rsidR="00596DF6" w:rsidRPr="004D2EC8" w:rsidP="00006164" w14:paraId="0107C1FC" w14:textId="77777777">
      <w:pPr>
        <w:spacing w:after="0" w:line="240" w:lineRule="auto"/>
        <w:rPr>
          <w:rFonts w:ascii="Times New Roman" w:hAnsi="Times New Roman" w:cs="Times New Roman"/>
          <w:b/>
          <w:u w:val="single"/>
        </w:rPr>
      </w:pPr>
    </w:p>
    <w:p w:rsidR="008F2145" w:rsidRPr="006E2BCA" w:rsidP="002F3C90" w14:paraId="7BA6419F" w14:textId="72FF960D">
      <w:pPr>
        <w:spacing w:after="0" w:line="240" w:lineRule="auto"/>
        <w:ind w:firstLine="720"/>
        <w:rPr>
          <w:rFonts w:ascii="Times New Roman" w:hAnsi="Times New Roman" w:cs="Times New Roman"/>
        </w:rPr>
      </w:pPr>
      <w:r w:rsidRPr="00A94BDA">
        <w:rPr>
          <w:rFonts w:ascii="Times New Roman" w:hAnsi="Times New Roman" w:cs="Times New Roman"/>
        </w:rPr>
        <w:t>NUREG</w:t>
      </w:r>
      <w:r w:rsidRPr="00A94BDA" w:rsidR="00E75A50">
        <w:rPr>
          <w:rFonts w:ascii="Times New Roman" w:hAnsi="Times New Roman" w:cs="Times New Roman"/>
        </w:rPr>
        <w:noBreakHyphen/>
      </w:r>
      <w:r w:rsidRPr="00A94BDA">
        <w:rPr>
          <w:rFonts w:ascii="Times New Roman" w:hAnsi="Times New Roman" w:cs="Times New Roman"/>
        </w:rPr>
        <w:t>0492</w:t>
      </w:r>
      <w:r w:rsidR="0013251F">
        <w:rPr>
          <w:rFonts w:ascii="Times New Roman" w:hAnsi="Times New Roman" w:cs="Times New Roman"/>
        </w:rPr>
        <w:t xml:space="preserve"> (Ref. A.7),</w:t>
      </w:r>
      <w:r w:rsidR="006C4383">
        <w:rPr>
          <w:rFonts w:ascii="Times New Roman" w:hAnsi="Times New Roman" w:cs="Times New Roman"/>
        </w:rPr>
        <w:t xml:space="preserve"> </w:t>
      </w:r>
      <w:r w:rsidRPr="006E2BCA">
        <w:rPr>
          <w:rFonts w:ascii="Times New Roman" w:hAnsi="Times New Roman" w:cs="Times New Roman"/>
        </w:rPr>
        <w:t>describes PHA as a method for assessing the potential hazards posed by the system</w:t>
      </w:r>
      <w:r w:rsidR="008751C0">
        <w:rPr>
          <w:rFonts w:ascii="Times New Roman" w:hAnsi="Times New Roman" w:cs="Times New Roman"/>
        </w:rPr>
        <w:t xml:space="preserve">. </w:t>
      </w:r>
      <w:r w:rsidRPr="006E2BCA">
        <w:rPr>
          <w:rFonts w:ascii="Times New Roman" w:hAnsi="Times New Roman" w:cs="Times New Roman"/>
        </w:rPr>
        <w:t>The objectives of a PHA are to identify the potential</w:t>
      </w:r>
      <w:r w:rsidR="00546BB9">
        <w:rPr>
          <w:rFonts w:ascii="Times New Roman" w:hAnsi="Times New Roman" w:cs="Times New Roman"/>
        </w:rPr>
        <w:t>ly</w:t>
      </w:r>
      <w:r w:rsidRPr="006E2BCA">
        <w:rPr>
          <w:rFonts w:ascii="Times New Roman" w:hAnsi="Times New Roman" w:cs="Times New Roman"/>
        </w:rPr>
        <w:t xml:space="preserve"> hazardous conditions inherent within the system and to determine the significance or criticality of potential accidents that might arise</w:t>
      </w:r>
      <w:r w:rsidR="008751C0">
        <w:rPr>
          <w:rFonts w:ascii="Times New Roman" w:hAnsi="Times New Roman" w:cs="Times New Roman"/>
        </w:rPr>
        <w:t xml:space="preserve">. </w:t>
      </w:r>
      <w:r w:rsidRPr="006E2BCA">
        <w:rPr>
          <w:rFonts w:ascii="Times New Roman" w:hAnsi="Times New Roman" w:cs="Times New Roman"/>
        </w:rPr>
        <w:t>A PHA study should be conducted as early in the development stage as possible</w:t>
      </w:r>
      <w:r w:rsidR="008751C0">
        <w:rPr>
          <w:rFonts w:ascii="Times New Roman" w:hAnsi="Times New Roman" w:cs="Times New Roman"/>
        </w:rPr>
        <w:t xml:space="preserve">. </w:t>
      </w:r>
      <w:r w:rsidRPr="006E2BCA">
        <w:rPr>
          <w:rFonts w:ascii="Times New Roman" w:hAnsi="Times New Roman" w:cs="Times New Roman"/>
        </w:rPr>
        <w:t>This will permit the early development of design and procedural safety requirements for controlling these hazardous conditions.</w:t>
      </w:r>
    </w:p>
    <w:p w:rsidR="001C15D0" w:rsidP="002F3C90" w14:paraId="63E63CCF" w14:textId="77777777">
      <w:pPr>
        <w:spacing w:after="0" w:line="240" w:lineRule="auto"/>
        <w:ind w:firstLine="720"/>
        <w:rPr>
          <w:rFonts w:ascii="Times New Roman" w:hAnsi="Times New Roman" w:cs="Times New Roman"/>
        </w:rPr>
      </w:pPr>
    </w:p>
    <w:p w:rsidR="008F2145" w:rsidRPr="006E2BCA" w:rsidP="002F3C90" w14:paraId="343071F0" w14:textId="48E3BD69">
      <w:pPr>
        <w:spacing w:after="0" w:line="240" w:lineRule="auto"/>
        <w:ind w:firstLine="720"/>
        <w:rPr>
          <w:rFonts w:ascii="Times New Roman" w:hAnsi="Times New Roman" w:cs="Times New Roman"/>
        </w:rPr>
      </w:pPr>
      <w:r w:rsidRPr="006E2BCA">
        <w:rPr>
          <w:rFonts w:ascii="Times New Roman" w:hAnsi="Times New Roman" w:cs="Times New Roman"/>
        </w:rPr>
        <w:t>The first step in a PHA is to identify potentially hazardous elements or components within the system</w:t>
      </w:r>
      <w:r w:rsidR="008751C0">
        <w:rPr>
          <w:rFonts w:ascii="Times New Roman" w:hAnsi="Times New Roman" w:cs="Times New Roman"/>
        </w:rPr>
        <w:t xml:space="preserve">. </w:t>
      </w:r>
      <w:r w:rsidRPr="006E2BCA">
        <w:rPr>
          <w:rFonts w:ascii="Times New Roman" w:hAnsi="Times New Roman" w:cs="Times New Roman"/>
        </w:rPr>
        <w:t>This process is facilitated by engineering experience, the exercise of engineering judgment, and the use of numerous checklists that have been developed from time to time</w:t>
      </w:r>
      <w:r w:rsidR="008751C0">
        <w:rPr>
          <w:rFonts w:ascii="Times New Roman" w:hAnsi="Times New Roman" w:cs="Times New Roman"/>
        </w:rPr>
        <w:t xml:space="preserve">. </w:t>
      </w:r>
      <w:r w:rsidRPr="006E2BCA">
        <w:rPr>
          <w:rFonts w:ascii="Times New Roman" w:hAnsi="Times New Roman" w:cs="Times New Roman"/>
        </w:rPr>
        <w:t>The second step in a PHA is the identification of those events that could possibly transform specific hazardous conditions into potential accidents</w:t>
      </w:r>
      <w:r w:rsidR="008751C0">
        <w:rPr>
          <w:rFonts w:ascii="Times New Roman" w:hAnsi="Times New Roman" w:cs="Times New Roman"/>
        </w:rPr>
        <w:t xml:space="preserve">. </w:t>
      </w:r>
      <w:r w:rsidRPr="006E2BCA">
        <w:rPr>
          <w:rFonts w:ascii="Times New Roman" w:hAnsi="Times New Roman" w:cs="Times New Roman"/>
        </w:rPr>
        <w:t>Then the seriousness of these potential accidents is assessed to determine whether preventive measures should be taken.</w:t>
      </w:r>
    </w:p>
    <w:p w:rsidR="001C15D0" w:rsidP="002F3C90" w14:paraId="2E260DE8" w14:textId="77777777">
      <w:pPr>
        <w:spacing w:after="0" w:line="240" w:lineRule="auto"/>
        <w:ind w:firstLine="720"/>
        <w:rPr>
          <w:rFonts w:ascii="Times New Roman" w:hAnsi="Times New Roman" w:cs="Times New Roman"/>
        </w:rPr>
      </w:pPr>
    </w:p>
    <w:p w:rsidR="008F2145" w:rsidRPr="006E2BCA" w:rsidP="002F3C90" w14:paraId="418FE3B9" w14:textId="09A53782">
      <w:pPr>
        <w:spacing w:after="0" w:line="240" w:lineRule="auto"/>
        <w:ind w:firstLine="720"/>
        <w:rPr>
          <w:rFonts w:ascii="Times New Roman" w:hAnsi="Times New Roman" w:cs="Times New Roman"/>
        </w:rPr>
      </w:pPr>
      <w:r w:rsidRPr="00FF44BA">
        <w:rPr>
          <w:rFonts w:ascii="Times New Roman" w:hAnsi="Times New Roman" w:cs="Times New Roman"/>
        </w:rPr>
        <w:t>EPRI Report 3002000509</w:t>
      </w:r>
      <w:r w:rsidRPr="00291B24" w:rsidR="00291B24">
        <w:rPr>
          <w:rFonts w:ascii="Times New Roman" w:hAnsi="Times New Roman" w:cs="Times New Roman"/>
        </w:rPr>
        <w:t xml:space="preserve"> (Ref. A.2</w:t>
      </w:r>
      <w:r w:rsidR="001C3897">
        <w:rPr>
          <w:rFonts w:ascii="Times New Roman" w:hAnsi="Times New Roman" w:cs="Times New Roman"/>
        </w:rPr>
        <w:t>7</w:t>
      </w:r>
      <w:r w:rsidRPr="00291B24" w:rsidR="00291B24">
        <w:rPr>
          <w:rFonts w:ascii="Times New Roman" w:hAnsi="Times New Roman" w:cs="Times New Roman"/>
        </w:rPr>
        <w:t>),</w:t>
      </w:r>
      <w:r w:rsidRPr="006E2BCA">
        <w:rPr>
          <w:rFonts w:ascii="Times New Roman" w:hAnsi="Times New Roman" w:cs="Times New Roman"/>
        </w:rPr>
        <w:t xml:space="preserve"> </w:t>
      </w:r>
      <w:r w:rsidR="00E75A50">
        <w:rPr>
          <w:rFonts w:ascii="Times New Roman" w:hAnsi="Times New Roman" w:cs="Times New Roman"/>
        </w:rPr>
        <w:t>explains</w:t>
      </w:r>
      <w:r w:rsidRPr="006E2BCA" w:rsidR="00E75A50">
        <w:rPr>
          <w:rFonts w:ascii="Times New Roman" w:hAnsi="Times New Roman" w:cs="Times New Roman"/>
        </w:rPr>
        <w:t xml:space="preserve"> </w:t>
      </w:r>
      <w:r w:rsidRPr="006E2BCA">
        <w:rPr>
          <w:rFonts w:ascii="Times New Roman" w:hAnsi="Times New Roman" w:cs="Times New Roman"/>
        </w:rPr>
        <w:t>that</w:t>
      </w:r>
      <w:r w:rsidR="00E75A50">
        <w:rPr>
          <w:rFonts w:ascii="Times New Roman" w:hAnsi="Times New Roman" w:cs="Times New Roman"/>
        </w:rPr>
        <w:t>,</w:t>
      </w:r>
      <w:r w:rsidRPr="006E2BCA">
        <w:rPr>
          <w:rFonts w:ascii="Times New Roman" w:hAnsi="Times New Roman" w:cs="Times New Roman"/>
        </w:rPr>
        <w:t xml:space="preserve"> in the preliminary or conceptual design phases of a project, preliminary hazards that could be created by or related to a proposed solution or modification should be identified</w:t>
      </w:r>
      <w:r w:rsidR="008751C0">
        <w:rPr>
          <w:rFonts w:ascii="Times New Roman" w:hAnsi="Times New Roman" w:cs="Times New Roman"/>
        </w:rPr>
        <w:t xml:space="preserve">. </w:t>
      </w:r>
      <w:r w:rsidRPr="006E2BCA">
        <w:rPr>
          <w:rFonts w:ascii="Times New Roman" w:hAnsi="Times New Roman" w:cs="Times New Roman"/>
        </w:rPr>
        <w:t>PHA involves one or more organized meetings, where the identified individuals come together and review, discuss, and identify potential hazards</w:t>
      </w:r>
      <w:r w:rsidR="008751C0">
        <w:rPr>
          <w:rFonts w:ascii="Times New Roman" w:hAnsi="Times New Roman" w:cs="Times New Roman"/>
        </w:rPr>
        <w:t>.</w:t>
      </w:r>
      <w:r w:rsidRPr="006E2BCA">
        <w:rPr>
          <w:rFonts w:ascii="Times New Roman" w:hAnsi="Times New Roman" w:cs="Times New Roman"/>
        </w:rPr>
        <w:t xml:space="preserve"> The method for performing a PHA relies on the judgment and experience of individuals knowledgeable in the design, operations, maintenance, and licensing basis of the potentially affected systems, sub</w:t>
      </w:r>
      <w:r w:rsidR="00CE4AA8">
        <w:rPr>
          <w:rFonts w:ascii="Times New Roman" w:hAnsi="Times New Roman" w:cs="Times New Roman"/>
        </w:rPr>
        <w:t>systems</w:t>
      </w:r>
      <w:r w:rsidRPr="006E2BCA">
        <w:rPr>
          <w:rFonts w:ascii="Times New Roman" w:hAnsi="Times New Roman" w:cs="Times New Roman"/>
        </w:rPr>
        <w:t xml:space="preserve">, or components. </w:t>
      </w:r>
    </w:p>
    <w:p w:rsidR="009E62A7" w:rsidRPr="006E2BCA" w:rsidP="002F3C90" w14:paraId="634BCA87" w14:textId="77777777">
      <w:pPr>
        <w:spacing w:after="0" w:line="240" w:lineRule="auto"/>
        <w:ind w:firstLine="720"/>
        <w:rPr>
          <w:rFonts w:ascii="Times New Roman" w:hAnsi="Times New Roman" w:cs="Times New Roman"/>
        </w:rPr>
      </w:pPr>
    </w:p>
    <w:p w:rsidR="008F2145" w:rsidRPr="006E2BCA" w:rsidP="002F3C90" w14:paraId="481FFA63" w14:textId="052EEA0F">
      <w:pPr>
        <w:spacing w:after="0" w:line="240" w:lineRule="auto"/>
        <w:ind w:firstLine="720"/>
        <w:rPr>
          <w:rFonts w:ascii="Times New Roman" w:hAnsi="Times New Roman" w:cs="Times New Roman"/>
        </w:rPr>
      </w:pPr>
      <w:r w:rsidRPr="006E2BCA">
        <w:rPr>
          <w:rFonts w:ascii="Times New Roman" w:hAnsi="Times New Roman" w:cs="Times New Roman"/>
        </w:rPr>
        <w:t xml:space="preserve">Limitations of </w:t>
      </w:r>
      <w:r w:rsidR="00E75A50">
        <w:rPr>
          <w:rFonts w:ascii="Times New Roman" w:hAnsi="Times New Roman" w:cs="Times New Roman"/>
        </w:rPr>
        <w:t xml:space="preserve">the </w:t>
      </w:r>
      <w:r w:rsidRPr="006E2BCA">
        <w:rPr>
          <w:rFonts w:ascii="Times New Roman" w:hAnsi="Times New Roman" w:cs="Times New Roman"/>
        </w:rPr>
        <w:t>PHA method include the hazards recognition that must be foreseen by the analysts</w:t>
      </w:r>
      <w:r w:rsidR="008751C0">
        <w:rPr>
          <w:rFonts w:ascii="Times New Roman" w:hAnsi="Times New Roman" w:cs="Times New Roman"/>
        </w:rPr>
        <w:t xml:space="preserve">. </w:t>
      </w:r>
      <w:r w:rsidRPr="006E2BCA">
        <w:rPr>
          <w:rFonts w:ascii="Times New Roman" w:hAnsi="Times New Roman" w:cs="Times New Roman"/>
        </w:rPr>
        <w:t>Another key concern is the effects of interactions between hazards that are not easily recognized.</w:t>
      </w:r>
    </w:p>
    <w:p w:rsidR="001C15D0" w:rsidP="002F3C90" w14:paraId="180E2A61" w14:textId="77777777">
      <w:pPr>
        <w:spacing w:after="0" w:line="240" w:lineRule="auto"/>
        <w:rPr>
          <w:rFonts w:ascii="Times New Roman" w:hAnsi="Times New Roman" w:cs="Times New Roman"/>
          <w:b/>
          <w:bCs/>
        </w:rPr>
      </w:pPr>
    </w:p>
    <w:p w:rsidR="008F2145" w:rsidRPr="004D2EC8" w:rsidP="002F3C90" w14:paraId="0DD57B10" w14:textId="7960D73A">
      <w:pPr>
        <w:spacing w:after="0" w:line="240" w:lineRule="auto"/>
        <w:rPr>
          <w:rFonts w:ascii="Times New Roman" w:hAnsi="Times New Roman" w:cs="Times New Roman"/>
          <w:b/>
          <w:bCs/>
          <w:sz w:val="24"/>
          <w:szCs w:val="24"/>
        </w:rPr>
      </w:pPr>
      <w:r w:rsidRPr="004D2EC8">
        <w:rPr>
          <w:rFonts w:ascii="Times New Roman" w:hAnsi="Times New Roman" w:cs="Times New Roman"/>
          <w:b/>
          <w:bCs/>
          <w:sz w:val="24"/>
          <w:szCs w:val="24"/>
        </w:rPr>
        <w:t>A.2.</w:t>
      </w:r>
      <w:r w:rsidRPr="004D2EC8">
        <w:rPr>
          <w:rFonts w:ascii="Times New Roman" w:hAnsi="Times New Roman" w:cs="Times New Roman"/>
          <w:b/>
          <w:bCs/>
          <w:sz w:val="24"/>
          <w:szCs w:val="24"/>
        </w:rPr>
        <w:tab/>
      </w:r>
      <w:r w:rsidRPr="004D2EC8">
        <w:rPr>
          <w:rFonts w:ascii="Times New Roman" w:hAnsi="Times New Roman" w:cs="Times New Roman"/>
          <w:b/>
          <w:bCs/>
          <w:sz w:val="24"/>
          <w:szCs w:val="24"/>
        </w:rPr>
        <w:t>Deductive Techniques</w:t>
      </w:r>
    </w:p>
    <w:p w:rsidR="001C15D0" w:rsidP="002F3C90" w14:paraId="17FA780C" w14:textId="77777777">
      <w:pPr>
        <w:spacing w:after="0" w:line="240" w:lineRule="auto"/>
        <w:ind w:firstLine="720"/>
        <w:rPr>
          <w:rFonts w:ascii="Times New Roman" w:hAnsi="Times New Roman" w:cs="Times New Roman"/>
        </w:rPr>
      </w:pPr>
    </w:p>
    <w:p w:rsidR="008F2145" w:rsidP="002F3C90" w14:paraId="51DED925" w14:textId="40C17B80">
      <w:pPr>
        <w:spacing w:after="0" w:line="240" w:lineRule="auto"/>
        <w:ind w:firstLine="720"/>
        <w:rPr>
          <w:rFonts w:ascii="Times New Roman" w:hAnsi="Times New Roman" w:cs="Times New Roman"/>
        </w:rPr>
      </w:pPr>
      <w:r w:rsidRPr="006E2BCA">
        <w:rPr>
          <w:rFonts w:ascii="Times New Roman" w:hAnsi="Times New Roman" w:cs="Times New Roman"/>
        </w:rPr>
        <w:t>The deductive techniques address the question of “how can it happen?” Deduction constitutes reasoning from the general to the specific</w:t>
      </w:r>
      <w:r w:rsidR="008751C0">
        <w:rPr>
          <w:rFonts w:ascii="Times New Roman" w:hAnsi="Times New Roman" w:cs="Times New Roman"/>
        </w:rPr>
        <w:t xml:space="preserve">. </w:t>
      </w:r>
      <w:r w:rsidRPr="006E2BCA">
        <w:rPr>
          <w:rFonts w:ascii="Times New Roman" w:hAnsi="Times New Roman" w:cs="Times New Roman"/>
        </w:rPr>
        <w:t xml:space="preserve">In a deductive technique, </w:t>
      </w:r>
      <w:r w:rsidR="00706E14">
        <w:rPr>
          <w:rFonts w:ascii="Times New Roman" w:hAnsi="Times New Roman" w:cs="Times New Roman"/>
        </w:rPr>
        <w:t>a</w:t>
      </w:r>
      <w:r w:rsidRPr="006E2BCA">
        <w:rPr>
          <w:rFonts w:ascii="Times New Roman" w:hAnsi="Times New Roman" w:cs="Times New Roman"/>
        </w:rPr>
        <w:t xml:space="preserve"> design or system is reviewed to identify the hazards and causes of each hazard</w:t>
      </w:r>
      <w:r w:rsidR="00E75A50">
        <w:rPr>
          <w:rFonts w:ascii="Times New Roman" w:hAnsi="Times New Roman" w:cs="Times New Roman"/>
        </w:rPr>
        <w:t>,</w:t>
      </w:r>
      <w:r w:rsidRPr="006E2BCA">
        <w:rPr>
          <w:rFonts w:ascii="Times New Roman" w:hAnsi="Times New Roman" w:cs="Times New Roman"/>
        </w:rPr>
        <w:t xml:space="preserve"> including those that </w:t>
      </w:r>
      <w:r w:rsidR="00E75A50">
        <w:rPr>
          <w:rFonts w:ascii="Times New Roman" w:hAnsi="Times New Roman" w:cs="Times New Roman"/>
        </w:rPr>
        <w:t xml:space="preserve">are </w:t>
      </w:r>
      <w:r w:rsidRPr="006E2BCA">
        <w:rPr>
          <w:rFonts w:ascii="Times New Roman" w:hAnsi="Times New Roman" w:cs="Times New Roman"/>
        </w:rPr>
        <w:t>caused by multiple failures</w:t>
      </w:r>
      <w:r w:rsidR="008751C0">
        <w:rPr>
          <w:rFonts w:ascii="Times New Roman" w:hAnsi="Times New Roman" w:cs="Times New Roman"/>
        </w:rPr>
        <w:t xml:space="preserve">. </w:t>
      </w:r>
      <w:r w:rsidRPr="006E2BCA">
        <w:rPr>
          <w:rFonts w:ascii="Times New Roman" w:hAnsi="Times New Roman" w:cs="Times New Roman"/>
        </w:rPr>
        <w:t>The approach postulates that the system itself has failed in a certain way and attempts to find out what modes of system</w:t>
      </w:r>
      <w:r w:rsidR="00E75A50">
        <w:rPr>
          <w:rFonts w:ascii="Times New Roman" w:hAnsi="Times New Roman" w:cs="Times New Roman"/>
        </w:rPr>
        <w:t xml:space="preserve"> or </w:t>
      </w:r>
      <w:r w:rsidRPr="006E2BCA">
        <w:rPr>
          <w:rFonts w:ascii="Times New Roman" w:hAnsi="Times New Roman" w:cs="Times New Roman"/>
        </w:rPr>
        <w:t>component behavior contribute to this failure</w:t>
      </w:r>
      <w:r w:rsidR="008751C0">
        <w:rPr>
          <w:rFonts w:ascii="Times New Roman" w:hAnsi="Times New Roman" w:cs="Times New Roman"/>
        </w:rPr>
        <w:t xml:space="preserve">. </w:t>
      </w:r>
      <w:r w:rsidRPr="006E2BCA">
        <w:rPr>
          <w:rFonts w:ascii="Times New Roman" w:hAnsi="Times New Roman" w:cs="Times New Roman"/>
        </w:rPr>
        <w:t>In these deductive techniques, some specific system failure state is postulated, and chains of more basic faults contributing to this undesired event are built up in a systematic way</w:t>
      </w:r>
      <w:r w:rsidR="008751C0">
        <w:rPr>
          <w:rFonts w:ascii="Times New Roman" w:hAnsi="Times New Roman" w:cs="Times New Roman"/>
        </w:rPr>
        <w:t xml:space="preserve">. </w:t>
      </w:r>
      <w:r w:rsidRPr="006E2BCA">
        <w:rPr>
          <w:rFonts w:ascii="Times New Roman" w:hAnsi="Times New Roman" w:cs="Times New Roman"/>
        </w:rPr>
        <w:t>The deductive methods are applied to determine how a given system state can occur</w:t>
      </w:r>
      <w:r w:rsidR="008751C0">
        <w:rPr>
          <w:rFonts w:ascii="Times New Roman" w:hAnsi="Times New Roman" w:cs="Times New Roman"/>
        </w:rPr>
        <w:t xml:space="preserve">. </w:t>
      </w:r>
      <w:r w:rsidRPr="006E2BCA">
        <w:rPr>
          <w:rFonts w:ascii="Times New Roman" w:hAnsi="Times New Roman" w:cs="Times New Roman"/>
        </w:rPr>
        <w:t>Like the inductive techniques, the deductive techniques should be carried out by a suitable</w:t>
      </w:r>
      <w:r w:rsidR="0063797A">
        <w:rPr>
          <w:rFonts w:ascii="Times New Roman" w:hAnsi="Times New Roman" w:cs="Times New Roman"/>
        </w:rPr>
        <w:t>,</w:t>
      </w:r>
      <w:r w:rsidRPr="006E2BCA">
        <w:rPr>
          <w:rFonts w:ascii="Times New Roman" w:hAnsi="Times New Roman" w:cs="Times New Roman"/>
        </w:rPr>
        <w:t xml:space="preserve"> </w:t>
      </w:r>
      <w:r w:rsidRPr="006E2BCA">
        <w:rPr>
          <w:rFonts w:ascii="Times New Roman" w:hAnsi="Times New Roman" w:cs="Times New Roman"/>
        </w:rPr>
        <w:t xml:space="preserve">experienced multidisciplinary team and </w:t>
      </w:r>
      <w:r w:rsidRPr="006E2BCA">
        <w:rPr>
          <w:rFonts w:ascii="Times New Roman" w:hAnsi="Times New Roman" w:cs="Times New Roman"/>
        </w:rPr>
        <w:t>followed up</w:t>
      </w:r>
      <w:r w:rsidRPr="006E2BCA">
        <w:rPr>
          <w:rFonts w:ascii="Times New Roman" w:hAnsi="Times New Roman" w:cs="Times New Roman"/>
        </w:rPr>
        <w:t xml:space="preserve"> by an independent review</w:t>
      </w:r>
      <w:r w:rsidR="008751C0">
        <w:rPr>
          <w:rFonts w:ascii="Times New Roman" w:hAnsi="Times New Roman" w:cs="Times New Roman"/>
        </w:rPr>
        <w:t xml:space="preserve">. </w:t>
      </w:r>
      <w:r w:rsidRPr="006E2BCA">
        <w:rPr>
          <w:rFonts w:ascii="Times New Roman" w:hAnsi="Times New Roman" w:cs="Times New Roman"/>
        </w:rPr>
        <w:t xml:space="preserve">Several deductive methods have been developed, </w:t>
      </w:r>
      <w:r w:rsidR="000A0884">
        <w:rPr>
          <w:rFonts w:ascii="Times New Roman" w:hAnsi="Times New Roman" w:cs="Times New Roman"/>
        </w:rPr>
        <w:t>such as the following</w:t>
      </w:r>
      <w:r w:rsidRPr="006E2BCA">
        <w:rPr>
          <w:rFonts w:ascii="Times New Roman" w:hAnsi="Times New Roman" w:cs="Times New Roman"/>
        </w:rPr>
        <w:t>:</w:t>
      </w:r>
    </w:p>
    <w:p w:rsidR="001C15D0" w:rsidRPr="006E2BCA" w:rsidP="002F3C90" w14:paraId="10957A79" w14:textId="77777777">
      <w:pPr>
        <w:spacing w:after="0" w:line="240" w:lineRule="auto"/>
        <w:ind w:firstLine="720"/>
        <w:rPr>
          <w:rFonts w:ascii="Times New Roman" w:hAnsi="Times New Roman" w:cs="Times New Roman"/>
        </w:rPr>
      </w:pPr>
    </w:p>
    <w:p w:rsidR="008F2145" w:rsidP="002F3C90" w14:paraId="6D3D5374" w14:textId="2B3F3260">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B95DE0">
        <w:rPr>
          <w:rFonts w:ascii="Times New Roman" w:hAnsi="Times New Roman" w:cs="Times New Roman"/>
        </w:rPr>
        <w:t>Cause Consequence Analysis (CCA</w:t>
      </w:r>
      <w:r w:rsidRPr="00107EF0" w:rsidR="00B34B0D">
        <w:rPr>
          <w:rFonts w:ascii="Times New Roman" w:hAnsi="Times New Roman" w:cs="Times New Roman"/>
        </w:rPr>
        <w:t>; Ref. A.</w:t>
      </w:r>
      <w:r w:rsidRPr="00107EF0" w:rsidR="00B95DE0">
        <w:rPr>
          <w:rFonts w:ascii="Times New Roman" w:hAnsi="Times New Roman" w:cs="Times New Roman"/>
        </w:rPr>
        <w:t>2</w:t>
      </w:r>
      <w:r w:rsidR="001C3897">
        <w:rPr>
          <w:rFonts w:ascii="Times New Roman" w:hAnsi="Times New Roman" w:cs="Times New Roman"/>
        </w:rPr>
        <w:t>4</w:t>
      </w:r>
      <w:r w:rsidRPr="00B95DE0">
        <w:rPr>
          <w:rFonts w:ascii="Times New Roman" w:hAnsi="Times New Roman" w:cs="Times New Roman"/>
        </w:rPr>
        <w:t>)</w:t>
      </w:r>
      <w:r w:rsidRPr="00B95DE0" w:rsidR="002B190A">
        <w:rPr>
          <w:rFonts w:ascii="Times New Roman" w:hAnsi="Times New Roman" w:cs="Times New Roman"/>
        </w:rPr>
        <w:t>,</w:t>
      </w:r>
      <w:r w:rsidRPr="00B95DE0">
        <w:rPr>
          <w:rFonts w:ascii="Times New Roman" w:hAnsi="Times New Roman" w:cs="Times New Roman"/>
        </w:rPr>
        <w:t xml:space="preserve"> </w:t>
      </w:r>
    </w:p>
    <w:p w:rsidR="00C20761" w:rsidRPr="00B95DE0" w:rsidP="002F3C90" w14:paraId="7807F116"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64B7825F" w14:textId="2A392697">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Common Cause Failure Analysis (CCFA</w:t>
      </w:r>
      <w:r w:rsidR="00B95DE0">
        <w:rPr>
          <w:rFonts w:ascii="Times New Roman" w:hAnsi="Times New Roman" w:cs="Times New Roman"/>
        </w:rPr>
        <w:t xml:space="preserve">; Ref. </w:t>
      </w:r>
      <w:r w:rsidR="008C6557">
        <w:rPr>
          <w:rFonts w:ascii="Times New Roman" w:hAnsi="Times New Roman" w:cs="Times New Roman"/>
        </w:rPr>
        <w:t>A.7, A.1</w:t>
      </w:r>
      <w:r w:rsidR="001C3897">
        <w:rPr>
          <w:rFonts w:ascii="Times New Roman" w:hAnsi="Times New Roman" w:cs="Times New Roman"/>
        </w:rPr>
        <w:t>5</w:t>
      </w:r>
      <w:r w:rsidR="008C6557">
        <w:rPr>
          <w:rFonts w:ascii="Times New Roman" w:hAnsi="Times New Roman" w:cs="Times New Roman"/>
        </w:rPr>
        <w:t xml:space="preserve">, and A. </w:t>
      </w:r>
      <w:r w:rsidR="00326FAF">
        <w:rPr>
          <w:rFonts w:ascii="Times New Roman" w:hAnsi="Times New Roman" w:cs="Times New Roman"/>
        </w:rPr>
        <w:t>3</w:t>
      </w:r>
      <w:r w:rsidR="001C3897">
        <w:rPr>
          <w:rFonts w:ascii="Times New Roman" w:hAnsi="Times New Roman" w:cs="Times New Roman"/>
        </w:rPr>
        <w:t>2</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C20761" w:rsidRPr="006E2BCA" w:rsidP="002F3C90" w14:paraId="08BFADEF"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6F1172D1" w14:textId="03B282E2">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Fault Tree Analysis (FTA</w:t>
      </w:r>
      <w:r w:rsidR="00326FAF">
        <w:rPr>
          <w:rFonts w:ascii="Times New Roman" w:hAnsi="Times New Roman" w:cs="Times New Roman"/>
        </w:rPr>
        <w:t>; Refs. A.</w:t>
      </w:r>
      <w:r w:rsidR="000E4A64">
        <w:rPr>
          <w:rFonts w:ascii="Times New Roman" w:hAnsi="Times New Roman" w:cs="Times New Roman"/>
        </w:rPr>
        <w:t>7, A.1</w:t>
      </w:r>
      <w:r w:rsidR="001C3897">
        <w:rPr>
          <w:rFonts w:ascii="Times New Roman" w:hAnsi="Times New Roman" w:cs="Times New Roman"/>
        </w:rPr>
        <w:t>3</w:t>
      </w:r>
      <w:r w:rsidR="000E4A64">
        <w:rPr>
          <w:rFonts w:ascii="Times New Roman" w:hAnsi="Times New Roman" w:cs="Times New Roman"/>
        </w:rPr>
        <w:t>, A.2</w:t>
      </w:r>
      <w:r w:rsidR="001C3897">
        <w:rPr>
          <w:rFonts w:ascii="Times New Roman" w:hAnsi="Times New Roman" w:cs="Times New Roman"/>
        </w:rPr>
        <w:t>4</w:t>
      </w:r>
      <w:r w:rsidR="000E4A64">
        <w:rPr>
          <w:rFonts w:ascii="Times New Roman" w:hAnsi="Times New Roman" w:cs="Times New Roman"/>
        </w:rPr>
        <w:t>, A.</w:t>
      </w:r>
      <w:r w:rsidR="00F7644A">
        <w:rPr>
          <w:rFonts w:ascii="Times New Roman" w:hAnsi="Times New Roman" w:cs="Times New Roman"/>
        </w:rPr>
        <w:t>2</w:t>
      </w:r>
      <w:r w:rsidR="00440D67">
        <w:rPr>
          <w:rFonts w:ascii="Times New Roman" w:hAnsi="Times New Roman" w:cs="Times New Roman"/>
        </w:rPr>
        <w:t>7</w:t>
      </w:r>
      <w:r w:rsidR="00F7644A">
        <w:rPr>
          <w:rFonts w:ascii="Times New Roman" w:hAnsi="Times New Roman" w:cs="Times New Roman"/>
        </w:rPr>
        <w:t>, and A.3</w:t>
      </w:r>
      <w:r w:rsidR="00440D67">
        <w:rPr>
          <w:rFonts w:ascii="Times New Roman" w:hAnsi="Times New Roman" w:cs="Times New Roman"/>
        </w:rPr>
        <w:t>2</w:t>
      </w:r>
      <w:r w:rsidRPr="006E2BCA">
        <w:rPr>
          <w:rFonts w:ascii="Times New Roman" w:hAnsi="Times New Roman" w:cs="Times New Roman"/>
        </w:rPr>
        <w:t>)</w:t>
      </w:r>
      <w:r w:rsidR="002B190A">
        <w:rPr>
          <w:rFonts w:ascii="Times New Roman" w:hAnsi="Times New Roman" w:cs="Times New Roman"/>
        </w:rPr>
        <w:t>,</w:t>
      </w:r>
    </w:p>
    <w:p w:rsidR="00C20761" w:rsidRPr="006E2BCA" w:rsidP="002F3C90" w14:paraId="3E229B7F"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0B6EA2E1" w14:textId="14A723B4">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Markov Analysis (MA</w:t>
      </w:r>
      <w:r w:rsidR="00F7644A">
        <w:rPr>
          <w:rFonts w:ascii="Times New Roman" w:hAnsi="Times New Roman" w:cs="Times New Roman"/>
        </w:rPr>
        <w:t xml:space="preserve">; Refs. </w:t>
      </w:r>
      <w:r w:rsidR="005C2D7D">
        <w:rPr>
          <w:rFonts w:ascii="Times New Roman" w:hAnsi="Times New Roman" w:cs="Times New Roman"/>
        </w:rPr>
        <w:t>A.2</w:t>
      </w:r>
      <w:r w:rsidR="00440D67">
        <w:rPr>
          <w:rFonts w:ascii="Times New Roman" w:hAnsi="Times New Roman" w:cs="Times New Roman"/>
        </w:rPr>
        <w:t>6</w:t>
      </w:r>
      <w:r w:rsidR="005C2D7D">
        <w:rPr>
          <w:rFonts w:ascii="Times New Roman" w:hAnsi="Times New Roman" w:cs="Times New Roman"/>
        </w:rPr>
        <w:t xml:space="preserve"> and A.3</w:t>
      </w:r>
      <w:r w:rsidR="0012200F">
        <w:rPr>
          <w:rFonts w:ascii="Times New Roman" w:hAnsi="Times New Roman" w:cs="Times New Roman"/>
        </w:rPr>
        <w:t>2</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C20761" w:rsidRPr="006E2BCA" w:rsidP="002F3C90" w14:paraId="24BD7FBF"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2E6B5B65" w14:textId="0497D01C">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Master Logic Diagram (MLD</w:t>
      </w:r>
      <w:r w:rsidR="008D70CD">
        <w:rPr>
          <w:rFonts w:ascii="Times New Roman" w:hAnsi="Times New Roman" w:cs="Times New Roman"/>
        </w:rPr>
        <w:t xml:space="preserve">; Refs. A.1, </w:t>
      </w:r>
      <w:r w:rsidR="004E4E06">
        <w:rPr>
          <w:rFonts w:ascii="Times New Roman" w:hAnsi="Times New Roman" w:cs="Times New Roman"/>
        </w:rPr>
        <w:t>A.3, and A.1</w:t>
      </w:r>
      <w:r w:rsidR="0012200F">
        <w:rPr>
          <w:rFonts w:ascii="Times New Roman" w:hAnsi="Times New Roman" w:cs="Times New Roman"/>
        </w:rPr>
        <w:t>3</w:t>
      </w:r>
      <w:r w:rsidRPr="006E2BCA">
        <w:rPr>
          <w:rFonts w:ascii="Times New Roman" w:hAnsi="Times New Roman" w:cs="Times New Roman"/>
        </w:rPr>
        <w:t>)</w:t>
      </w:r>
      <w:r w:rsidR="002B190A">
        <w:rPr>
          <w:rFonts w:ascii="Times New Roman" w:hAnsi="Times New Roman" w:cs="Times New Roman"/>
        </w:rPr>
        <w:t>,</w:t>
      </w:r>
    </w:p>
    <w:p w:rsidR="00C20761" w:rsidRPr="006E2BCA" w:rsidP="002F3C90" w14:paraId="7C7C69CB"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679DFA5F" w14:textId="7E02CE65">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Operating and Support Hazard Analysis (O&amp;SHA</w:t>
      </w:r>
      <w:r w:rsidR="004E4E06">
        <w:rPr>
          <w:rFonts w:ascii="Times New Roman" w:hAnsi="Times New Roman" w:cs="Times New Roman"/>
        </w:rPr>
        <w:t>; Ref. A</w:t>
      </w:r>
      <w:r w:rsidR="009D12FE">
        <w:rPr>
          <w:rFonts w:ascii="Times New Roman" w:hAnsi="Times New Roman" w:cs="Times New Roman"/>
        </w:rPr>
        <w:t>.</w:t>
      </w:r>
      <w:r w:rsidR="0012200F">
        <w:rPr>
          <w:rFonts w:ascii="Times New Roman" w:hAnsi="Times New Roman" w:cs="Times New Roman"/>
        </w:rPr>
        <w:t>21</w:t>
      </w:r>
      <w:r w:rsidRPr="006E2BCA">
        <w:rPr>
          <w:rFonts w:ascii="Times New Roman" w:hAnsi="Times New Roman" w:cs="Times New Roman"/>
        </w:rPr>
        <w:t>)</w:t>
      </w:r>
      <w:r w:rsidR="002B190A">
        <w:rPr>
          <w:rFonts w:ascii="Times New Roman" w:hAnsi="Times New Roman" w:cs="Times New Roman"/>
        </w:rPr>
        <w:t>, and</w:t>
      </w:r>
      <w:r w:rsidRPr="006E2BCA">
        <w:rPr>
          <w:rFonts w:ascii="Times New Roman" w:hAnsi="Times New Roman" w:cs="Times New Roman"/>
        </w:rPr>
        <w:t xml:space="preserve"> </w:t>
      </w:r>
    </w:p>
    <w:p w:rsidR="00C20761" w:rsidRPr="006E2BCA" w:rsidP="002F3C90" w14:paraId="3F144425"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RPr="006E2BCA" w:rsidP="002F3C90" w14:paraId="329AEFB2" w14:textId="79ADF3D4">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System Hazard Analysis (SHA</w:t>
      </w:r>
      <w:r w:rsidR="009D12FE">
        <w:rPr>
          <w:rFonts w:ascii="Times New Roman" w:hAnsi="Times New Roman" w:cs="Times New Roman"/>
        </w:rPr>
        <w:t>; Ref. A.</w:t>
      </w:r>
      <w:r w:rsidR="0012200F">
        <w:rPr>
          <w:rFonts w:ascii="Times New Roman" w:hAnsi="Times New Roman" w:cs="Times New Roman"/>
        </w:rPr>
        <w:t>21</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2F3C90" w14:paraId="7CEA49B1" w14:textId="77777777">
      <w:pPr>
        <w:spacing w:after="0" w:line="240" w:lineRule="auto"/>
        <w:rPr>
          <w:rFonts w:ascii="Times New Roman" w:hAnsi="Times New Roman" w:cs="Times New Roman"/>
        </w:rPr>
      </w:pPr>
    </w:p>
    <w:p w:rsidR="008F2145" w:rsidRPr="006E2BCA" w:rsidP="002F3C90" w14:paraId="4319F6D3" w14:textId="77777777">
      <w:pPr>
        <w:spacing w:after="0" w:line="240" w:lineRule="auto"/>
        <w:ind w:firstLine="720"/>
        <w:rPr>
          <w:rFonts w:ascii="Times New Roman" w:hAnsi="Times New Roman" w:cs="Times New Roman"/>
        </w:rPr>
      </w:pPr>
      <w:r w:rsidRPr="006E2BCA">
        <w:rPr>
          <w:rFonts w:ascii="Times New Roman" w:hAnsi="Times New Roman" w:cs="Times New Roman"/>
        </w:rPr>
        <w:t>The most common and well-developed ones among them are FTA and MLD.</w:t>
      </w:r>
    </w:p>
    <w:p w:rsidR="008F2145" w:rsidRPr="006E2BCA" w:rsidP="002F3C90" w14:paraId="561EC94E" w14:textId="77777777">
      <w:pPr>
        <w:spacing w:after="0" w:line="240" w:lineRule="auto"/>
        <w:rPr>
          <w:rFonts w:ascii="Times New Roman" w:hAnsi="Times New Roman" w:cs="Times New Roman"/>
          <w:u w:val="single"/>
        </w:rPr>
      </w:pPr>
    </w:p>
    <w:p w:rsidR="008F2145" w:rsidRPr="004D2EC8" w:rsidP="002F3C90" w14:paraId="761D8834" w14:textId="5914A2FC">
      <w:pPr>
        <w:keepNext/>
        <w:spacing w:after="0" w:line="240" w:lineRule="auto"/>
        <w:rPr>
          <w:rFonts w:ascii="Times New Roman" w:hAnsi="Times New Roman" w:cs="Times New Roman"/>
          <w:b/>
          <w:bCs/>
          <w:u w:val="single"/>
        </w:rPr>
      </w:pPr>
      <w:r w:rsidRPr="004D2EC8">
        <w:rPr>
          <w:rFonts w:ascii="Times New Roman" w:hAnsi="Times New Roman" w:cs="Times New Roman"/>
          <w:b/>
        </w:rPr>
        <w:t>A</w:t>
      </w:r>
      <w:r w:rsidR="00B845D6">
        <w:rPr>
          <w:rFonts w:ascii="Times New Roman" w:hAnsi="Times New Roman" w:cs="Times New Roman"/>
          <w:b/>
          <w:bCs/>
        </w:rPr>
        <w:t>-</w:t>
      </w:r>
      <w:r w:rsidRPr="004D2EC8">
        <w:rPr>
          <w:rFonts w:ascii="Times New Roman" w:hAnsi="Times New Roman" w:cs="Times New Roman"/>
          <w:b/>
        </w:rPr>
        <w:t xml:space="preserve">2.1 </w:t>
      </w:r>
      <w:r w:rsidRPr="004D2EC8">
        <w:rPr>
          <w:rFonts w:ascii="Times New Roman" w:hAnsi="Times New Roman" w:cs="Times New Roman"/>
          <w:b/>
        </w:rPr>
        <w:tab/>
      </w:r>
      <w:r w:rsidRPr="004D2EC8">
        <w:rPr>
          <w:rFonts w:ascii="Times New Roman" w:hAnsi="Times New Roman" w:cs="Times New Roman"/>
          <w:b/>
          <w:bCs/>
          <w:u w:val="single"/>
        </w:rPr>
        <w:t xml:space="preserve">Fault Tree Analysis </w:t>
      </w:r>
    </w:p>
    <w:p w:rsidR="008F2145" w:rsidRPr="006E2BCA" w:rsidP="002F3C90" w14:paraId="65FF2F0B" w14:textId="77777777">
      <w:pPr>
        <w:keepNext/>
        <w:spacing w:after="0" w:line="240" w:lineRule="auto"/>
        <w:rPr>
          <w:rFonts w:ascii="Times New Roman" w:hAnsi="Times New Roman" w:cs="Times New Roman"/>
        </w:rPr>
      </w:pPr>
    </w:p>
    <w:p w:rsidR="008F2145" w:rsidP="002F3C90" w14:paraId="09BCB874" w14:textId="76351DB1">
      <w:pPr>
        <w:spacing w:after="0" w:line="240" w:lineRule="auto"/>
        <w:ind w:firstLine="720"/>
        <w:rPr>
          <w:rFonts w:ascii="Times New Roman" w:hAnsi="Times New Roman" w:cs="Times New Roman"/>
        </w:rPr>
      </w:pPr>
      <w:r w:rsidRPr="00C30D4F">
        <w:rPr>
          <w:rFonts w:ascii="Times New Roman" w:hAnsi="Times New Roman" w:cs="Times New Roman"/>
        </w:rPr>
        <w:t>NUREG</w:t>
      </w:r>
      <w:r w:rsidRPr="00C30D4F" w:rsidR="00796C00">
        <w:rPr>
          <w:rFonts w:ascii="Times New Roman" w:hAnsi="Times New Roman" w:cs="Times New Roman"/>
        </w:rPr>
        <w:t>-</w:t>
      </w:r>
      <w:r w:rsidRPr="00C30D4F">
        <w:rPr>
          <w:rFonts w:ascii="Times New Roman" w:hAnsi="Times New Roman" w:cs="Times New Roman"/>
        </w:rPr>
        <w:t>0492</w:t>
      </w:r>
      <w:r w:rsidR="00C30D4F">
        <w:rPr>
          <w:rFonts w:ascii="Times New Roman" w:hAnsi="Times New Roman" w:cs="Times New Roman"/>
        </w:rPr>
        <w:t xml:space="preserve"> (Ref. A.7)</w:t>
      </w:r>
      <w:r>
        <w:rPr>
          <w:rFonts w:ascii="Times New Roman" w:hAnsi="Times New Roman" w:cs="Times New Roman"/>
        </w:rPr>
        <w:t xml:space="preserve"> discusses</w:t>
      </w:r>
      <w:r w:rsidRPr="006E2BCA">
        <w:rPr>
          <w:rFonts w:ascii="Times New Roman" w:hAnsi="Times New Roman" w:cs="Times New Roman"/>
        </w:rPr>
        <w:t xml:space="preserve"> </w:t>
      </w:r>
      <w:r w:rsidRPr="00D15BFC">
        <w:rPr>
          <w:rFonts w:ascii="Times New Roman" w:hAnsi="Times New Roman"/>
        </w:rPr>
        <w:t>FTA</w:t>
      </w:r>
      <w:r w:rsidRPr="006E2BCA">
        <w:rPr>
          <w:rFonts w:ascii="Times New Roman" w:hAnsi="Times New Roman" w:cs="Times New Roman"/>
        </w:rPr>
        <w:t xml:space="preserve"> in detail</w:t>
      </w:r>
      <w:r w:rsidR="00A81707">
        <w:rPr>
          <w:rFonts w:ascii="Times New Roman" w:hAnsi="Times New Roman" w:cs="Times New Roman"/>
        </w:rPr>
        <w:t xml:space="preserve"> and</w:t>
      </w:r>
      <w:r w:rsidRPr="006E2BCA">
        <w:rPr>
          <w:rFonts w:ascii="Times New Roman" w:hAnsi="Times New Roman" w:cs="Times New Roman"/>
        </w:rPr>
        <w:t xml:space="preserve"> describe</w:t>
      </w:r>
      <w:r w:rsidR="00A81707">
        <w:rPr>
          <w:rFonts w:ascii="Times New Roman" w:hAnsi="Times New Roman" w:cs="Times New Roman"/>
        </w:rPr>
        <w:t>s it</w:t>
      </w:r>
      <w:r w:rsidRPr="006E2BCA">
        <w:rPr>
          <w:rFonts w:ascii="Times New Roman" w:hAnsi="Times New Roman" w:cs="Times New Roman"/>
        </w:rPr>
        <w:t xml:space="preserve"> as an analytical technique, whereby an undesired state of the system is specified, and the system is then analyzed in the context of its environment and operation to find all credible ways in which the undesired event can occur</w:t>
      </w:r>
      <w:r w:rsidR="008751C0">
        <w:rPr>
          <w:rFonts w:ascii="Times New Roman" w:hAnsi="Times New Roman" w:cs="Times New Roman"/>
        </w:rPr>
        <w:t xml:space="preserve">. </w:t>
      </w:r>
      <w:r w:rsidRPr="006E2BCA">
        <w:rPr>
          <w:rFonts w:ascii="Times New Roman" w:hAnsi="Times New Roman" w:cs="Times New Roman"/>
        </w:rPr>
        <w:t>The fault tree itself is a graphic model of the various parallel and sequential combinations of faults that will result in the occurrence of the predefined undesired event</w:t>
      </w:r>
      <w:r w:rsidR="008751C0">
        <w:rPr>
          <w:rFonts w:ascii="Times New Roman" w:hAnsi="Times New Roman" w:cs="Times New Roman"/>
        </w:rPr>
        <w:t xml:space="preserve">. </w:t>
      </w:r>
      <w:r w:rsidRPr="006E2BCA">
        <w:rPr>
          <w:rFonts w:ascii="Times New Roman" w:hAnsi="Times New Roman" w:cs="Times New Roman"/>
        </w:rPr>
        <w:t xml:space="preserve">The faults can be events that are associated with component hardware failures, human errors, or any other pertinent events </w:t>
      </w:r>
      <w:r w:rsidR="00A81707">
        <w:rPr>
          <w:rFonts w:ascii="Times New Roman" w:hAnsi="Times New Roman" w:cs="Times New Roman"/>
        </w:rPr>
        <w:t>that</w:t>
      </w:r>
      <w:r w:rsidRPr="006E2BCA" w:rsidR="00A81707">
        <w:rPr>
          <w:rFonts w:ascii="Times New Roman" w:hAnsi="Times New Roman" w:cs="Times New Roman"/>
        </w:rPr>
        <w:t xml:space="preserve"> </w:t>
      </w:r>
      <w:r w:rsidRPr="006E2BCA">
        <w:rPr>
          <w:rFonts w:ascii="Times New Roman" w:hAnsi="Times New Roman" w:cs="Times New Roman"/>
        </w:rPr>
        <w:t>can lead to the undesired event</w:t>
      </w:r>
      <w:r w:rsidR="008751C0">
        <w:rPr>
          <w:rFonts w:ascii="Times New Roman" w:hAnsi="Times New Roman" w:cs="Times New Roman"/>
        </w:rPr>
        <w:t xml:space="preserve">. </w:t>
      </w:r>
      <w:r w:rsidRPr="006E2BCA">
        <w:rPr>
          <w:rFonts w:ascii="Times New Roman" w:hAnsi="Times New Roman" w:cs="Times New Roman"/>
        </w:rPr>
        <w:t>A fault tree thus depicts the logical interrelationships of basic events that lead to the undesired event, which is the top event of the fault tree.</w:t>
      </w:r>
    </w:p>
    <w:p w:rsidR="00443B0E" w:rsidRPr="006E2BCA" w:rsidP="002F3C90" w14:paraId="72746765" w14:textId="77777777">
      <w:pPr>
        <w:spacing w:after="0" w:line="240" w:lineRule="auto"/>
        <w:ind w:firstLine="720"/>
        <w:rPr>
          <w:rFonts w:ascii="Times New Roman" w:hAnsi="Times New Roman" w:cs="Times New Roman"/>
        </w:rPr>
      </w:pPr>
    </w:p>
    <w:p w:rsidR="008F2145" w:rsidP="002F3C90" w14:paraId="27FCEC7F" w14:textId="3C530330">
      <w:pPr>
        <w:spacing w:after="0" w:line="240" w:lineRule="auto"/>
        <w:ind w:firstLine="720"/>
        <w:rPr>
          <w:rFonts w:ascii="Times New Roman" w:hAnsi="Times New Roman" w:cs="Times New Roman"/>
        </w:rPr>
      </w:pPr>
      <w:r w:rsidRPr="006E2BCA">
        <w:rPr>
          <w:rFonts w:ascii="Times New Roman" w:hAnsi="Times New Roman" w:cs="Times New Roman"/>
        </w:rPr>
        <w:t>A fault tree is tailored to its top event</w:t>
      </w:r>
      <w:r w:rsidR="00A81707">
        <w:rPr>
          <w:rFonts w:ascii="Times New Roman" w:hAnsi="Times New Roman" w:cs="Times New Roman"/>
        </w:rPr>
        <w:t>,</w:t>
      </w:r>
      <w:r w:rsidRPr="006E2BCA">
        <w:rPr>
          <w:rFonts w:ascii="Times New Roman" w:hAnsi="Times New Roman" w:cs="Times New Roman"/>
        </w:rPr>
        <w:t xml:space="preserve"> which corresponds to some </w:t>
      </w:r>
      <w:r w:rsidRPr="006E2BCA">
        <w:rPr>
          <w:rFonts w:ascii="Times New Roman" w:hAnsi="Times New Roman" w:cs="Times New Roman"/>
        </w:rPr>
        <w:t>particular system</w:t>
      </w:r>
      <w:r w:rsidRPr="006E2BCA">
        <w:rPr>
          <w:rFonts w:ascii="Times New Roman" w:hAnsi="Times New Roman" w:cs="Times New Roman"/>
        </w:rPr>
        <w:t xml:space="preserve"> failure modes, and the fault tree thus includes only those faults that contribute to this top event</w:t>
      </w:r>
      <w:r w:rsidR="008751C0">
        <w:rPr>
          <w:rFonts w:ascii="Times New Roman" w:hAnsi="Times New Roman" w:cs="Times New Roman"/>
        </w:rPr>
        <w:t xml:space="preserve">. </w:t>
      </w:r>
      <w:r w:rsidRPr="006E2BCA">
        <w:rPr>
          <w:rFonts w:ascii="Times New Roman" w:hAnsi="Times New Roman" w:cs="Times New Roman"/>
        </w:rPr>
        <w:t>Moreover, these faults are not exhaustive</w:t>
      </w:r>
      <w:r w:rsidR="00A81707">
        <w:rPr>
          <w:rFonts w:ascii="Times New Roman" w:hAnsi="Times New Roman" w:cs="Times New Roman"/>
        </w:rPr>
        <w:t>,</w:t>
      </w:r>
      <w:r w:rsidRPr="006E2BCA">
        <w:rPr>
          <w:rFonts w:ascii="Times New Roman" w:hAnsi="Times New Roman" w:cs="Times New Roman"/>
        </w:rPr>
        <w:t xml:space="preserve"> as they only cover the most credible faults as assessed by the analyst</w:t>
      </w:r>
      <w:r w:rsidR="008751C0">
        <w:rPr>
          <w:rFonts w:ascii="Times New Roman" w:hAnsi="Times New Roman" w:cs="Times New Roman"/>
        </w:rPr>
        <w:t xml:space="preserve">. </w:t>
      </w:r>
      <w:r w:rsidRPr="006E2BCA">
        <w:rPr>
          <w:rFonts w:ascii="Times New Roman" w:hAnsi="Times New Roman" w:cs="Times New Roman"/>
        </w:rPr>
        <w:t>FTA is not in itself a quantitative model</w:t>
      </w:r>
      <w:r w:rsidR="008751C0">
        <w:rPr>
          <w:rFonts w:ascii="Times New Roman" w:hAnsi="Times New Roman" w:cs="Times New Roman"/>
        </w:rPr>
        <w:t xml:space="preserve">. </w:t>
      </w:r>
      <w:r w:rsidRPr="006E2BCA">
        <w:rPr>
          <w:rFonts w:ascii="Times New Roman" w:hAnsi="Times New Roman" w:cs="Times New Roman"/>
        </w:rPr>
        <w:t>It is a qualitative model that can be evaluated quantitatively.</w:t>
      </w:r>
    </w:p>
    <w:p w:rsidR="001C15D0" w:rsidRPr="006E2BCA" w:rsidP="002F3C90" w14:paraId="7323738A" w14:textId="77777777">
      <w:pPr>
        <w:spacing w:after="0" w:line="240" w:lineRule="auto"/>
        <w:ind w:firstLine="720"/>
        <w:rPr>
          <w:rFonts w:ascii="Times New Roman" w:hAnsi="Times New Roman" w:cs="Times New Roman"/>
        </w:rPr>
      </w:pPr>
    </w:p>
    <w:p w:rsidR="008F2145" w:rsidP="002F3C90" w14:paraId="2D097A03" w14:textId="17EE2DB5">
      <w:pPr>
        <w:spacing w:after="0" w:line="240" w:lineRule="auto"/>
        <w:ind w:firstLine="720"/>
        <w:rPr>
          <w:rFonts w:ascii="Times New Roman" w:hAnsi="Times New Roman" w:cs="Times New Roman"/>
        </w:rPr>
      </w:pPr>
      <w:r w:rsidRPr="006E2BCA">
        <w:rPr>
          <w:rFonts w:ascii="Times New Roman" w:hAnsi="Times New Roman" w:cs="Times New Roman"/>
        </w:rPr>
        <w:t xml:space="preserve">A fault tree is a complex of entities known as </w:t>
      </w:r>
      <w:r w:rsidR="00A81707">
        <w:rPr>
          <w:rFonts w:ascii="Times New Roman" w:hAnsi="Times New Roman" w:cs="Times New Roman"/>
        </w:rPr>
        <w:t>“</w:t>
      </w:r>
      <w:r w:rsidRPr="006E2BCA">
        <w:rPr>
          <w:rFonts w:ascii="Times New Roman" w:hAnsi="Times New Roman" w:cs="Times New Roman"/>
        </w:rPr>
        <w:t>gates</w:t>
      </w:r>
      <w:r w:rsidR="00A81707">
        <w:rPr>
          <w:rFonts w:ascii="Times New Roman" w:hAnsi="Times New Roman" w:cs="Times New Roman"/>
        </w:rPr>
        <w:t>,”</w:t>
      </w:r>
      <w:r w:rsidRPr="006E2BCA">
        <w:rPr>
          <w:rFonts w:ascii="Times New Roman" w:hAnsi="Times New Roman" w:cs="Times New Roman"/>
        </w:rPr>
        <w:t xml:space="preserve"> which serve to permit or inhibit the passage of fault logic up the tree</w:t>
      </w:r>
      <w:r w:rsidR="008751C0">
        <w:rPr>
          <w:rFonts w:ascii="Times New Roman" w:hAnsi="Times New Roman" w:cs="Times New Roman"/>
        </w:rPr>
        <w:t xml:space="preserve">. </w:t>
      </w:r>
      <w:r w:rsidRPr="006E2BCA">
        <w:rPr>
          <w:rFonts w:ascii="Times New Roman" w:hAnsi="Times New Roman" w:cs="Times New Roman"/>
        </w:rPr>
        <w:t xml:space="preserve">The gates show the relationships of events needed for the occurrence of a </w:t>
      </w:r>
      <w:r w:rsidR="00A81707">
        <w:rPr>
          <w:rFonts w:ascii="Times New Roman" w:hAnsi="Times New Roman" w:cs="Times New Roman"/>
        </w:rPr>
        <w:t>“</w:t>
      </w:r>
      <w:r w:rsidRPr="006E2BCA">
        <w:rPr>
          <w:rFonts w:ascii="Times New Roman" w:hAnsi="Times New Roman" w:cs="Times New Roman"/>
        </w:rPr>
        <w:t>higher</w:t>
      </w:r>
      <w:r w:rsidR="00A81707">
        <w:rPr>
          <w:rFonts w:ascii="Times New Roman" w:hAnsi="Times New Roman" w:cs="Times New Roman"/>
        </w:rPr>
        <w:t>”</w:t>
      </w:r>
      <w:r w:rsidRPr="006E2BCA">
        <w:rPr>
          <w:rFonts w:ascii="Times New Roman" w:hAnsi="Times New Roman" w:cs="Times New Roman"/>
        </w:rPr>
        <w:t xml:space="preserve"> event</w:t>
      </w:r>
      <w:r w:rsidR="008751C0">
        <w:rPr>
          <w:rFonts w:ascii="Times New Roman" w:hAnsi="Times New Roman" w:cs="Times New Roman"/>
        </w:rPr>
        <w:t xml:space="preserve">. </w:t>
      </w:r>
      <w:r w:rsidRPr="006E2BCA">
        <w:rPr>
          <w:rFonts w:ascii="Times New Roman" w:hAnsi="Times New Roman" w:cs="Times New Roman"/>
        </w:rPr>
        <w:t xml:space="preserve">The </w:t>
      </w:r>
      <w:r w:rsidR="00A81707">
        <w:rPr>
          <w:rFonts w:ascii="Times New Roman" w:hAnsi="Times New Roman" w:cs="Times New Roman"/>
        </w:rPr>
        <w:t>“</w:t>
      </w:r>
      <w:r w:rsidRPr="006E2BCA">
        <w:rPr>
          <w:rFonts w:ascii="Times New Roman" w:hAnsi="Times New Roman" w:cs="Times New Roman"/>
        </w:rPr>
        <w:t>higher</w:t>
      </w:r>
      <w:r w:rsidR="00A81707">
        <w:rPr>
          <w:rFonts w:ascii="Times New Roman" w:hAnsi="Times New Roman" w:cs="Times New Roman"/>
        </w:rPr>
        <w:t>”</w:t>
      </w:r>
      <w:r w:rsidRPr="006E2BCA">
        <w:rPr>
          <w:rFonts w:ascii="Times New Roman" w:hAnsi="Times New Roman" w:cs="Times New Roman"/>
        </w:rPr>
        <w:t xml:space="preserve"> event is the </w:t>
      </w:r>
      <w:r w:rsidR="00A81707">
        <w:rPr>
          <w:rFonts w:ascii="Times New Roman" w:hAnsi="Times New Roman" w:cs="Times New Roman"/>
        </w:rPr>
        <w:t>“</w:t>
      </w:r>
      <w:r w:rsidRPr="006E2BCA">
        <w:rPr>
          <w:rFonts w:ascii="Times New Roman" w:hAnsi="Times New Roman" w:cs="Times New Roman"/>
        </w:rPr>
        <w:t>output</w:t>
      </w:r>
      <w:r w:rsidR="00A81707">
        <w:rPr>
          <w:rFonts w:ascii="Times New Roman" w:hAnsi="Times New Roman" w:cs="Times New Roman"/>
        </w:rPr>
        <w:t>”</w:t>
      </w:r>
      <w:r w:rsidRPr="006E2BCA">
        <w:rPr>
          <w:rFonts w:ascii="Times New Roman" w:hAnsi="Times New Roman" w:cs="Times New Roman"/>
        </w:rPr>
        <w:t xml:space="preserve"> of the gate; the </w:t>
      </w:r>
      <w:r w:rsidR="00A81707">
        <w:rPr>
          <w:rFonts w:ascii="Times New Roman" w:hAnsi="Times New Roman" w:cs="Times New Roman"/>
        </w:rPr>
        <w:t>“</w:t>
      </w:r>
      <w:r w:rsidRPr="006E2BCA">
        <w:rPr>
          <w:rFonts w:ascii="Times New Roman" w:hAnsi="Times New Roman" w:cs="Times New Roman"/>
        </w:rPr>
        <w:t>lower</w:t>
      </w:r>
      <w:r w:rsidR="00A81707">
        <w:rPr>
          <w:rFonts w:ascii="Times New Roman" w:hAnsi="Times New Roman" w:cs="Times New Roman"/>
        </w:rPr>
        <w:t>”</w:t>
      </w:r>
      <w:r w:rsidRPr="006E2BCA">
        <w:rPr>
          <w:rFonts w:ascii="Times New Roman" w:hAnsi="Times New Roman" w:cs="Times New Roman"/>
        </w:rPr>
        <w:t xml:space="preserve"> events are the </w:t>
      </w:r>
      <w:r w:rsidR="00A81707">
        <w:rPr>
          <w:rFonts w:ascii="Times New Roman" w:hAnsi="Times New Roman" w:cs="Times New Roman"/>
        </w:rPr>
        <w:t>“</w:t>
      </w:r>
      <w:r w:rsidRPr="006E2BCA">
        <w:rPr>
          <w:rFonts w:ascii="Times New Roman" w:hAnsi="Times New Roman" w:cs="Times New Roman"/>
        </w:rPr>
        <w:t>inputs</w:t>
      </w:r>
      <w:r w:rsidR="00A81707">
        <w:rPr>
          <w:rFonts w:ascii="Times New Roman" w:hAnsi="Times New Roman" w:cs="Times New Roman"/>
        </w:rPr>
        <w:t>”</w:t>
      </w:r>
      <w:r w:rsidRPr="006E2BCA">
        <w:rPr>
          <w:rFonts w:ascii="Times New Roman" w:hAnsi="Times New Roman" w:cs="Times New Roman"/>
        </w:rPr>
        <w:t xml:space="preserve"> to the gate</w:t>
      </w:r>
      <w:r w:rsidR="008751C0">
        <w:rPr>
          <w:rFonts w:ascii="Times New Roman" w:hAnsi="Times New Roman" w:cs="Times New Roman"/>
        </w:rPr>
        <w:t xml:space="preserve">. </w:t>
      </w:r>
      <w:r w:rsidRPr="006E2BCA">
        <w:rPr>
          <w:rFonts w:ascii="Times New Roman" w:hAnsi="Times New Roman" w:cs="Times New Roman"/>
        </w:rPr>
        <w:t>The gate symbol denotes the type of relationship of the input events required for the output event.</w:t>
      </w:r>
    </w:p>
    <w:p w:rsidR="00DF32DC" w:rsidRPr="006E2BCA" w:rsidP="002F3C90" w14:paraId="75094426" w14:textId="77777777">
      <w:pPr>
        <w:spacing w:after="0" w:line="240" w:lineRule="auto"/>
        <w:ind w:firstLine="720"/>
        <w:rPr>
          <w:rFonts w:ascii="Times New Roman" w:hAnsi="Times New Roman" w:cs="Times New Roman"/>
        </w:rPr>
      </w:pPr>
    </w:p>
    <w:p w:rsidR="008F2145" w:rsidP="002F3C90" w14:paraId="5F9A8F91" w14:textId="1D82D17A">
      <w:pPr>
        <w:spacing w:after="0" w:line="240" w:lineRule="auto"/>
        <w:ind w:firstLine="720"/>
        <w:rPr>
          <w:rFonts w:ascii="Times New Roman" w:eastAsia="ArialMT" w:hAnsi="Times New Roman" w:cs="Times New Roman"/>
        </w:rPr>
      </w:pPr>
      <w:r w:rsidRPr="006E3F78">
        <w:rPr>
          <w:rFonts w:ascii="Times New Roman" w:hAnsi="Times New Roman" w:cs="Times New Roman"/>
        </w:rPr>
        <w:t>NUREG</w:t>
      </w:r>
      <w:r w:rsidRPr="006E3F78" w:rsidR="00A81707">
        <w:rPr>
          <w:rFonts w:ascii="Times New Roman" w:hAnsi="Times New Roman" w:cs="Times New Roman"/>
        </w:rPr>
        <w:noBreakHyphen/>
      </w:r>
      <w:r w:rsidRPr="006E3F78">
        <w:rPr>
          <w:rFonts w:ascii="Times New Roman" w:hAnsi="Times New Roman" w:cs="Times New Roman"/>
        </w:rPr>
        <w:t>2122</w:t>
      </w:r>
      <w:r w:rsidR="00A532D4">
        <w:rPr>
          <w:rFonts w:ascii="Times New Roman" w:hAnsi="Times New Roman" w:cs="Times New Roman"/>
        </w:rPr>
        <w:t xml:space="preserve"> (Ref. A.</w:t>
      </w:r>
      <w:r w:rsidR="006E3F78">
        <w:rPr>
          <w:rFonts w:ascii="Times New Roman" w:hAnsi="Times New Roman" w:cs="Times New Roman"/>
        </w:rPr>
        <w:t>1</w:t>
      </w:r>
      <w:r w:rsidR="0012200F">
        <w:rPr>
          <w:rFonts w:ascii="Times New Roman" w:hAnsi="Times New Roman" w:cs="Times New Roman"/>
        </w:rPr>
        <w:t>3</w:t>
      </w:r>
      <w:r w:rsidR="006E3F78">
        <w:rPr>
          <w:rFonts w:ascii="Times New Roman" w:hAnsi="Times New Roman" w:cs="Times New Roman"/>
        </w:rPr>
        <w:t>),</w:t>
      </w:r>
      <w:r w:rsidR="00266243">
        <w:rPr>
          <w:rFonts w:ascii="Times New Roman" w:hAnsi="Times New Roman" w:cs="Times New Roman"/>
        </w:rPr>
        <w:t xml:space="preserve"> </w:t>
      </w:r>
      <w:r w:rsidRPr="006E2BCA">
        <w:rPr>
          <w:rFonts w:ascii="Times New Roman" w:hAnsi="Times New Roman" w:cs="Times New Roman"/>
        </w:rPr>
        <w:t>describes</w:t>
      </w:r>
      <w:r w:rsidR="00B5610B">
        <w:rPr>
          <w:rFonts w:ascii="Times New Roman" w:hAnsi="Times New Roman" w:cs="Times New Roman"/>
        </w:rPr>
        <w:t xml:space="preserve"> a</w:t>
      </w:r>
      <w:r w:rsidRPr="006E2BCA">
        <w:rPr>
          <w:rFonts w:ascii="Times New Roman" w:hAnsi="Times New Roman" w:cs="Times New Roman"/>
        </w:rPr>
        <w:t xml:space="preserve"> fault tree as a</w:t>
      </w:r>
      <w:r w:rsidRPr="006E2BCA">
        <w:rPr>
          <w:rFonts w:ascii="Times New Roman" w:eastAsia="ArialMT" w:hAnsi="Times New Roman" w:cs="Times New Roman"/>
        </w:rPr>
        <w:t xml:space="preserve"> deductive logic</w:t>
      </w:r>
      <w:r w:rsidRPr="006E2BCA">
        <w:rPr>
          <w:rFonts w:ascii="Times New Roman" w:hAnsi="Times New Roman" w:cs="Times New Roman"/>
        </w:rPr>
        <w:t xml:space="preserve"> </w:t>
      </w:r>
      <w:r w:rsidRPr="006E2BCA">
        <w:rPr>
          <w:rFonts w:ascii="Times New Roman" w:eastAsia="ArialMT" w:hAnsi="Times New Roman" w:cs="Times New Roman"/>
        </w:rPr>
        <w:t>diagram that</w:t>
      </w:r>
      <w:r w:rsidRPr="006E2BCA">
        <w:rPr>
          <w:rFonts w:ascii="Times New Roman" w:hAnsi="Times New Roman" w:cs="Times New Roman"/>
        </w:rPr>
        <w:t xml:space="preserve"> </w:t>
      </w:r>
      <w:r w:rsidRPr="006E2BCA">
        <w:rPr>
          <w:rFonts w:ascii="Times New Roman" w:eastAsia="ArialMT" w:hAnsi="Times New Roman" w:cs="Times New Roman"/>
        </w:rPr>
        <w:t>graphically</w:t>
      </w:r>
      <w:r w:rsidRPr="006E2BCA">
        <w:rPr>
          <w:rFonts w:ascii="Times New Roman" w:hAnsi="Times New Roman" w:cs="Times New Roman"/>
        </w:rPr>
        <w:t xml:space="preserve"> </w:t>
      </w:r>
      <w:r w:rsidRPr="006E2BCA">
        <w:rPr>
          <w:rFonts w:ascii="Times New Roman" w:eastAsia="ArialMT" w:hAnsi="Times New Roman" w:cs="Times New Roman"/>
        </w:rPr>
        <w:t>represents the</w:t>
      </w:r>
      <w:r w:rsidRPr="006E2BCA">
        <w:rPr>
          <w:rFonts w:ascii="Times New Roman" w:hAnsi="Times New Roman" w:cs="Times New Roman"/>
        </w:rPr>
        <w:t xml:space="preserve"> </w:t>
      </w:r>
      <w:r w:rsidRPr="006E2BCA">
        <w:rPr>
          <w:rFonts w:ascii="Times New Roman" w:eastAsia="ArialMT" w:hAnsi="Times New Roman" w:cs="Times New Roman"/>
        </w:rPr>
        <w:t>various failures</w:t>
      </w:r>
      <w:r w:rsidRPr="006E2BCA">
        <w:rPr>
          <w:rFonts w:ascii="Times New Roman" w:hAnsi="Times New Roman" w:cs="Times New Roman"/>
        </w:rPr>
        <w:t xml:space="preserve"> </w:t>
      </w:r>
      <w:r w:rsidRPr="006E2BCA">
        <w:rPr>
          <w:rFonts w:ascii="Times New Roman" w:eastAsia="ArialMT" w:hAnsi="Times New Roman" w:cs="Times New Roman"/>
        </w:rPr>
        <w:t>that can lead to a</w:t>
      </w:r>
      <w:r w:rsidRPr="006E2BCA">
        <w:rPr>
          <w:rFonts w:ascii="Times New Roman" w:hAnsi="Times New Roman" w:cs="Times New Roman"/>
        </w:rPr>
        <w:t xml:space="preserve"> </w:t>
      </w:r>
      <w:r w:rsidRPr="006E2BCA">
        <w:rPr>
          <w:rFonts w:ascii="Times New Roman" w:eastAsia="ArialMT" w:hAnsi="Times New Roman" w:cs="Times New Roman"/>
        </w:rPr>
        <w:t>predefined</w:t>
      </w:r>
      <w:r w:rsidRPr="006E2BCA">
        <w:rPr>
          <w:rFonts w:ascii="Times New Roman" w:hAnsi="Times New Roman" w:cs="Times New Roman"/>
        </w:rPr>
        <w:t xml:space="preserve"> </w:t>
      </w:r>
      <w:r w:rsidRPr="006E2BCA">
        <w:rPr>
          <w:rFonts w:ascii="Times New Roman" w:eastAsia="ArialMT" w:hAnsi="Times New Roman" w:cs="Times New Roman"/>
        </w:rPr>
        <w:t>undesired event</w:t>
      </w:r>
      <w:r w:rsidR="008751C0">
        <w:rPr>
          <w:rFonts w:ascii="Times New Roman" w:eastAsia="ArialMT" w:hAnsi="Times New Roman" w:cs="Times New Roman"/>
        </w:rPr>
        <w:t xml:space="preserve">. </w:t>
      </w:r>
      <w:r w:rsidRPr="006E2BCA">
        <w:rPr>
          <w:rFonts w:ascii="Times New Roman" w:eastAsia="ArialMT" w:hAnsi="Times New Roman" w:cs="Times New Roman"/>
        </w:rPr>
        <w:t>Fault trees describe how failures of top events occur because of various failure modes of</w:t>
      </w:r>
      <w:r w:rsidRPr="006E2BCA">
        <w:rPr>
          <w:rFonts w:ascii="Times New Roman" w:hAnsi="Times New Roman" w:cs="Times New Roman"/>
        </w:rPr>
        <w:t xml:space="preserve"> </w:t>
      </w:r>
      <w:r w:rsidRPr="006E2BCA">
        <w:rPr>
          <w:rFonts w:ascii="Times New Roman" w:eastAsia="ArialMT" w:hAnsi="Times New Roman" w:cs="Times New Roman"/>
        </w:rPr>
        <w:t xml:space="preserve">components, human errors, </w:t>
      </w:r>
      <w:r w:rsidR="000A0884">
        <w:rPr>
          <w:rFonts w:ascii="Times New Roman" w:eastAsia="ArialMT" w:hAnsi="Times New Roman" w:cs="Times New Roman"/>
        </w:rPr>
        <w:t xml:space="preserve">and </w:t>
      </w:r>
      <w:r w:rsidRPr="006E2BCA">
        <w:rPr>
          <w:rFonts w:ascii="Times New Roman" w:eastAsia="ArialMT" w:hAnsi="Times New Roman" w:cs="Times New Roman"/>
        </w:rPr>
        <w:t>initiator effects, a</w:t>
      </w:r>
      <w:r w:rsidR="000A0884">
        <w:rPr>
          <w:rFonts w:ascii="Times New Roman" w:eastAsia="ArialMT" w:hAnsi="Times New Roman" w:cs="Times New Roman"/>
        </w:rPr>
        <w:t>s well as</w:t>
      </w:r>
      <w:r w:rsidRPr="006E2BCA">
        <w:rPr>
          <w:rFonts w:ascii="Times New Roman" w:eastAsia="ArialMT" w:hAnsi="Times New Roman" w:cs="Times New Roman"/>
        </w:rPr>
        <w:t xml:space="preserve"> failures of support systems that combine to</w:t>
      </w:r>
      <w:r w:rsidRPr="006E2BCA">
        <w:rPr>
          <w:rFonts w:ascii="Times New Roman" w:hAnsi="Times New Roman" w:cs="Times New Roman"/>
        </w:rPr>
        <w:t xml:space="preserve"> </w:t>
      </w:r>
      <w:r w:rsidRPr="006E2BCA">
        <w:rPr>
          <w:rFonts w:ascii="Times New Roman" w:eastAsia="ArialMT" w:hAnsi="Times New Roman" w:cs="Times New Roman"/>
        </w:rPr>
        <w:t>cause a failure of a top event.</w:t>
      </w:r>
    </w:p>
    <w:p w:rsidR="00443B0E" w:rsidRPr="006E2BCA" w:rsidP="002F3C90" w14:paraId="4D03C352" w14:textId="77777777">
      <w:pPr>
        <w:spacing w:after="0" w:line="240" w:lineRule="auto"/>
        <w:ind w:firstLine="720"/>
        <w:rPr>
          <w:rFonts w:ascii="Times New Roman" w:eastAsia="ArialMT" w:hAnsi="Times New Roman" w:cs="Times New Roman"/>
        </w:rPr>
      </w:pPr>
    </w:p>
    <w:p w:rsidR="008F2145" w:rsidP="002F3C90" w14:paraId="47829CA5" w14:textId="3EAB05DE">
      <w:pPr>
        <w:spacing w:after="0" w:line="240" w:lineRule="auto"/>
        <w:ind w:firstLine="720"/>
        <w:rPr>
          <w:rFonts w:ascii="Times New Roman" w:hAnsi="Times New Roman" w:cs="Times New Roman"/>
        </w:rPr>
      </w:pPr>
      <w:r w:rsidRPr="006E3F78">
        <w:rPr>
          <w:rFonts w:ascii="Times New Roman" w:hAnsi="Times New Roman" w:cs="Times New Roman"/>
        </w:rPr>
        <w:t>EPRI Report 3002000509</w:t>
      </w:r>
      <w:r w:rsidRPr="006E3F78" w:rsidR="006E3F78">
        <w:rPr>
          <w:rFonts w:ascii="Times New Roman" w:hAnsi="Times New Roman" w:cs="Times New Roman"/>
        </w:rPr>
        <w:t xml:space="preserve"> (Ref. A.2</w:t>
      </w:r>
      <w:r w:rsidR="0012200F">
        <w:rPr>
          <w:rFonts w:ascii="Times New Roman" w:hAnsi="Times New Roman" w:cs="Times New Roman"/>
        </w:rPr>
        <w:t>7</w:t>
      </w:r>
      <w:r w:rsidRPr="006E3F78" w:rsidR="006E3F78">
        <w:rPr>
          <w:rFonts w:ascii="Times New Roman" w:hAnsi="Times New Roman" w:cs="Times New Roman"/>
        </w:rPr>
        <w:t>),</w:t>
      </w:r>
      <w:r w:rsidR="00B5610B">
        <w:rPr>
          <w:rFonts w:ascii="Times New Roman" w:hAnsi="Times New Roman" w:cs="Times New Roman"/>
        </w:rPr>
        <w:t xml:space="preserve"> </w:t>
      </w:r>
      <w:r w:rsidRPr="006E2BCA">
        <w:rPr>
          <w:rFonts w:ascii="Times New Roman" w:hAnsi="Times New Roman" w:cs="Times New Roman"/>
        </w:rPr>
        <w:t>states that FTA is a top-down method, which postulates failures of high-level safety and generation</w:t>
      </w:r>
      <w:r w:rsidR="00A81707">
        <w:rPr>
          <w:rFonts w:ascii="Times New Roman" w:hAnsi="Times New Roman" w:cs="Times New Roman"/>
        </w:rPr>
        <w:t>-</w:t>
      </w:r>
      <w:r w:rsidRPr="006E2BCA">
        <w:rPr>
          <w:rFonts w:ascii="Times New Roman" w:hAnsi="Times New Roman" w:cs="Times New Roman"/>
        </w:rPr>
        <w:t>related functions and identifies the plant mechanical and electrical equipment needed for these functions</w:t>
      </w:r>
      <w:r w:rsidR="008751C0">
        <w:rPr>
          <w:rFonts w:ascii="Times New Roman" w:hAnsi="Times New Roman" w:cs="Times New Roman"/>
        </w:rPr>
        <w:t xml:space="preserve">. </w:t>
      </w:r>
      <w:r w:rsidRPr="006E2BCA">
        <w:rPr>
          <w:rFonts w:ascii="Times New Roman" w:hAnsi="Times New Roman" w:cs="Times New Roman"/>
        </w:rPr>
        <w:t xml:space="preserve">This top-down approach can thereby focus the failure analysis of the system by identifying the potentially important failure modes of the mechanical and </w:t>
      </w:r>
      <w:r w:rsidRPr="006E2BCA">
        <w:rPr>
          <w:rFonts w:ascii="Times New Roman" w:hAnsi="Times New Roman" w:cs="Times New Roman"/>
        </w:rPr>
        <w:t>electrical components controlled or actuated by the digital system</w:t>
      </w:r>
      <w:r w:rsidR="008751C0">
        <w:rPr>
          <w:rFonts w:ascii="Times New Roman" w:hAnsi="Times New Roman" w:cs="Times New Roman"/>
        </w:rPr>
        <w:t xml:space="preserve">. </w:t>
      </w:r>
      <w:r w:rsidRPr="006E2BCA">
        <w:rPr>
          <w:rFonts w:ascii="Times New Roman" w:hAnsi="Times New Roman" w:cs="Times New Roman"/>
        </w:rPr>
        <w:t>Some limitations of FTA include</w:t>
      </w:r>
      <w:r w:rsidR="00A81707">
        <w:rPr>
          <w:rFonts w:ascii="Times New Roman" w:hAnsi="Times New Roman" w:cs="Times New Roman"/>
        </w:rPr>
        <w:t xml:space="preserve"> the following</w:t>
      </w:r>
      <w:r w:rsidRPr="006E2BCA">
        <w:rPr>
          <w:rFonts w:ascii="Times New Roman" w:hAnsi="Times New Roman" w:cs="Times New Roman"/>
        </w:rPr>
        <w:t>:</w:t>
      </w:r>
    </w:p>
    <w:p w:rsidR="00443B0E" w:rsidRPr="006E2BCA" w:rsidP="002F3C90" w14:paraId="6CDC6966" w14:textId="77777777">
      <w:pPr>
        <w:spacing w:after="0" w:line="240" w:lineRule="auto"/>
        <w:ind w:firstLine="720"/>
        <w:rPr>
          <w:rFonts w:ascii="Times New Roman" w:hAnsi="Times New Roman" w:cs="Times New Roman"/>
        </w:rPr>
      </w:pPr>
    </w:p>
    <w:p w:rsidR="008F2145" w:rsidP="002F3C90" w14:paraId="78C04027" w14:textId="706CC210">
      <w:pPr>
        <w:pStyle w:val="ListParagraph"/>
        <w:widowControl w:val="0"/>
        <w:numPr>
          <w:ilvl w:val="0"/>
          <w:numId w:val="50"/>
        </w:numPr>
        <w:autoSpaceDE w:val="0"/>
        <w:autoSpaceDN w:val="0"/>
        <w:spacing w:after="0" w:line="240" w:lineRule="auto"/>
        <w:ind w:left="720" w:hanging="270"/>
        <w:contextualSpacing w:val="0"/>
        <w:rPr>
          <w:rFonts w:ascii="Times New Roman" w:hAnsi="Times New Roman" w:cs="Times New Roman"/>
        </w:rPr>
      </w:pPr>
      <w:r w:rsidRPr="006E2BCA">
        <w:rPr>
          <w:rFonts w:ascii="Times New Roman" w:hAnsi="Times New Roman" w:cs="Times New Roman"/>
        </w:rPr>
        <w:t>Focusing on failures</w:t>
      </w:r>
      <w:r w:rsidR="00A81707">
        <w:rPr>
          <w:rFonts w:ascii="Times New Roman" w:hAnsi="Times New Roman" w:cs="Times New Roman"/>
        </w:rPr>
        <w:t>—</w:t>
      </w:r>
      <w:r w:rsidRPr="006E2BCA">
        <w:rPr>
          <w:rFonts w:ascii="Times New Roman" w:hAnsi="Times New Roman" w:cs="Times New Roman"/>
        </w:rPr>
        <w:t xml:space="preserve">The focus of FTA on failure modes limits the ability of the method to consider interactions between systems or components that can lead to adverse behaviors under plant states in which no failures are present. </w:t>
      </w:r>
    </w:p>
    <w:p w:rsidR="00443B0E" w:rsidRPr="006E2BCA" w:rsidP="002F3C90" w14:paraId="3BDF8A25"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026A0CB0" w14:textId="3A5956A1">
      <w:pPr>
        <w:pStyle w:val="ListParagraph"/>
        <w:widowControl w:val="0"/>
        <w:numPr>
          <w:ilvl w:val="0"/>
          <w:numId w:val="50"/>
        </w:numPr>
        <w:autoSpaceDE w:val="0"/>
        <w:autoSpaceDN w:val="0"/>
        <w:spacing w:after="0" w:line="240" w:lineRule="auto"/>
        <w:ind w:left="720" w:hanging="270"/>
        <w:contextualSpacing w:val="0"/>
        <w:rPr>
          <w:rFonts w:ascii="Times New Roman" w:hAnsi="Times New Roman" w:cs="Times New Roman"/>
        </w:rPr>
      </w:pPr>
      <w:r w:rsidRPr="006E2BCA">
        <w:rPr>
          <w:rFonts w:ascii="Times New Roman" w:hAnsi="Times New Roman" w:cs="Times New Roman"/>
        </w:rPr>
        <w:t>Complexity of models</w:t>
      </w:r>
      <w:r w:rsidR="00A81707">
        <w:rPr>
          <w:rFonts w:ascii="Times New Roman" w:hAnsi="Times New Roman" w:cs="Times New Roman"/>
        </w:rPr>
        <w:t>—</w:t>
      </w:r>
      <w:r w:rsidRPr="006E2BCA">
        <w:rPr>
          <w:rFonts w:ascii="Times New Roman" w:hAnsi="Times New Roman" w:cs="Times New Roman"/>
        </w:rPr>
        <w:t xml:space="preserve">Fault tree logic models can be large, </w:t>
      </w:r>
      <w:r w:rsidR="000A0884">
        <w:rPr>
          <w:rFonts w:ascii="Times New Roman" w:hAnsi="Times New Roman" w:cs="Times New Roman"/>
        </w:rPr>
        <w:t xml:space="preserve">may be </w:t>
      </w:r>
      <w:r w:rsidRPr="006E2BCA">
        <w:rPr>
          <w:rFonts w:ascii="Times New Roman" w:hAnsi="Times New Roman" w:cs="Times New Roman"/>
        </w:rPr>
        <w:t>difficult to display on a few pages or screens</w:t>
      </w:r>
      <w:r w:rsidR="000A0884">
        <w:rPr>
          <w:rFonts w:ascii="Times New Roman" w:hAnsi="Times New Roman" w:cs="Times New Roman"/>
        </w:rPr>
        <w:t>,</w:t>
      </w:r>
      <w:r w:rsidRPr="006E2BCA">
        <w:rPr>
          <w:rFonts w:ascii="Times New Roman" w:hAnsi="Times New Roman" w:cs="Times New Roman"/>
        </w:rPr>
        <w:t xml:space="preserve"> and require specialized software to present and review</w:t>
      </w:r>
      <w:r w:rsidR="008751C0">
        <w:rPr>
          <w:rFonts w:ascii="Times New Roman" w:hAnsi="Times New Roman" w:cs="Times New Roman"/>
        </w:rPr>
        <w:t xml:space="preserve">. </w:t>
      </w:r>
      <w:r w:rsidRPr="006E2BCA">
        <w:rPr>
          <w:rFonts w:ascii="Times New Roman" w:hAnsi="Times New Roman" w:cs="Times New Roman"/>
        </w:rPr>
        <w:t>The effort can be burdensome if not managed effectively.</w:t>
      </w:r>
    </w:p>
    <w:p w:rsidR="00443B0E" w:rsidRPr="006E2BCA" w:rsidP="002F3C90" w14:paraId="50C8A215" w14:textId="77777777">
      <w:pPr>
        <w:pStyle w:val="ListParagraph"/>
        <w:widowControl w:val="0"/>
        <w:autoSpaceDE w:val="0"/>
        <w:autoSpaceDN w:val="0"/>
        <w:spacing w:after="0" w:line="240" w:lineRule="auto"/>
        <w:contextualSpacing w:val="0"/>
        <w:rPr>
          <w:rFonts w:ascii="Times New Roman" w:hAnsi="Times New Roman" w:cs="Times New Roman"/>
        </w:rPr>
      </w:pPr>
    </w:p>
    <w:p w:rsidR="008F2145" w:rsidP="002F3C90" w14:paraId="39755A6F" w14:textId="0701EBBD">
      <w:pPr>
        <w:pStyle w:val="ListParagraph"/>
        <w:numPr>
          <w:ilvl w:val="0"/>
          <w:numId w:val="50"/>
        </w:numPr>
        <w:autoSpaceDE w:val="0"/>
        <w:autoSpaceDN w:val="0"/>
        <w:spacing w:after="0" w:line="240" w:lineRule="auto"/>
        <w:ind w:left="720" w:hanging="270"/>
        <w:contextualSpacing w:val="0"/>
        <w:rPr>
          <w:rFonts w:ascii="Times New Roman" w:hAnsi="Times New Roman" w:cs="Times New Roman"/>
        </w:rPr>
      </w:pPr>
      <w:r w:rsidRPr="006E2BCA">
        <w:rPr>
          <w:rFonts w:ascii="Times New Roman" w:hAnsi="Times New Roman" w:cs="Times New Roman"/>
        </w:rPr>
        <w:t>Time interdependencies</w:t>
      </w:r>
      <w:r w:rsidR="00A81707">
        <w:rPr>
          <w:rFonts w:ascii="Times New Roman" w:hAnsi="Times New Roman" w:cs="Times New Roman"/>
        </w:rPr>
        <w:t>—</w:t>
      </w:r>
      <w:r w:rsidRPr="006E2BCA">
        <w:rPr>
          <w:rFonts w:ascii="Times New Roman" w:hAnsi="Times New Roman" w:cs="Times New Roman"/>
        </w:rPr>
        <w:t>FTA deals only with binary states (i.e.,</w:t>
      </w:r>
      <w:r w:rsidR="00A81707">
        <w:rPr>
          <w:rFonts w:ascii="Times New Roman" w:hAnsi="Times New Roman" w:cs="Times New Roman"/>
        </w:rPr>
        <w:t> </w:t>
      </w:r>
      <w:r w:rsidRPr="006E2BCA">
        <w:rPr>
          <w:rFonts w:ascii="Times New Roman" w:hAnsi="Times New Roman" w:cs="Times New Roman"/>
        </w:rPr>
        <w:t xml:space="preserve">success/failure) and only examines one top event; </w:t>
      </w:r>
      <w:r w:rsidR="00A81707">
        <w:rPr>
          <w:rFonts w:ascii="Times New Roman" w:hAnsi="Times New Roman" w:cs="Times New Roman"/>
        </w:rPr>
        <w:t xml:space="preserve">it does not address </w:t>
      </w:r>
      <w:r w:rsidRPr="006E2BCA">
        <w:rPr>
          <w:rFonts w:ascii="Times New Roman" w:hAnsi="Times New Roman" w:cs="Times New Roman"/>
        </w:rPr>
        <w:t>the time dependencies.</w:t>
      </w:r>
    </w:p>
    <w:p w:rsidR="00443B0E" w:rsidRPr="006E2BCA" w:rsidP="002F3C90" w14:paraId="6A52C44C" w14:textId="77777777">
      <w:pPr>
        <w:pStyle w:val="ListParagraph"/>
        <w:autoSpaceDE w:val="0"/>
        <w:autoSpaceDN w:val="0"/>
        <w:spacing w:after="0" w:line="240" w:lineRule="auto"/>
        <w:contextualSpacing w:val="0"/>
        <w:rPr>
          <w:rFonts w:ascii="Times New Roman" w:hAnsi="Times New Roman" w:cs="Times New Roman"/>
        </w:rPr>
      </w:pPr>
    </w:p>
    <w:p w:rsidR="008F2145" w:rsidRPr="004D2EC8" w:rsidP="002F3C90" w14:paraId="661B2B64" w14:textId="6FBD6EF3">
      <w:pPr>
        <w:pStyle w:val="BodyText"/>
        <w:keepNext/>
        <w:ind w:left="0" w:right="846"/>
        <w:rPr>
          <w:rFonts w:ascii="Times New Roman" w:hAnsi="Times New Roman" w:cs="Times New Roman"/>
          <w:b/>
          <w:bCs/>
          <w:u w:val="single"/>
        </w:rPr>
      </w:pPr>
      <w:r w:rsidRPr="00724F3B">
        <w:rPr>
          <w:rFonts w:ascii="Times New Roman" w:hAnsi="Times New Roman" w:cs="Times New Roman"/>
          <w:b/>
        </w:rPr>
        <w:t xml:space="preserve">A-2.2 </w:t>
      </w:r>
      <w:r w:rsidRPr="00724F3B">
        <w:rPr>
          <w:rFonts w:ascii="Times New Roman" w:hAnsi="Times New Roman" w:cs="Times New Roman"/>
          <w:b/>
        </w:rPr>
        <w:tab/>
      </w:r>
      <w:r w:rsidRPr="004D2EC8">
        <w:rPr>
          <w:rFonts w:ascii="Times New Roman" w:hAnsi="Times New Roman" w:cs="Times New Roman"/>
          <w:b/>
          <w:bCs/>
          <w:u w:val="single"/>
        </w:rPr>
        <w:t>Ma</w:t>
      </w:r>
      <w:r w:rsidRPr="004D2EC8" w:rsidR="00F85EDD">
        <w:rPr>
          <w:rFonts w:ascii="Times New Roman" w:hAnsi="Times New Roman" w:cs="Times New Roman"/>
          <w:b/>
          <w:bCs/>
          <w:u w:val="single"/>
        </w:rPr>
        <w:t>s</w:t>
      </w:r>
      <w:r w:rsidRPr="004D2EC8">
        <w:rPr>
          <w:rFonts w:ascii="Times New Roman" w:hAnsi="Times New Roman" w:cs="Times New Roman"/>
          <w:b/>
          <w:bCs/>
          <w:u w:val="single"/>
        </w:rPr>
        <w:t>ter Logic Diagram</w:t>
      </w:r>
    </w:p>
    <w:p w:rsidR="008F2145" w:rsidRPr="006E2BCA" w:rsidP="002F3C90" w14:paraId="3B5C8EB8" w14:textId="77777777">
      <w:pPr>
        <w:keepNext/>
        <w:spacing w:after="0" w:line="240" w:lineRule="auto"/>
        <w:rPr>
          <w:rFonts w:ascii="Times New Roman" w:hAnsi="Times New Roman" w:cs="Times New Roman"/>
        </w:rPr>
      </w:pPr>
    </w:p>
    <w:p w:rsidR="008F2145" w:rsidRPr="006E2BCA" w:rsidP="002F3C90" w14:paraId="68DBF831" w14:textId="7758FC1A">
      <w:pPr>
        <w:keepNext/>
        <w:spacing w:after="0" w:line="240" w:lineRule="auto"/>
        <w:ind w:firstLine="720"/>
        <w:rPr>
          <w:rFonts w:ascii="Times New Roman" w:hAnsi="Times New Roman" w:cs="Times New Roman"/>
        </w:rPr>
      </w:pPr>
      <w:r w:rsidRPr="006E2BCA">
        <w:rPr>
          <w:rFonts w:ascii="Times New Roman" w:hAnsi="Times New Roman" w:cs="Times New Roman"/>
        </w:rPr>
        <w:t>Similar to</w:t>
      </w:r>
      <w:r w:rsidRPr="006E2BCA">
        <w:rPr>
          <w:rFonts w:ascii="Times New Roman" w:hAnsi="Times New Roman" w:cs="Times New Roman"/>
        </w:rPr>
        <w:t xml:space="preserve"> the FTA, MLD is a logic diagram that resembles a fault tree but without </w:t>
      </w:r>
      <w:r w:rsidRPr="006E2BCA">
        <w:rPr>
          <w:rFonts w:ascii="Times New Roman" w:hAnsi="Times New Roman" w:cs="Times New Roman"/>
        </w:rPr>
        <w:t>the mathematical</w:t>
      </w:r>
      <w:r w:rsidRPr="006E2BCA">
        <w:rPr>
          <w:rFonts w:ascii="Times New Roman" w:hAnsi="Times New Roman" w:cs="Times New Roman"/>
        </w:rPr>
        <w:t xml:space="preserve"> properties</w:t>
      </w:r>
      <w:r w:rsidR="008751C0">
        <w:rPr>
          <w:rFonts w:ascii="Times New Roman" w:hAnsi="Times New Roman" w:cs="Times New Roman"/>
        </w:rPr>
        <w:t xml:space="preserve">. </w:t>
      </w:r>
      <w:r w:rsidRPr="006E2BCA">
        <w:rPr>
          <w:rFonts w:ascii="Times New Roman" w:hAnsi="Times New Roman" w:cs="Times New Roman"/>
        </w:rPr>
        <w:t>It is a hierarchical, top</w:t>
      </w:r>
      <w:r w:rsidR="00CE4AA8">
        <w:rPr>
          <w:rFonts w:ascii="Times New Roman" w:hAnsi="Times New Roman" w:cs="Times New Roman"/>
        </w:rPr>
        <w:t>-</w:t>
      </w:r>
      <w:r w:rsidRPr="006E2BCA">
        <w:rPr>
          <w:rFonts w:ascii="Times New Roman" w:hAnsi="Times New Roman" w:cs="Times New Roman"/>
        </w:rPr>
        <w:t>down, logical decomposition of the general undesired end state, which is shown on the top of the tree, proceeding to increasingly detailed event descriptions at lower tiers and displaying basic IEs</w:t>
      </w:r>
      <w:r w:rsidR="008751C0">
        <w:rPr>
          <w:rFonts w:ascii="Times New Roman" w:hAnsi="Times New Roman" w:cs="Times New Roman"/>
        </w:rPr>
        <w:t xml:space="preserve">. </w:t>
      </w:r>
      <w:r w:rsidRPr="006E2BCA">
        <w:rPr>
          <w:rFonts w:ascii="Times New Roman" w:hAnsi="Times New Roman" w:cs="Times New Roman"/>
        </w:rPr>
        <w:t xml:space="preserve">MLD </w:t>
      </w:r>
      <w:r w:rsidR="00A81707">
        <w:rPr>
          <w:rFonts w:ascii="Times New Roman" w:hAnsi="Times New Roman" w:cs="Times New Roman"/>
        </w:rPr>
        <w:t>begins</w:t>
      </w:r>
      <w:r w:rsidRPr="006E2BCA" w:rsidR="00A81707">
        <w:rPr>
          <w:rFonts w:ascii="Times New Roman" w:hAnsi="Times New Roman" w:cs="Times New Roman"/>
        </w:rPr>
        <w:t xml:space="preserve"> </w:t>
      </w:r>
      <w:r w:rsidRPr="006E2BCA">
        <w:rPr>
          <w:rFonts w:ascii="Times New Roman" w:hAnsi="Times New Roman" w:cs="Times New Roman"/>
        </w:rPr>
        <w:t>with a top event in which the end</w:t>
      </w:r>
      <w:r w:rsidR="00CE4AA8">
        <w:rPr>
          <w:rFonts w:ascii="Times New Roman" w:hAnsi="Times New Roman" w:cs="Times New Roman"/>
        </w:rPr>
        <w:t xml:space="preserve"> </w:t>
      </w:r>
      <w:r w:rsidRPr="006E2BCA">
        <w:rPr>
          <w:rFonts w:ascii="Times New Roman" w:hAnsi="Times New Roman" w:cs="Times New Roman"/>
        </w:rPr>
        <w:t>state is the event of concern and grows into a plant</w:t>
      </w:r>
      <w:r w:rsidR="00A81707">
        <w:rPr>
          <w:rFonts w:ascii="Times New Roman" w:hAnsi="Times New Roman" w:cs="Times New Roman"/>
        </w:rPr>
        <w:t>-</w:t>
      </w:r>
      <w:r w:rsidRPr="006E2BCA">
        <w:rPr>
          <w:rFonts w:ascii="Times New Roman" w:hAnsi="Times New Roman" w:cs="Times New Roman"/>
        </w:rPr>
        <w:t xml:space="preserve">level logic structure with IEs as the fundamental input </w:t>
      </w:r>
      <w:r w:rsidRPr="006E2BCA">
        <w:rPr>
          <w:rFonts w:ascii="Times New Roman" w:hAnsi="Times New Roman" w:cs="Times New Roman"/>
        </w:rPr>
        <w:t>events</w:t>
      </w:r>
      <w:r w:rsidRPr="006E2BCA">
        <w:rPr>
          <w:rFonts w:ascii="Times New Roman" w:hAnsi="Times New Roman" w:cs="Times New Roman"/>
        </w:rPr>
        <w:t>.</w:t>
      </w:r>
    </w:p>
    <w:p w:rsidR="001C15D0" w:rsidP="002F3C90" w14:paraId="675ECCDB" w14:textId="77777777">
      <w:pPr>
        <w:spacing w:after="0" w:line="240" w:lineRule="auto"/>
        <w:ind w:firstLine="720"/>
        <w:rPr>
          <w:rFonts w:ascii="Times New Roman" w:hAnsi="Times New Roman" w:cs="Times New Roman"/>
        </w:rPr>
      </w:pPr>
    </w:p>
    <w:p w:rsidR="008F2145" w:rsidRPr="006E2BCA" w:rsidP="002F3C90" w14:paraId="59CD575A" w14:textId="420CF99A">
      <w:pPr>
        <w:spacing w:after="0" w:line="240" w:lineRule="auto"/>
        <w:ind w:firstLine="720"/>
        <w:rPr>
          <w:rFonts w:ascii="Times New Roman" w:hAnsi="Times New Roman" w:cs="Times New Roman"/>
        </w:rPr>
      </w:pPr>
      <w:r w:rsidRPr="00C84D85">
        <w:rPr>
          <w:rFonts w:ascii="Times New Roman" w:hAnsi="Times New Roman" w:cs="Times New Roman"/>
        </w:rPr>
        <w:t>NUREG</w:t>
      </w:r>
      <w:r w:rsidRPr="00C84D85" w:rsidR="00A81707">
        <w:rPr>
          <w:rFonts w:ascii="Times New Roman" w:hAnsi="Times New Roman" w:cs="Times New Roman"/>
        </w:rPr>
        <w:noBreakHyphen/>
      </w:r>
      <w:r w:rsidRPr="00C84D85">
        <w:rPr>
          <w:rFonts w:ascii="Times New Roman" w:hAnsi="Times New Roman" w:cs="Times New Roman"/>
        </w:rPr>
        <w:t>2122</w:t>
      </w:r>
      <w:r w:rsidRPr="00C84D85" w:rsidR="00C84D85">
        <w:rPr>
          <w:rFonts w:ascii="Times New Roman" w:hAnsi="Times New Roman" w:cs="Times New Roman"/>
        </w:rPr>
        <w:t xml:space="preserve"> (Ref. A.1</w:t>
      </w:r>
      <w:r w:rsidR="0012200F">
        <w:rPr>
          <w:rFonts w:ascii="Times New Roman" w:hAnsi="Times New Roman" w:cs="Times New Roman"/>
        </w:rPr>
        <w:t>3</w:t>
      </w:r>
      <w:r w:rsidRPr="00C84D85" w:rsidR="00C84D85">
        <w:rPr>
          <w:rFonts w:ascii="Times New Roman" w:hAnsi="Times New Roman" w:cs="Times New Roman"/>
        </w:rPr>
        <w:t>),</w:t>
      </w:r>
      <w:r w:rsidRPr="006E2BCA">
        <w:rPr>
          <w:rFonts w:ascii="Times New Roman" w:hAnsi="Times New Roman" w:cs="Times New Roman"/>
        </w:rPr>
        <w:t xml:space="preserve"> describes MLD as a graphical model that can be constructed to guide the selection of IEs</w:t>
      </w:r>
      <w:r w:rsidR="008751C0">
        <w:rPr>
          <w:rFonts w:ascii="Times New Roman" w:hAnsi="Times New Roman" w:cs="Times New Roman"/>
        </w:rPr>
        <w:t xml:space="preserve">. </w:t>
      </w:r>
      <w:r w:rsidRPr="006E2BCA">
        <w:rPr>
          <w:rFonts w:ascii="Times New Roman" w:eastAsia="ArialMT" w:hAnsi="Times New Roman" w:cs="Times New Roman"/>
        </w:rPr>
        <w:t>An MLD is developed using fault tree logic to show general categories of IEs proceeding to increasingly detailed information at lower levels, with specific IEs presented at the bottom level</w:t>
      </w:r>
      <w:r w:rsidR="008751C0">
        <w:rPr>
          <w:rFonts w:ascii="Times New Roman" w:eastAsia="ArialMT" w:hAnsi="Times New Roman" w:cs="Times New Roman"/>
        </w:rPr>
        <w:t xml:space="preserve">. </w:t>
      </w:r>
      <w:r w:rsidRPr="006E2BCA">
        <w:rPr>
          <w:rFonts w:ascii="Times New Roman" w:eastAsia="ArialMT" w:hAnsi="Times New Roman" w:cs="Times New Roman"/>
        </w:rPr>
        <w:t>In a more general sense, an MLD is a fault tree</w:t>
      </w:r>
      <w:r w:rsidRPr="006E2BCA">
        <w:rPr>
          <w:rFonts w:ascii="Times New Roman" w:hAnsi="Times New Roman" w:cs="Times New Roman"/>
        </w:rPr>
        <w:t xml:space="preserve"> </w:t>
      </w:r>
      <w:r w:rsidRPr="006E2BCA">
        <w:rPr>
          <w:rFonts w:ascii="Times New Roman" w:eastAsia="ArialMT" w:hAnsi="Times New Roman" w:cs="Times New Roman"/>
        </w:rPr>
        <w:t>identifying all the hazards that affect a mission, system, or plant</w:t>
      </w:r>
      <w:r w:rsidR="008751C0">
        <w:rPr>
          <w:rFonts w:ascii="Times New Roman" w:eastAsia="ArialMT" w:hAnsi="Times New Roman" w:cs="Times New Roman"/>
        </w:rPr>
        <w:t>.</w:t>
      </w:r>
      <w:r w:rsidRPr="006E2BCA" w:rsidR="008751C0">
        <w:rPr>
          <w:rFonts w:ascii="Times New Roman" w:hAnsi="Times New Roman" w:cs="Times New Roman"/>
        </w:rPr>
        <w:t xml:space="preserve"> </w:t>
      </w:r>
      <w:r w:rsidRPr="006E2BCA">
        <w:rPr>
          <w:rFonts w:ascii="Times New Roman" w:eastAsia="ArialMT" w:hAnsi="Times New Roman" w:cs="Times New Roman"/>
        </w:rPr>
        <w:t>The difference between an MLD and a fault tree is that a fault tree focuses on</w:t>
      </w:r>
      <w:r w:rsidRPr="006E2BCA">
        <w:rPr>
          <w:rFonts w:ascii="Times New Roman" w:hAnsi="Times New Roman" w:cs="Times New Roman"/>
        </w:rPr>
        <w:t xml:space="preserve"> </w:t>
      </w:r>
      <w:r w:rsidRPr="006E2BCA">
        <w:rPr>
          <w:rFonts w:ascii="Times New Roman" w:eastAsia="ArialMT" w:hAnsi="Times New Roman" w:cs="Times New Roman"/>
        </w:rPr>
        <w:t>accounting for the specific causes leading to failure of a system or group of systems, whereas</w:t>
      </w:r>
      <w:r w:rsidRPr="006E2BCA">
        <w:rPr>
          <w:rFonts w:ascii="Times New Roman" w:hAnsi="Times New Roman" w:cs="Times New Roman"/>
        </w:rPr>
        <w:t xml:space="preserve"> </w:t>
      </w:r>
      <w:r w:rsidRPr="006E2BCA">
        <w:rPr>
          <w:rFonts w:ascii="Times New Roman" w:eastAsia="ArialMT" w:hAnsi="Times New Roman" w:cs="Times New Roman"/>
        </w:rPr>
        <w:t>the MLD focuses on listing the hazards that can affect a top event.</w:t>
      </w:r>
    </w:p>
    <w:p w:rsidR="001C15D0" w:rsidP="002F3C90" w14:paraId="1FC59BB3" w14:textId="77777777">
      <w:pPr>
        <w:spacing w:after="0" w:line="240" w:lineRule="auto"/>
        <w:ind w:firstLine="720"/>
        <w:rPr>
          <w:rFonts w:ascii="Times New Roman" w:hAnsi="Times New Roman" w:cs="Times New Roman"/>
        </w:rPr>
      </w:pPr>
    </w:p>
    <w:p w:rsidR="008F2145" w:rsidRPr="006E2BCA" w:rsidP="002F3C90" w14:paraId="359CF296" w14:textId="45F96EB5">
      <w:pPr>
        <w:spacing w:after="0" w:line="240" w:lineRule="auto"/>
        <w:ind w:firstLine="720"/>
        <w:rPr>
          <w:rFonts w:ascii="Times New Roman" w:hAnsi="Times New Roman" w:cs="Times New Roman"/>
        </w:rPr>
      </w:pPr>
      <w:r w:rsidRPr="007707BA">
        <w:rPr>
          <w:rFonts w:ascii="Times New Roman" w:hAnsi="Times New Roman" w:cs="Times New Roman"/>
        </w:rPr>
        <w:t xml:space="preserve">The </w:t>
      </w:r>
      <w:r w:rsidRPr="007707BA">
        <w:rPr>
          <w:rFonts w:ascii="Times New Roman" w:hAnsi="Times New Roman" w:cs="Times New Roman"/>
        </w:rPr>
        <w:t>A</w:t>
      </w:r>
      <w:r w:rsidRPr="00D15BFC">
        <w:rPr>
          <w:rFonts w:ascii="Times New Roman" w:hAnsi="Times New Roman"/>
        </w:rPr>
        <w:t xml:space="preserve">SME/ANS </w:t>
      </w:r>
      <w:r w:rsidR="00A50342">
        <w:rPr>
          <w:rFonts w:ascii="Times New Roman" w:hAnsi="Times New Roman"/>
        </w:rPr>
        <w:t xml:space="preserve">non-LWR </w:t>
      </w:r>
      <w:r w:rsidRPr="00D15BFC">
        <w:rPr>
          <w:rFonts w:ascii="Times New Roman" w:hAnsi="Times New Roman"/>
        </w:rPr>
        <w:t>PRA standard</w:t>
      </w:r>
      <w:r w:rsidRPr="00F5107C" w:rsidR="00C718FD">
        <w:rPr>
          <w:rFonts w:ascii="Times New Roman" w:hAnsi="Times New Roman" w:cs="Times New Roman"/>
          <w:lang w:val="fr-FR"/>
        </w:rPr>
        <w:t xml:space="preserve">, ASME/ANS </w:t>
      </w:r>
      <w:r w:rsidRPr="00F5107C" w:rsidR="00C718FD">
        <w:rPr>
          <w:rFonts w:ascii="Times New Roman" w:hAnsi="Times New Roman" w:cs="Times New Roman"/>
        </w:rPr>
        <w:t>RA-S-1.4-2021</w:t>
      </w:r>
      <w:r w:rsidR="00C84D85">
        <w:rPr>
          <w:rFonts w:ascii="Times New Roman" w:hAnsi="Times New Roman" w:cs="Times New Roman"/>
        </w:rPr>
        <w:t xml:space="preserve"> (Ref. A.</w:t>
      </w:r>
      <w:r w:rsidR="00A50342">
        <w:rPr>
          <w:rFonts w:ascii="Times New Roman" w:hAnsi="Times New Roman" w:cs="Times New Roman"/>
        </w:rPr>
        <w:t>1)</w:t>
      </w:r>
      <w:r w:rsidR="00C718FD">
        <w:rPr>
          <w:rFonts w:ascii="Times New Roman" w:hAnsi="Times New Roman" w:cs="Times New Roman"/>
        </w:rPr>
        <w:t>,</w:t>
      </w:r>
      <w:r w:rsidR="00567B43">
        <w:rPr>
          <w:rFonts w:ascii="Times New Roman" w:hAnsi="Times New Roman" w:cs="Times New Roman"/>
        </w:rPr>
        <w:t xml:space="preserve"> </w:t>
      </w:r>
      <w:r w:rsidRPr="006E2BCA">
        <w:rPr>
          <w:rFonts w:ascii="Times New Roman" w:hAnsi="Times New Roman" w:cs="Times New Roman"/>
        </w:rPr>
        <w:t>defines MLD as a summary fault tree constructed to guide the identification and grouping of IEs and their associated sequences to ensure completeness.</w:t>
      </w:r>
    </w:p>
    <w:p w:rsidR="001C15D0" w:rsidP="002F3C90" w14:paraId="5165A27E" w14:textId="77777777">
      <w:pPr>
        <w:spacing w:after="0" w:line="240" w:lineRule="auto"/>
        <w:ind w:firstLine="720"/>
        <w:rPr>
          <w:rFonts w:ascii="Times New Roman" w:hAnsi="Times New Roman" w:cs="Times New Roman"/>
        </w:rPr>
      </w:pPr>
    </w:p>
    <w:p w:rsidR="004A4760" w:rsidP="002F3C90" w14:paraId="5AE9D26C" w14:textId="2630B191">
      <w:pPr>
        <w:spacing w:after="0" w:line="240" w:lineRule="auto"/>
        <w:ind w:firstLine="720"/>
        <w:rPr>
          <w:b/>
          <w:bCs/>
        </w:rPr>
        <w:sectPr w:rsidSect="00F67F12">
          <w:headerReference w:type="even" r:id="rId21"/>
          <w:headerReference w:type="default" r:id="rId22"/>
          <w:footerReference w:type="default" r:id="rId23"/>
          <w:headerReference w:type="first" r:id="rId24"/>
          <w:footerReference w:type="first" r:id="rId25"/>
          <w:type w:val="continuous"/>
          <w:pgSz w:w="12240" w:h="15840"/>
          <w:pgMar w:top="1440" w:right="1440" w:bottom="1440" w:left="1440" w:header="720" w:footer="720" w:gutter="0"/>
          <w:pgNumType w:start="0"/>
          <w:cols w:space="720"/>
          <w:titlePg/>
          <w:docGrid w:linePitch="360"/>
        </w:sectPr>
      </w:pPr>
      <w:r w:rsidRPr="003B086A">
        <w:rPr>
          <w:rFonts w:ascii="Times New Roman" w:hAnsi="Times New Roman" w:cs="Times New Roman"/>
        </w:rPr>
        <w:t>NUREG/CR</w:t>
      </w:r>
      <w:r w:rsidRPr="003B086A" w:rsidR="00A81707">
        <w:rPr>
          <w:rFonts w:ascii="Times New Roman" w:hAnsi="Times New Roman" w:cs="Times New Roman"/>
        </w:rPr>
        <w:noBreakHyphen/>
      </w:r>
      <w:r w:rsidRPr="003B086A">
        <w:rPr>
          <w:rFonts w:ascii="Times New Roman" w:hAnsi="Times New Roman" w:cs="Times New Roman"/>
        </w:rPr>
        <w:t>2300</w:t>
      </w:r>
      <w:r w:rsidRPr="00464F21" w:rsidR="00464F21">
        <w:rPr>
          <w:rFonts w:ascii="Times New Roman" w:hAnsi="Times New Roman" w:cs="Times New Roman"/>
        </w:rPr>
        <w:t xml:space="preserve"> (Ref. A.3)</w:t>
      </w:r>
      <w:r w:rsidR="00464F21">
        <w:rPr>
          <w:rFonts w:ascii="Times New Roman" w:hAnsi="Times New Roman" w:cs="Times New Roman"/>
        </w:rPr>
        <w:t xml:space="preserve">, </w:t>
      </w:r>
      <w:r w:rsidRPr="006E2BCA">
        <w:rPr>
          <w:rFonts w:ascii="Times New Roman" w:hAnsi="Times New Roman" w:cs="Times New Roman"/>
        </w:rPr>
        <w:t>states that the MLD can be constructed to guide the selection and grouping of IEs and to ensure completeness</w:t>
      </w:r>
      <w:r w:rsidR="008751C0">
        <w:rPr>
          <w:rFonts w:ascii="Times New Roman" w:hAnsi="Times New Roman" w:cs="Times New Roman"/>
        </w:rPr>
        <w:t xml:space="preserve">. </w:t>
      </w:r>
      <w:r w:rsidRPr="006E2BCA">
        <w:rPr>
          <w:rFonts w:ascii="Times New Roman" w:hAnsi="Times New Roman" w:cs="Times New Roman"/>
        </w:rPr>
        <w:t>The events in the MLD are identified by the level they appear in the tree, with the top being Level</w:t>
      </w:r>
      <w:r w:rsidR="00A81707">
        <w:rPr>
          <w:rFonts w:ascii="Times New Roman" w:hAnsi="Times New Roman" w:cs="Times New Roman"/>
        </w:rPr>
        <w:t> </w:t>
      </w:r>
      <w:r w:rsidRPr="006E2BCA">
        <w:rPr>
          <w:rFonts w:ascii="Times New Roman" w:hAnsi="Times New Roman" w:cs="Times New Roman"/>
        </w:rPr>
        <w:t>1</w:t>
      </w:r>
      <w:r w:rsidR="008751C0">
        <w:rPr>
          <w:rFonts w:ascii="Times New Roman" w:hAnsi="Times New Roman" w:cs="Times New Roman"/>
        </w:rPr>
        <w:t xml:space="preserve">. </w:t>
      </w:r>
      <w:r w:rsidRPr="006E2BCA">
        <w:rPr>
          <w:rFonts w:ascii="Times New Roman" w:hAnsi="Times New Roman" w:cs="Times New Roman"/>
        </w:rPr>
        <w:t>The use of levels is an ordering technique to assist in locating events</w:t>
      </w:r>
      <w:r w:rsidR="008751C0">
        <w:rPr>
          <w:rFonts w:ascii="Times New Roman" w:hAnsi="Times New Roman" w:cs="Times New Roman"/>
        </w:rPr>
        <w:t xml:space="preserve">. </w:t>
      </w:r>
      <w:r w:rsidRPr="006E2BCA">
        <w:rPr>
          <w:rFonts w:ascii="Times New Roman" w:hAnsi="Times New Roman" w:cs="Times New Roman"/>
        </w:rPr>
        <w:t>The strategy is to achieve completeness of events by level</w:t>
      </w:r>
      <w:r w:rsidR="008751C0">
        <w:rPr>
          <w:rFonts w:ascii="Times New Roman" w:hAnsi="Times New Roman" w:cs="Times New Roman"/>
        </w:rPr>
        <w:t xml:space="preserve">. </w:t>
      </w:r>
      <w:r w:rsidR="00A81707">
        <w:rPr>
          <w:rFonts w:ascii="Times New Roman" w:hAnsi="Times New Roman" w:cs="Times New Roman"/>
        </w:rPr>
        <w:t>The l</w:t>
      </w:r>
      <w:r w:rsidRPr="006E2BCA">
        <w:rPr>
          <w:rFonts w:ascii="Times New Roman" w:hAnsi="Times New Roman" w:cs="Times New Roman"/>
        </w:rPr>
        <w:t xml:space="preserve">imitations of MLD are </w:t>
      </w:r>
      <w:r w:rsidRPr="006E2BCA">
        <w:rPr>
          <w:rFonts w:ascii="Times New Roman" w:hAnsi="Times New Roman" w:cs="Times New Roman"/>
        </w:rPr>
        <w:t>similar to</w:t>
      </w:r>
      <w:r w:rsidRPr="006E2BCA">
        <w:rPr>
          <w:rFonts w:ascii="Times New Roman" w:hAnsi="Times New Roman" w:cs="Times New Roman"/>
        </w:rPr>
        <w:t xml:space="preserve"> those described in </w:t>
      </w:r>
      <w:r w:rsidR="00A81707">
        <w:rPr>
          <w:rFonts w:ascii="Times New Roman" w:hAnsi="Times New Roman" w:cs="Times New Roman"/>
        </w:rPr>
        <w:t xml:space="preserve">the </w:t>
      </w:r>
      <w:r w:rsidRPr="006E2BCA">
        <w:rPr>
          <w:rFonts w:ascii="Times New Roman" w:hAnsi="Times New Roman" w:cs="Times New Roman"/>
        </w:rPr>
        <w:t>FTA discussion</w:t>
      </w:r>
      <w:r w:rsidR="003B086A">
        <w:rPr>
          <w:rFonts w:ascii="Times New Roman" w:hAnsi="Times New Roman" w:cs="Times New Roman"/>
        </w:rPr>
        <w:t>.</w:t>
      </w:r>
    </w:p>
    <w:p w:rsidR="005F1018" w:rsidRPr="001E26FD" w:rsidP="002F3C90" w14:paraId="71D44E42" w14:textId="5DD10148">
      <w:pPr>
        <w:pStyle w:val="Heading1"/>
        <w:spacing w:after="280" w:line="240" w:lineRule="auto"/>
        <w:rPr>
          <w:b w:val="0"/>
        </w:rPr>
      </w:pPr>
      <w:r>
        <w:t>APPENDIX A</w:t>
      </w:r>
      <w:r w:rsidR="006B1C9D">
        <w:t xml:space="preserve"> </w:t>
      </w:r>
      <w:r w:rsidRPr="007C79DA" w:rsidR="00E00823">
        <w:t>REFERENCES</w:t>
      </w:r>
      <w:r>
        <w:rPr>
          <w:rStyle w:val="FootnoteReference"/>
        </w:rPr>
        <w:footnoteReference w:id="8"/>
      </w:r>
    </w:p>
    <w:p w:rsidR="002005A2" w:rsidRPr="00443B0E" w:rsidP="002F3C90" w14:paraId="1AF931E3" w14:textId="07ED3CC4">
      <w:pPr>
        <w:pStyle w:val="BodyText"/>
        <w:keepNext/>
        <w:widowControl/>
        <w:numPr>
          <w:ilvl w:val="0"/>
          <w:numId w:val="51"/>
        </w:numPr>
        <w:ind w:left="720" w:right="810" w:hanging="720"/>
        <w:rPr>
          <w:rFonts w:ascii="Times New Roman" w:hAnsi="Times New Roman" w:cs="Times New Roman"/>
          <w:color w:val="0563C1" w:themeColor="hyperlink"/>
          <w:u w:val="single"/>
        </w:rPr>
      </w:pPr>
      <w:r w:rsidRPr="007614F7">
        <w:rPr>
          <w:rFonts w:ascii="Times New Roman" w:hAnsi="Times New Roman" w:cs="Times New Roman"/>
        </w:rPr>
        <w:t>A</w:t>
      </w:r>
      <w:r w:rsidRPr="007614F7" w:rsidR="00DB76B5">
        <w:rPr>
          <w:rFonts w:ascii="Times New Roman" w:hAnsi="Times New Roman" w:cs="Times New Roman"/>
        </w:rPr>
        <w:t xml:space="preserve">merican </w:t>
      </w:r>
      <w:r w:rsidRPr="007614F7">
        <w:rPr>
          <w:rFonts w:ascii="Times New Roman" w:hAnsi="Times New Roman" w:cs="Times New Roman"/>
        </w:rPr>
        <w:t>S</w:t>
      </w:r>
      <w:r w:rsidRPr="007614F7" w:rsidR="00DB76B5">
        <w:rPr>
          <w:rFonts w:ascii="Times New Roman" w:hAnsi="Times New Roman" w:cs="Times New Roman"/>
        </w:rPr>
        <w:t xml:space="preserve">ociety of </w:t>
      </w:r>
      <w:r w:rsidRPr="007614F7">
        <w:rPr>
          <w:rFonts w:ascii="Times New Roman" w:hAnsi="Times New Roman" w:cs="Times New Roman"/>
        </w:rPr>
        <w:t>M</w:t>
      </w:r>
      <w:r w:rsidRPr="007614F7" w:rsidR="00DB76B5">
        <w:rPr>
          <w:rFonts w:ascii="Times New Roman" w:hAnsi="Times New Roman" w:cs="Times New Roman"/>
        </w:rPr>
        <w:t>echanical Engineers (ASME)</w:t>
      </w:r>
      <w:r w:rsidRPr="007614F7">
        <w:rPr>
          <w:rFonts w:ascii="Times New Roman" w:hAnsi="Times New Roman" w:cs="Times New Roman"/>
        </w:rPr>
        <w:t>/A</w:t>
      </w:r>
      <w:r w:rsidRPr="007614F7" w:rsidR="00DB76B5">
        <w:rPr>
          <w:rFonts w:ascii="Times New Roman" w:hAnsi="Times New Roman" w:cs="Times New Roman"/>
        </w:rPr>
        <w:t xml:space="preserve">merican </w:t>
      </w:r>
      <w:r w:rsidRPr="007614F7">
        <w:rPr>
          <w:rFonts w:ascii="Times New Roman" w:hAnsi="Times New Roman" w:cs="Times New Roman"/>
        </w:rPr>
        <w:t>N</w:t>
      </w:r>
      <w:r w:rsidRPr="007614F7" w:rsidR="00DB76B5">
        <w:rPr>
          <w:rFonts w:ascii="Times New Roman" w:hAnsi="Times New Roman" w:cs="Times New Roman"/>
        </w:rPr>
        <w:t xml:space="preserve">uclear </w:t>
      </w:r>
      <w:r w:rsidRPr="007614F7">
        <w:rPr>
          <w:rFonts w:ascii="Times New Roman" w:hAnsi="Times New Roman" w:cs="Times New Roman"/>
        </w:rPr>
        <w:t>S</w:t>
      </w:r>
      <w:r w:rsidRPr="007614F7" w:rsidR="00DB76B5">
        <w:rPr>
          <w:rFonts w:ascii="Times New Roman" w:hAnsi="Times New Roman" w:cs="Times New Roman"/>
        </w:rPr>
        <w:t>ociety (ANS)</w:t>
      </w:r>
      <w:r w:rsidRPr="007614F7">
        <w:rPr>
          <w:rFonts w:ascii="Times New Roman" w:hAnsi="Times New Roman" w:cs="Times New Roman"/>
        </w:rPr>
        <w:t xml:space="preserve"> RA</w:t>
      </w:r>
      <w:r w:rsidRPr="007614F7" w:rsidR="00F9761A">
        <w:rPr>
          <w:rFonts w:ascii="Times New Roman" w:hAnsi="Times New Roman" w:cs="Times New Roman"/>
        </w:rPr>
        <w:noBreakHyphen/>
      </w:r>
      <w:r w:rsidRPr="007614F7">
        <w:rPr>
          <w:rFonts w:ascii="Times New Roman" w:hAnsi="Times New Roman" w:cs="Times New Roman"/>
        </w:rPr>
        <w:t>S</w:t>
      </w:r>
      <w:r w:rsidRPr="007614F7" w:rsidR="00F9761A">
        <w:rPr>
          <w:rFonts w:ascii="Times New Roman" w:hAnsi="Times New Roman" w:cs="Times New Roman"/>
        </w:rPr>
        <w:noBreakHyphen/>
      </w:r>
      <w:r w:rsidRPr="007614F7">
        <w:rPr>
          <w:rFonts w:ascii="Times New Roman" w:hAnsi="Times New Roman" w:cs="Times New Roman"/>
        </w:rPr>
        <w:t>1.4</w:t>
      </w:r>
      <w:r w:rsidRPr="007614F7" w:rsidR="00F9761A">
        <w:rPr>
          <w:rFonts w:ascii="Times New Roman" w:hAnsi="Times New Roman" w:cs="Times New Roman"/>
        </w:rPr>
        <w:noBreakHyphen/>
      </w:r>
      <w:r w:rsidRPr="007614F7">
        <w:rPr>
          <w:rFonts w:ascii="Times New Roman" w:hAnsi="Times New Roman" w:cs="Times New Roman"/>
        </w:rPr>
        <w:t>2021, “Probabilistic Risk Assessment Standard for Advanced Non-Light Water Reactor Nuclear Power Plants,” American Society of Mechanical Engineers and American Nuclear Society, New York, N</w:t>
      </w:r>
      <w:r w:rsidRPr="007614F7" w:rsidR="00F9761A">
        <w:rPr>
          <w:rFonts w:ascii="Times New Roman" w:hAnsi="Times New Roman" w:cs="Times New Roman"/>
        </w:rPr>
        <w:t xml:space="preserve">ew </w:t>
      </w:r>
      <w:r w:rsidRPr="007614F7">
        <w:rPr>
          <w:rFonts w:ascii="Times New Roman" w:hAnsi="Times New Roman" w:cs="Times New Roman"/>
        </w:rPr>
        <w:t>Y</w:t>
      </w:r>
      <w:r w:rsidRPr="007614F7" w:rsidR="00F9761A">
        <w:rPr>
          <w:rFonts w:ascii="Times New Roman" w:hAnsi="Times New Roman" w:cs="Times New Roman"/>
        </w:rPr>
        <w:t>ork</w:t>
      </w:r>
      <w:r w:rsidRPr="007614F7">
        <w:rPr>
          <w:rFonts w:ascii="Times New Roman" w:hAnsi="Times New Roman" w:cs="Times New Roman"/>
        </w:rPr>
        <w:t>, 2021.</w:t>
      </w:r>
      <w:r>
        <w:rPr>
          <w:rStyle w:val="FootnoteReference"/>
          <w:rFonts w:ascii="Times New Roman" w:hAnsi="Times New Roman" w:cs="Times New Roman"/>
        </w:rPr>
        <w:footnoteReference w:id="9"/>
      </w:r>
    </w:p>
    <w:p w:rsidR="00443B0E" w:rsidRPr="007614F7" w:rsidP="002F3C90" w14:paraId="5F1AE11B" w14:textId="77777777">
      <w:pPr>
        <w:pStyle w:val="BodyText"/>
        <w:keepNext/>
        <w:widowControl/>
        <w:ind w:left="720" w:right="810"/>
        <w:rPr>
          <w:rFonts w:ascii="Times New Roman" w:hAnsi="Times New Roman" w:cs="Times New Roman"/>
          <w:color w:val="0563C1" w:themeColor="hyperlink"/>
          <w:u w:val="single"/>
        </w:rPr>
      </w:pPr>
    </w:p>
    <w:p w:rsidR="00C561C4" w:rsidRPr="00443B0E" w:rsidP="002F3C90" w14:paraId="6F6F2A05" w14:textId="5EF07041">
      <w:pPr>
        <w:pStyle w:val="BodyText"/>
        <w:numPr>
          <w:ilvl w:val="0"/>
          <w:numId w:val="51"/>
        </w:numPr>
        <w:ind w:left="720" w:right="846" w:hanging="720"/>
        <w:rPr>
          <w:rFonts w:asciiTheme="minorHAnsi" w:eastAsiaTheme="minorEastAsia" w:hAnsiTheme="minorHAnsi" w:cstheme="minorBidi"/>
        </w:rPr>
      </w:pPr>
      <w:r w:rsidRPr="007614F7">
        <w:rPr>
          <w:rFonts w:ascii="Times New Roman" w:hAnsi="Times New Roman" w:cs="Times New Roman"/>
        </w:rPr>
        <w:t>U.S. Nuclear Regulatory Commission (</w:t>
      </w:r>
      <w:r w:rsidRPr="007614F7" w:rsidR="00A65A83">
        <w:rPr>
          <w:rFonts w:ascii="Times New Roman" w:hAnsi="Times New Roman" w:cs="Times New Roman"/>
        </w:rPr>
        <w:t>N</w:t>
      </w:r>
      <w:r w:rsidRPr="007614F7" w:rsidR="004772F9">
        <w:rPr>
          <w:rFonts w:ascii="Times New Roman" w:hAnsi="Times New Roman" w:cs="Times New Roman"/>
        </w:rPr>
        <w:t>RC</w:t>
      </w:r>
      <w:r w:rsidRPr="007614F7">
        <w:rPr>
          <w:rFonts w:ascii="Times New Roman" w:hAnsi="Times New Roman" w:cs="Times New Roman"/>
        </w:rPr>
        <w:t>)</w:t>
      </w:r>
      <w:r w:rsidRPr="007614F7" w:rsidR="004772F9">
        <w:rPr>
          <w:rFonts w:ascii="Times New Roman" w:hAnsi="Times New Roman" w:cs="Times New Roman"/>
        </w:rPr>
        <w:t xml:space="preserve">, </w:t>
      </w:r>
      <w:r w:rsidRPr="007614F7" w:rsidR="00BB5A68">
        <w:rPr>
          <w:rFonts w:ascii="Times New Roman" w:hAnsi="Times New Roman" w:cs="Times New Roman"/>
        </w:rPr>
        <w:t>RG</w:t>
      </w:r>
      <w:r w:rsidRPr="007614F7">
        <w:rPr>
          <w:rFonts w:ascii="Times New Roman" w:hAnsi="Times New Roman" w:cs="Times New Roman"/>
        </w:rPr>
        <w:t> </w:t>
      </w:r>
      <w:r w:rsidRPr="007614F7" w:rsidR="00BB5A68">
        <w:rPr>
          <w:rFonts w:ascii="Times New Roman" w:hAnsi="Times New Roman" w:cs="Times New Roman"/>
        </w:rPr>
        <w:t>1.247</w:t>
      </w:r>
      <w:r w:rsidRPr="007614F7" w:rsidR="00F76665">
        <w:rPr>
          <w:rFonts w:ascii="Times New Roman" w:hAnsi="Times New Roman" w:cs="Times New Roman"/>
        </w:rPr>
        <w:t xml:space="preserve"> (For Trial Use)</w:t>
      </w:r>
      <w:r w:rsidRPr="007614F7" w:rsidR="004772F9">
        <w:rPr>
          <w:rFonts w:ascii="Times New Roman" w:hAnsi="Times New Roman" w:cs="Times New Roman"/>
        </w:rPr>
        <w:t>, “</w:t>
      </w:r>
      <w:r w:rsidRPr="007614F7" w:rsidR="0042697E">
        <w:rPr>
          <w:rFonts w:ascii="Times New Roman" w:hAnsi="Times New Roman" w:cs="Times New Roman"/>
        </w:rPr>
        <w:t>Acceptability of Probabilistic Risk Assessment Results for Non</w:t>
      </w:r>
      <w:r w:rsidRPr="007614F7">
        <w:rPr>
          <w:rFonts w:ascii="Times New Roman" w:hAnsi="Times New Roman" w:cs="Times New Roman"/>
        </w:rPr>
        <w:noBreakHyphen/>
      </w:r>
      <w:r w:rsidRPr="007614F7" w:rsidR="0042697E">
        <w:rPr>
          <w:rFonts w:ascii="Times New Roman" w:hAnsi="Times New Roman" w:cs="Times New Roman"/>
        </w:rPr>
        <w:t>Light</w:t>
      </w:r>
      <w:r w:rsidRPr="007614F7" w:rsidR="009D5C75">
        <w:rPr>
          <w:rFonts w:ascii="Times New Roman" w:hAnsi="Times New Roman" w:cs="Times New Roman"/>
        </w:rPr>
        <w:t>-</w:t>
      </w:r>
      <w:r w:rsidRPr="007614F7" w:rsidR="0042697E">
        <w:rPr>
          <w:rFonts w:ascii="Times New Roman" w:hAnsi="Times New Roman" w:cs="Times New Roman"/>
        </w:rPr>
        <w:t>Water Reactor Risk-Informed Activities</w:t>
      </w:r>
      <w:r w:rsidRPr="007614F7">
        <w:rPr>
          <w:rFonts w:ascii="Times New Roman" w:hAnsi="Times New Roman" w:cs="Times New Roman"/>
        </w:rPr>
        <w:t>,</w:t>
      </w:r>
      <w:r w:rsidRPr="007614F7" w:rsidR="0042697E">
        <w:rPr>
          <w:rFonts w:ascii="Times New Roman" w:hAnsi="Times New Roman" w:cs="Times New Roman"/>
        </w:rPr>
        <w:t>”</w:t>
      </w:r>
      <w:r w:rsidRPr="007614F7">
        <w:rPr>
          <w:rFonts w:ascii="Times New Roman" w:hAnsi="Times New Roman" w:cs="Times New Roman"/>
        </w:rPr>
        <w:t xml:space="preserve"> Washington, DC.</w:t>
      </w:r>
    </w:p>
    <w:p w:rsidR="00443B0E" w:rsidRPr="007614F7" w:rsidP="002F3C90" w14:paraId="1B8A4482" w14:textId="77777777">
      <w:pPr>
        <w:pStyle w:val="BodyText"/>
        <w:ind w:left="720" w:right="846"/>
        <w:rPr>
          <w:rFonts w:asciiTheme="minorHAnsi" w:eastAsiaTheme="minorEastAsia" w:hAnsiTheme="minorHAnsi" w:cstheme="minorBidi"/>
        </w:rPr>
      </w:pPr>
    </w:p>
    <w:p w:rsidR="00C44886" w:rsidP="002F3C90" w14:paraId="2CEE4D6D" w14:textId="18AC7242">
      <w:pPr>
        <w:pStyle w:val="BodyText"/>
        <w:numPr>
          <w:ilvl w:val="0"/>
          <w:numId w:val="51"/>
        </w:numPr>
        <w:ind w:left="720" w:right="846" w:hanging="720"/>
        <w:rPr>
          <w:rFonts w:ascii="Times New Roman" w:hAnsi="Times New Roman" w:cs="Times New Roman"/>
        </w:rPr>
      </w:pPr>
      <w:r w:rsidRPr="007614F7">
        <w:rPr>
          <w:rFonts w:ascii="Times New Roman" w:hAnsi="Times New Roman" w:cs="Times New Roman"/>
        </w:rPr>
        <w:t xml:space="preserve">NRC, </w:t>
      </w:r>
      <w:r w:rsidRPr="007614F7">
        <w:rPr>
          <w:rFonts w:ascii="Times New Roman" w:hAnsi="Times New Roman" w:cs="Times New Roman"/>
        </w:rPr>
        <w:t>NUREG/CR</w:t>
      </w:r>
      <w:r w:rsidRPr="007614F7" w:rsidR="00F9761A">
        <w:rPr>
          <w:rFonts w:ascii="Times New Roman" w:hAnsi="Times New Roman" w:cs="Times New Roman"/>
        </w:rPr>
        <w:noBreakHyphen/>
      </w:r>
      <w:r w:rsidRPr="007614F7">
        <w:rPr>
          <w:rFonts w:ascii="Times New Roman" w:hAnsi="Times New Roman" w:cs="Times New Roman"/>
        </w:rPr>
        <w:t>2300, “PRA Procedures Guide: A Guide to the Performance of Probabilistic Risk Assessments for Nuclear Power Plants,” Washington,</w:t>
      </w:r>
      <w:r w:rsidRPr="007614F7" w:rsidR="00F9761A">
        <w:rPr>
          <w:rFonts w:ascii="Times New Roman" w:hAnsi="Times New Roman" w:cs="Times New Roman"/>
        </w:rPr>
        <w:t> </w:t>
      </w:r>
      <w:r w:rsidRPr="007614F7">
        <w:rPr>
          <w:rFonts w:ascii="Times New Roman" w:hAnsi="Times New Roman" w:cs="Times New Roman"/>
        </w:rPr>
        <w:t>DC, 1983.</w:t>
      </w:r>
    </w:p>
    <w:p w:rsidR="00443B0E" w:rsidRPr="007614F7" w:rsidP="002F3C90" w14:paraId="30E283CB" w14:textId="77777777">
      <w:pPr>
        <w:pStyle w:val="BodyText"/>
        <w:ind w:left="720" w:right="846"/>
        <w:rPr>
          <w:rFonts w:ascii="Times New Roman" w:hAnsi="Times New Roman" w:cs="Times New Roman"/>
        </w:rPr>
      </w:pPr>
    </w:p>
    <w:p w:rsidR="00FE43C8" w:rsidP="002F3C90" w14:paraId="6A9C5E7E" w14:textId="289FBB41">
      <w:pPr>
        <w:pStyle w:val="BodyText"/>
        <w:numPr>
          <w:ilvl w:val="0"/>
          <w:numId w:val="51"/>
        </w:numPr>
        <w:ind w:left="720" w:right="846" w:hanging="720"/>
        <w:rPr>
          <w:rFonts w:ascii="Times New Roman" w:hAnsi="Times New Roman" w:cs="Times New Roman"/>
        </w:rPr>
      </w:pPr>
      <w:r w:rsidRPr="007614F7">
        <w:rPr>
          <w:rFonts w:ascii="Times New Roman" w:hAnsi="Times New Roman" w:cs="Times New Roman"/>
        </w:rPr>
        <w:t xml:space="preserve">NRC, </w:t>
      </w:r>
      <w:r w:rsidRPr="007614F7">
        <w:rPr>
          <w:rFonts w:ascii="Times New Roman" w:hAnsi="Times New Roman" w:cs="Times New Roman"/>
        </w:rPr>
        <w:t>NUREG</w:t>
      </w:r>
      <w:r w:rsidRPr="007614F7" w:rsidR="00F9761A">
        <w:rPr>
          <w:rFonts w:ascii="Times New Roman" w:hAnsi="Times New Roman" w:cs="Times New Roman"/>
        </w:rPr>
        <w:noBreakHyphen/>
      </w:r>
      <w:r w:rsidRPr="007614F7">
        <w:rPr>
          <w:rFonts w:ascii="Times New Roman" w:hAnsi="Times New Roman" w:cs="Times New Roman"/>
        </w:rPr>
        <w:t>1407, “Procedural and Submittal</w:t>
      </w:r>
      <w:r w:rsidRPr="007614F7">
        <w:rPr>
          <w:rFonts w:ascii="Times New Roman" w:hAnsi="Times New Roman" w:eastAsiaTheme="minorEastAsia" w:cs="Times New Roman"/>
        </w:rPr>
        <w:t xml:space="preserve"> </w:t>
      </w:r>
      <w:r w:rsidRPr="007614F7">
        <w:rPr>
          <w:rFonts w:ascii="Times New Roman" w:hAnsi="Times New Roman" w:cs="Times New Roman"/>
        </w:rPr>
        <w:t>Guidance for the Individual</w:t>
      </w:r>
      <w:r w:rsidRPr="007614F7">
        <w:rPr>
          <w:rFonts w:ascii="Times New Roman" w:hAnsi="Times New Roman" w:eastAsiaTheme="minorEastAsia" w:cs="Times New Roman"/>
        </w:rPr>
        <w:t xml:space="preserve"> </w:t>
      </w:r>
      <w:r w:rsidRPr="007614F7">
        <w:rPr>
          <w:rFonts w:ascii="Times New Roman" w:hAnsi="Times New Roman" w:cs="Times New Roman"/>
        </w:rPr>
        <w:t>Plant Examination of External</w:t>
      </w:r>
      <w:r w:rsidRPr="007614F7">
        <w:rPr>
          <w:rFonts w:ascii="Times New Roman" w:hAnsi="Times New Roman" w:eastAsiaTheme="minorEastAsia" w:cs="Times New Roman"/>
        </w:rPr>
        <w:t xml:space="preserve"> </w:t>
      </w:r>
      <w:r w:rsidRPr="007614F7">
        <w:rPr>
          <w:rFonts w:ascii="Times New Roman" w:hAnsi="Times New Roman" w:cs="Times New Roman"/>
        </w:rPr>
        <w:t>Events (IPEEE) for Severe</w:t>
      </w:r>
      <w:r w:rsidRPr="007614F7">
        <w:rPr>
          <w:rFonts w:ascii="Times New Roman" w:hAnsi="Times New Roman" w:eastAsiaTheme="minorEastAsia" w:cs="Times New Roman"/>
        </w:rPr>
        <w:t xml:space="preserve"> </w:t>
      </w:r>
      <w:r w:rsidRPr="007614F7">
        <w:rPr>
          <w:rFonts w:ascii="Times New Roman" w:hAnsi="Times New Roman" w:cs="Times New Roman"/>
        </w:rPr>
        <w:t>Accident Vulnerabilities</w:t>
      </w:r>
      <w:r w:rsidRPr="007614F7">
        <w:rPr>
          <w:rFonts w:ascii="Times New Roman" w:hAnsi="Times New Roman" w:eastAsiaTheme="minorEastAsia" w:cs="Times New Roman"/>
        </w:rPr>
        <w:t xml:space="preserve">,” </w:t>
      </w:r>
      <w:r w:rsidRPr="007614F7">
        <w:rPr>
          <w:rFonts w:ascii="Times New Roman" w:hAnsi="Times New Roman" w:cs="Times New Roman"/>
        </w:rPr>
        <w:t>Washington,</w:t>
      </w:r>
      <w:r w:rsidRPr="007614F7" w:rsidR="00F9761A">
        <w:rPr>
          <w:rFonts w:ascii="Times New Roman" w:hAnsi="Times New Roman" w:cs="Times New Roman"/>
        </w:rPr>
        <w:t> </w:t>
      </w:r>
      <w:r w:rsidRPr="007614F7">
        <w:rPr>
          <w:rFonts w:ascii="Times New Roman" w:hAnsi="Times New Roman" w:cs="Times New Roman"/>
        </w:rPr>
        <w:t>DC, 1991.</w:t>
      </w:r>
    </w:p>
    <w:p w:rsidR="00443B0E" w:rsidRPr="007614F7" w:rsidP="002F3C90" w14:paraId="1C068770" w14:textId="77777777">
      <w:pPr>
        <w:pStyle w:val="BodyText"/>
        <w:ind w:left="720" w:right="846"/>
        <w:rPr>
          <w:rFonts w:ascii="Times New Roman" w:hAnsi="Times New Roman" w:cs="Times New Roman"/>
        </w:rPr>
      </w:pPr>
    </w:p>
    <w:p w:rsidR="00FE43C8" w:rsidP="002F3C90" w14:paraId="7D7505B5" w14:textId="1AE3CD9C">
      <w:pPr>
        <w:pStyle w:val="BodyText"/>
        <w:numPr>
          <w:ilvl w:val="0"/>
          <w:numId w:val="51"/>
        </w:numPr>
        <w:ind w:left="720" w:right="846" w:hanging="720"/>
        <w:rPr>
          <w:rFonts w:ascii="Times New Roman" w:hAnsi="Times New Roman" w:cs="Times New Roman"/>
        </w:rPr>
      </w:pPr>
      <w:r w:rsidRPr="007614F7">
        <w:rPr>
          <w:rFonts w:ascii="Times New Roman" w:hAnsi="Times New Roman" w:cs="Times New Roman"/>
        </w:rPr>
        <w:t>I</w:t>
      </w:r>
      <w:r w:rsidRPr="007614F7" w:rsidR="00627476">
        <w:rPr>
          <w:rFonts w:ascii="Times New Roman" w:hAnsi="Times New Roman" w:cs="Times New Roman"/>
        </w:rPr>
        <w:t xml:space="preserve">nternational </w:t>
      </w:r>
      <w:r w:rsidRPr="007614F7">
        <w:rPr>
          <w:rFonts w:ascii="Times New Roman" w:hAnsi="Times New Roman" w:cs="Times New Roman"/>
        </w:rPr>
        <w:t>A</w:t>
      </w:r>
      <w:r w:rsidRPr="007614F7" w:rsidR="00627476">
        <w:rPr>
          <w:rFonts w:ascii="Times New Roman" w:hAnsi="Times New Roman" w:cs="Times New Roman"/>
        </w:rPr>
        <w:t xml:space="preserve">tomic </w:t>
      </w:r>
      <w:r w:rsidRPr="007614F7">
        <w:rPr>
          <w:rFonts w:ascii="Times New Roman" w:hAnsi="Times New Roman" w:cs="Times New Roman"/>
        </w:rPr>
        <w:t>E</w:t>
      </w:r>
      <w:r w:rsidRPr="007614F7" w:rsidR="00627476">
        <w:rPr>
          <w:rFonts w:ascii="Times New Roman" w:hAnsi="Times New Roman" w:cs="Times New Roman"/>
        </w:rPr>
        <w:t xml:space="preserve">nergy </w:t>
      </w:r>
      <w:r w:rsidRPr="007614F7">
        <w:rPr>
          <w:rFonts w:ascii="Times New Roman" w:hAnsi="Times New Roman" w:cs="Times New Roman"/>
        </w:rPr>
        <w:t>A</w:t>
      </w:r>
      <w:r w:rsidRPr="007614F7" w:rsidR="00627476">
        <w:rPr>
          <w:rFonts w:ascii="Times New Roman" w:hAnsi="Times New Roman" w:cs="Times New Roman"/>
        </w:rPr>
        <w:t>gency (IAEA)</w:t>
      </w:r>
      <w:r w:rsidRPr="007614F7">
        <w:rPr>
          <w:rFonts w:ascii="Times New Roman" w:hAnsi="Times New Roman" w:cs="Times New Roman"/>
        </w:rPr>
        <w:t xml:space="preserve"> SSG</w:t>
      </w:r>
      <w:r w:rsidRPr="007614F7" w:rsidR="00F9761A">
        <w:rPr>
          <w:rFonts w:ascii="Times New Roman" w:hAnsi="Times New Roman" w:cs="Times New Roman"/>
        </w:rPr>
        <w:noBreakHyphen/>
      </w:r>
      <w:r w:rsidRPr="007614F7">
        <w:rPr>
          <w:rFonts w:ascii="Times New Roman" w:hAnsi="Times New Roman" w:cs="Times New Roman"/>
        </w:rPr>
        <w:t>3, “Development and Application of Level</w:t>
      </w:r>
      <w:r w:rsidRPr="007614F7" w:rsidR="00F9761A">
        <w:rPr>
          <w:rFonts w:ascii="Times New Roman" w:hAnsi="Times New Roman" w:cs="Times New Roman"/>
        </w:rPr>
        <w:t> </w:t>
      </w:r>
      <w:r w:rsidRPr="007614F7">
        <w:rPr>
          <w:rFonts w:ascii="Times New Roman" w:hAnsi="Times New Roman" w:cs="Times New Roman"/>
        </w:rPr>
        <w:t>1 Probabilistic Safety Assessment for Nuclear Power Plants,” Vienna, Austria, 2010.</w:t>
      </w:r>
      <w:r>
        <w:rPr>
          <w:rStyle w:val="FootnoteReference"/>
          <w:rFonts w:ascii="Times New Roman" w:hAnsi="Times New Roman" w:cs="Times New Roman"/>
        </w:rPr>
        <w:footnoteReference w:id="10"/>
      </w:r>
    </w:p>
    <w:p w:rsidR="00443B0E" w:rsidRPr="007614F7" w:rsidP="002F3C90" w14:paraId="4662D9A9" w14:textId="77777777">
      <w:pPr>
        <w:pStyle w:val="BodyText"/>
        <w:ind w:left="720" w:right="846"/>
        <w:rPr>
          <w:rFonts w:ascii="Times New Roman" w:hAnsi="Times New Roman" w:cs="Times New Roman"/>
        </w:rPr>
      </w:pPr>
    </w:p>
    <w:p w:rsidR="00FE43C8" w:rsidP="002F3C90" w14:paraId="2CFB2504" w14:textId="02448BBE">
      <w:pPr>
        <w:pStyle w:val="BodyText"/>
        <w:numPr>
          <w:ilvl w:val="0"/>
          <w:numId w:val="51"/>
        </w:numPr>
        <w:ind w:left="720" w:right="846" w:hanging="720"/>
        <w:rPr>
          <w:rFonts w:ascii="Times New Roman" w:hAnsi="Times New Roman" w:cs="Times New Roman"/>
        </w:rPr>
      </w:pPr>
      <w:r w:rsidRPr="007614F7">
        <w:rPr>
          <w:rFonts w:ascii="Times New Roman" w:hAnsi="Times New Roman" w:cs="Times New Roman"/>
        </w:rPr>
        <w:t>Electric Power Research Institute (EPRI) Report 1022997, “Identification of External Hazards for Analysis in Probabilistic Risk Assessment,” Electric Power Research Institute, Palo Alto, California, 2011</w:t>
      </w:r>
      <w:r w:rsidRPr="007614F7">
        <w:rPr>
          <w:rFonts w:ascii="Times New Roman" w:hAnsi="Times New Roman" w:cs="Times New Roman"/>
        </w:rPr>
        <w:t>.</w:t>
      </w:r>
      <w:r>
        <w:rPr>
          <w:rStyle w:val="FootnoteReference"/>
          <w:rFonts w:ascii="Times New Roman" w:hAnsi="Times New Roman" w:cs="Times New Roman"/>
        </w:rPr>
        <w:footnoteReference w:id="11"/>
      </w:r>
    </w:p>
    <w:p w:rsidR="00443B0E" w:rsidRPr="007614F7" w:rsidP="002F3C90" w14:paraId="1C72E5EA" w14:textId="77777777">
      <w:pPr>
        <w:pStyle w:val="BodyText"/>
        <w:ind w:left="720" w:right="846"/>
        <w:rPr>
          <w:rFonts w:ascii="Times New Roman" w:hAnsi="Times New Roman" w:cs="Times New Roman"/>
        </w:rPr>
      </w:pPr>
    </w:p>
    <w:p w:rsidR="00FE43C8" w:rsidP="002F3C90" w14:paraId="7546D7FA" w14:textId="3BB93CDE">
      <w:pPr>
        <w:pStyle w:val="BodyText"/>
        <w:numPr>
          <w:ilvl w:val="0"/>
          <w:numId w:val="51"/>
        </w:numPr>
        <w:ind w:left="720" w:right="846" w:hanging="720"/>
        <w:rPr>
          <w:rFonts w:ascii="Times New Roman" w:hAnsi="Times New Roman" w:cs="Times New Roman"/>
        </w:rPr>
      </w:pPr>
      <w:r w:rsidRPr="00403233">
        <w:rPr>
          <w:rFonts w:ascii="Times New Roman" w:hAnsi="Times New Roman" w:cs="Times New Roman"/>
        </w:rPr>
        <w:t xml:space="preserve">NRC, </w:t>
      </w:r>
      <w:r w:rsidRPr="00403233">
        <w:rPr>
          <w:rFonts w:ascii="Times New Roman" w:hAnsi="Times New Roman" w:cs="Times New Roman"/>
        </w:rPr>
        <w:t>NUREG</w:t>
      </w:r>
      <w:r w:rsidRPr="00403233" w:rsidR="00F9761A">
        <w:rPr>
          <w:rFonts w:ascii="Times New Roman" w:hAnsi="Times New Roman" w:cs="Times New Roman"/>
        </w:rPr>
        <w:noBreakHyphen/>
      </w:r>
      <w:r w:rsidRPr="00403233">
        <w:rPr>
          <w:rFonts w:ascii="Times New Roman" w:hAnsi="Times New Roman" w:cs="Times New Roman"/>
        </w:rPr>
        <w:t>0492, “Fault Tree Handbook,” Washington,</w:t>
      </w:r>
      <w:r w:rsidRPr="00403233" w:rsidR="00F9761A">
        <w:rPr>
          <w:rFonts w:ascii="Times New Roman" w:hAnsi="Times New Roman" w:cs="Times New Roman"/>
        </w:rPr>
        <w:t> </w:t>
      </w:r>
      <w:r w:rsidRPr="00403233">
        <w:rPr>
          <w:rFonts w:ascii="Times New Roman" w:hAnsi="Times New Roman" w:cs="Times New Roman"/>
        </w:rPr>
        <w:t>DC, 1981.</w:t>
      </w:r>
    </w:p>
    <w:p w:rsidR="00443B0E" w:rsidRPr="00403233" w:rsidP="002F3C90" w14:paraId="31499109" w14:textId="77777777">
      <w:pPr>
        <w:pStyle w:val="BodyText"/>
        <w:ind w:left="720" w:right="846"/>
        <w:rPr>
          <w:rFonts w:ascii="Times New Roman" w:hAnsi="Times New Roman" w:cs="Times New Roman"/>
        </w:rPr>
      </w:pPr>
    </w:p>
    <w:p w:rsidR="00133C5F" w:rsidP="002F3C90" w14:paraId="48D913AD" w14:textId="75398301">
      <w:pPr>
        <w:pStyle w:val="BodyText"/>
        <w:numPr>
          <w:ilvl w:val="0"/>
          <w:numId w:val="51"/>
        </w:numPr>
        <w:ind w:left="720" w:right="846" w:hanging="720"/>
        <w:rPr>
          <w:rFonts w:ascii="Times New Roman" w:hAnsi="Times New Roman" w:cs="Times New Roman"/>
        </w:rPr>
      </w:pPr>
      <w:r w:rsidRPr="00C82463">
        <w:rPr>
          <w:rFonts w:ascii="Times New Roman" w:hAnsi="Times New Roman" w:cs="Times New Roman"/>
        </w:rPr>
        <w:t xml:space="preserve">NRC, </w:t>
      </w:r>
      <w:r w:rsidRPr="00C82463" w:rsidR="00684252">
        <w:rPr>
          <w:rFonts w:ascii="Times New Roman" w:hAnsi="Times New Roman" w:cs="Times New Roman"/>
        </w:rPr>
        <w:t>NUREG</w:t>
      </w:r>
      <w:r w:rsidR="00F9761A">
        <w:rPr>
          <w:rFonts w:ascii="Times New Roman" w:hAnsi="Times New Roman" w:cs="Times New Roman"/>
        </w:rPr>
        <w:noBreakHyphen/>
      </w:r>
      <w:r w:rsidRPr="00C82463" w:rsidR="00684252">
        <w:rPr>
          <w:rFonts w:ascii="Times New Roman" w:hAnsi="Times New Roman" w:cs="Times New Roman"/>
        </w:rPr>
        <w:t xml:space="preserve">1150, </w:t>
      </w:r>
      <w:r w:rsidRPr="00C82463">
        <w:rPr>
          <w:rFonts w:ascii="Times New Roman" w:hAnsi="Times New Roman" w:cs="Times New Roman"/>
        </w:rPr>
        <w:t>“Severe Accident Risks: An Assessment for Five U.S. Nuclear Power Plants,” Washington, DC, 1990.</w:t>
      </w:r>
    </w:p>
    <w:p w:rsidR="00443B0E" w:rsidP="002F3C90" w14:paraId="3ACB97AE" w14:textId="77777777">
      <w:pPr>
        <w:pStyle w:val="BodyText"/>
        <w:ind w:left="720" w:right="846"/>
        <w:rPr>
          <w:rFonts w:ascii="Times New Roman" w:hAnsi="Times New Roman" w:cs="Times New Roman"/>
        </w:rPr>
      </w:pPr>
    </w:p>
    <w:p w:rsidR="00B032CA" w:rsidP="002F3C90" w14:paraId="564144D6" w14:textId="6DA5990A">
      <w:pPr>
        <w:pStyle w:val="BodyText"/>
        <w:numPr>
          <w:ilvl w:val="0"/>
          <w:numId w:val="51"/>
        </w:numPr>
        <w:ind w:left="720" w:right="846" w:hanging="720"/>
        <w:rPr>
          <w:rFonts w:ascii="Times New Roman" w:hAnsi="Times New Roman" w:cs="Times New Roman"/>
        </w:rPr>
      </w:pPr>
      <w:r w:rsidRPr="0076002B">
        <w:rPr>
          <w:rFonts w:ascii="Times New Roman" w:hAnsi="Times New Roman" w:cs="Times New Roman"/>
        </w:rPr>
        <w:t>NRC, NUREG</w:t>
      </w:r>
      <w:r w:rsidRPr="0076002B">
        <w:rPr>
          <w:rFonts w:ascii="Times New Roman" w:hAnsi="Times New Roman" w:cs="Times New Roman"/>
        </w:rPr>
        <w:noBreakHyphen/>
        <w:t>1513, “Integrated Safety Analysis Guidance Document,”</w:t>
      </w:r>
      <w:r w:rsidR="007E1F54">
        <w:rPr>
          <w:rFonts w:ascii="Times New Roman" w:hAnsi="Times New Roman" w:cs="Times New Roman"/>
        </w:rPr>
        <w:t xml:space="preserve"> </w:t>
      </w:r>
      <w:r w:rsidR="00B9688B">
        <w:rPr>
          <w:rFonts w:ascii="Times New Roman" w:hAnsi="Times New Roman" w:cs="Times New Roman"/>
        </w:rPr>
        <w:t>W</w:t>
      </w:r>
      <w:r w:rsidRPr="0076002B">
        <w:rPr>
          <w:rFonts w:ascii="Times New Roman" w:hAnsi="Times New Roman" w:cs="Times New Roman"/>
        </w:rPr>
        <w:t>ashington, DC, 2001.</w:t>
      </w:r>
    </w:p>
    <w:p w:rsidR="00443B0E" w:rsidRPr="00403233" w:rsidP="002F3C90" w14:paraId="448F9C17" w14:textId="77777777">
      <w:pPr>
        <w:pStyle w:val="BodyText"/>
        <w:ind w:left="720" w:right="846"/>
        <w:rPr>
          <w:rFonts w:ascii="Times New Roman" w:hAnsi="Times New Roman" w:cs="Times New Roman"/>
        </w:rPr>
      </w:pPr>
    </w:p>
    <w:p w:rsidR="00133C5F" w:rsidP="002F3C90" w14:paraId="4AD4B062" w14:textId="67100B39">
      <w:pPr>
        <w:pStyle w:val="BodyText"/>
        <w:numPr>
          <w:ilvl w:val="0"/>
          <w:numId w:val="51"/>
        </w:numPr>
        <w:ind w:left="720" w:right="846" w:hanging="720"/>
        <w:rPr>
          <w:rFonts w:ascii="Times New Roman" w:hAnsi="Times New Roman" w:cs="Times New Roman"/>
        </w:rPr>
      </w:pPr>
      <w:r w:rsidRPr="00C82463">
        <w:rPr>
          <w:rFonts w:ascii="Times New Roman" w:hAnsi="Times New Roman" w:cs="Times New Roman"/>
        </w:rPr>
        <w:t xml:space="preserve">NRC, </w:t>
      </w:r>
      <w:r w:rsidRPr="00C82463" w:rsidR="00E5593B">
        <w:rPr>
          <w:rFonts w:ascii="Times New Roman" w:hAnsi="Times New Roman" w:cs="Times New Roman"/>
        </w:rPr>
        <w:t>NUREG</w:t>
      </w:r>
      <w:r w:rsidR="004A0D4B">
        <w:rPr>
          <w:rFonts w:ascii="Times New Roman" w:hAnsi="Times New Roman" w:cs="Times New Roman"/>
        </w:rPr>
        <w:noBreakHyphen/>
      </w:r>
      <w:r w:rsidRPr="00C82463" w:rsidR="00E5593B">
        <w:rPr>
          <w:rFonts w:ascii="Times New Roman" w:hAnsi="Times New Roman" w:cs="Times New Roman"/>
        </w:rPr>
        <w:t xml:space="preserve">1792, </w:t>
      </w:r>
      <w:r w:rsidRPr="00C82463">
        <w:rPr>
          <w:rFonts w:ascii="Times New Roman" w:hAnsi="Times New Roman" w:cs="Times New Roman"/>
        </w:rPr>
        <w:t>“Good Practices for Implementing Human Reliability Analysis,” Washington,</w:t>
      </w:r>
      <w:r w:rsidR="004A0D4B">
        <w:rPr>
          <w:rFonts w:ascii="Times New Roman" w:hAnsi="Times New Roman" w:cs="Times New Roman"/>
        </w:rPr>
        <w:t> </w:t>
      </w:r>
      <w:r w:rsidRPr="00C82463">
        <w:rPr>
          <w:rFonts w:ascii="Times New Roman" w:hAnsi="Times New Roman" w:cs="Times New Roman"/>
        </w:rPr>
        <w:t>DC, April</w:t>
      </w:r>
      <w:r w:rsidR="004A0D4B">
        <w:rPr>
          <w:rFonts w:ascii="Times New Roman" w:hAnsi="Times New Roman" w:cs="Times New Roman"/>
        </w:rPr>
        <w:t> </w:t>
      </w:r>
      <w:r w:rsidRPr="00C82463">
        <w:rPr>
          <w:rFonts w:ascii="Times New Roman" w:hAnsi="Times New Roman" w:cs="Times New Roman"/>
        </w:rPr>
        <w:t>2005.</w:t>
      </w:r>
    </w:p>
    <w:p w:rsidR="00443B0E" w:rsidRPr="00C82463" w:rsidP="002F3C90" w14:paraId="3476FC88" w14:textId="77777777">
      <w:pPr>
        <w:pStyle w:val="BodyText"/>
        <w:ind w:left="720" w:right="846"/>
        <w:rPr>
          <w:rFonts w:ascii="Times New Roman" w:hAnsi="Times New Roman" w:cs="Times New Roman"/>
        </w:rPr>
      </w:pPr>
    </w:p>
    <w:p w:rsidR="00133C5F" w:rsidP="002F3C90" w14:paraId="5C7F85F4" w14:textId="498D03D4">
      <w:pPr>
        <w:pStyle w:val="BodyText"/>
        <w:widowControl/>
        <w:numPr>
          <w:ilvl w:val="0"/>
          <w:numId w:val="51"/>
        </w:numPr>
        <w:ind w:left="720" w:right="850" w:hanging="720"/>
        <w:rPr>
          <w:rFonts w:ascii="Times New Roman" w:hAnsi="Times New Roman" w:cs="Times New Roman"/>
        </w:rPr>
      </w:pPr>
      <w:r w:rsidRPr="00C82463">
        <w:rPr>
          <w:rFonts w:ascii="Times New Roman" w:hAnsi="Times New Roman" w:cs="Times New Roman"/>
        </w:rPr>
        <w:t xml:space="preserve">NRC, </w:t>
      </w:r>
      <w:r w:rsidRPr="00C82463" w:rsidR="007E246D">
        <w:rPr>
          <w:rFonts w:ascii="Times New Roman" w:hAnsi="Times New Roman" w:cs="Times New Roman"/>
        </w:rPr>
        <w:t>NUREG</w:t>
      </w:r>
      <w:r w:rsidR="004A0D4B">
        <w:rPr>
          <w:rFonts w:ascii="Times New Roman" w:hAnsi="Times New Roman" w:cs="Times New Roman"/>
        </w:rPr>
        <w:noBreakHyphen/>
      </w:r>
      <w:r w:rsidRPr="00C82463" w:rsidR="007E246D">
        <w:rPr>
          <w:rFonts w:ascii="Times New Roman" w:hAnsi="Times New Roman" w:cs="Times New Roman"/>
        </w:rPr>
        <w:t>1842</w:t>
      </w:r>
      <w:r w:rsidR="007E246D">
        <w:rPr>
          <w:rFonts w:ascii="Times New Roman" w:hAnsi="Times New Roman" w:cs="Times New Roman"/>
        </w:rPr>
        <w:t xml:space="preserve">, </w:t>
      </w:r>
      <w:r w:rsidRPr="00C82463">
        <w:rPr>
          <w:rFonts w:ascii="Times New Roman" w:hAnsi="Times New Roman" w:cs="Times New Roman"/>
        </w:rPr>
        <w:t>“Evaluation of Human Reliability Analysis Methods Against Good Practices,” Washington,</w:t>
      </w:r>
      <w:r w:rsidR="004A0D4B">
        <w:rPr>
          <w:rFonts w:ascii="Times New Roman" w:hAnsi="Times New Roman" w:cs="Times New Roman"/>
        </w:rPr>
        <w:t> </w:t>
      </w:r>
      <w:r w:rsidRPr="00C82463">
        <w:rPr>
          <w:rFonts w:ascii="Times New Roman" w:hAnsi="Times New Roman" w:cs="Times New Roman"/>
        </w:rPr>
        <w:t>DC, 2006.</w:t>
      </w:r>
    </w:p>
    <w:p w:rsidR="00443B0E" w:rsidP="002F3C90" w14:paraId="6DE4F88C" w14:textId="77777777">
      <w:pPr>
        <w:pStyle w:val="BodyText"/>
        <w:widowControl/>
        <w:ind w:left="720" w:right="850"/>
        <w:rPr>
          <w:rFonts w:ascii="Times New Roman" w:hAnsi="Times New Roman" w:cs="Times New Roman"/>
        </w:rPr>
      </w:pPr>
    </w:p>
    <w:p w:rsidR="008063C1" w:rsidP="002F3C90" w14:paraId="04B858C9" w14:textId="1BD45E51">
      <w:pPr>
        <w:pStyle w:val="BodyText"/>
        <w:widowControl/>
        <w:numPr>
          <w:ilvl w:val="0"/>
          <w:numId w:val="51"/>
        </w:numPr>
        <w:ind w:left="720" w:right="850" w:hanging="720"/>
        <w:rPr>
          <w:rFonts w:ascii="Times New Roman" w:hAnsi="Times New Roman" w:cs="Times New Roman"/>
        </w:rPr>
      </w:pPr>
      <w:r>
        <w:rPr>
          <w:rFonts w:ascii="Times New Roman" w:hAnsi="Times New Roman" w:cs="Times New Roman"/>
        </w:rPr>
        <w:t>NRC, NUREG-1921</w:t>
      </w:r>
      <w:r w:rsidR="00A726BE">
        <w:rPr>
          <w:rFonts w:ascii="Times New Roman" w:hAnsi="Times New Roman" w:cs="Times New Roman"/>
        </w:rPr>
        <w:t xml:space="preserve">, </w:t>
      </w:r>
      <w:r w:rsidRPr="00A726BE" w:rsidR="00A726BE">
        <w:rPr>
          <w:rFonts w:ascii="Times New Roman" w:hAnsi="Times New Roman" w:cs="Times New Roman"/>
        </w:rPr>
        <w:t>“EPRI/NRC-RES Fire Human Reliability Analysis Guidelines,” Washington, DC, July 2012.</w:t>
      </w:r>
    </w:p>
    <w:p w:rsidR="00443B0E" w:rsidP="002F3C90" w14:paraId="693E6300" w14:textId="77777777">
      <w:pPr>
        <w:pStyle w:val="BodyText"/>
        <w:widowControl/>
        <w:ind w:left="720" w:right="850"/>
        <w:rPr>
          <w:rFonts w:ascii="Times New Roman" w:hAnsi="Times New Roman" w:cs="Times New Roman"/>
        </w:rPr>
      </w:pPr>
    </w:p>
    <w:p w:rsidR="00062B7D" w:rsidP="0021002A" w14:paraId="46C701E1" w14:textId="3D8B2E40">
      <w:pPr>
        <w:pStyle w:val="ListParagraph"/>
        <w:numPr>
          <w:ilvl w:val="0"/>
          <w:numId w:val="51"/>
        </w:numPr>
        <w:spacing w:after="0" w:line="240" w:lineRule="auto"/>
        <w:ind w:left="720" w:hanging="720"/>
        <w:contextualSpacing w:val="0"/>
        <w:rPr>
          <w:rFonts w:ascii="Times New Roman" w:eastAsia="Arial" w:hAnsi="Times New Roman" w:cs="Times New Roman"/>
        </w:rPr>
      </w:pPr>
      <w:r w:rsidRPr="00062B7D">
        <w:rPr>
          <w:rFonts w:ascii="Times New Roman" w:eastAsia="Arial" w:hAnsi="Times New Roman" w:cs="Times New Roman"/>
        </w:rPr>
        <w:t>NRC, NUREG</w:t>
      </w:r>
      <w:r w:rsidR="0008018D">
        <w:rPr>
          <w:rFonts w:ascii="Times New Roman" w:eastAsia="Arial" w:hAnsi="Times New Roman" w:cs="Times New Roman"/>
        </w:rPr>
        <w:t>-</w:t>
      </w:r>
      <w:r w:rsidRPr="00062B7D">
        <w:rPr>
          <w:rFonts w:ascii="Times New Roman" w:eastAsia="Arial" w:hAnsi="Times New Roman" w:cs="Times New Roman"/>
        </w:rPr>
        <w:t>2122, “Glossary of Risk-Related Terms in Support of Risk-Informed Decision Making,” Washington, DC, 2013.</w:t>
      </w:r>
    </w:p>
    <w:p w:rsidR="00381D97" w:rsidP="0021002A" w14:paraId="1FA3C0A9" w14:textId="018D7568">
      <w:pPr>
        <w:pStyle w:val="ListParagraph"/>
        <w:spacing w:after="0" w:line="240" w:lineRule="auto"/>
        <w:ind w:hanging="720"/>
        <w:contextualSpacing w:val="0"/>
        <w:rPr>
          <w:rFonts w:ascii="Times New Roman" w:eastAsia="Arial" w:hAnsi="Times New Roman" w:cs="Times New Roman"/>
        </w:rPr>
      </w:pPr>
    </w:p>
    <w:p w:rsidR="00443B0E" w:rsidRPr="00443B0E" w:rsidP="0021002A" w14:paraId="774E3BA7" w14:textId="381B8060">
      <w:pPr>
        <w:pStyle w:val="ListParagraph"/>
        <w:numPr>
          <w:ilvl w:val="0"/>
          <w:numId w:val="51"/>
        </w:numPr>
        <w:spacing w:after="0" w:line="240" w:lineRule="auto"/>
        <w:ind w:left="720" w:hanging="720"/>
        <w:contextualSpacing w:val="0"/>
        <w:rPr>
          <w:rFonts w:ascii="Times New Roman" w:eastAsia="Arial" w:hAnsi="Times New Roman" w:cs="Times New Roman"/>
        </w:rPr>
      </w:pPr>
      <w:r w:rsidRPr="00127F48">
        <w:rPr>
          <w:rFonts w:ascii="Times New Roman" w:eastAsia="Arial" w:hAnsi="Times New Roman" w:cs="Times New Roman"/>
        </w:rPr>
        <w:t>NRC, NUREG</w:t>
      </w:r>
      <w:r w:rsidR="00B83189">
        <w:rPr>
          <w:rFonts w:ascii="Times New Roman" w:eastAsia="Arial" w:hAnsi="Times New Roman" w:cs="Times New Roman"/>
        </w:rPr>
        <w:t>-</w:t>
      </w:r>
      <w:r w:rsidRPr="00127F48">
        <w:rPr>
          <w:rFonts w:ascii="Times New Roman" w:eastAsia="Arial" w:hAnsi="Times New Roman" w:cs="Times New Roman"/>
        </w:rPr>
        <w:t>2198, “The General Methodology of an Integrated Human Event Analysis System (IDHEAS-G),” Washington, DC, 2021.</w:t>
      </w:r>
    </w:p>
    <w:p w:rsidR="00443B0E" w:rsidRPr="00A7426E" w:rsidP="0021002A" w14:paraId="7D210874" w14:textId="77777777">
      <w:pPr>
        <w:pStyle w:val="ListParagraph"/>
        <w:spacing w:after="0" w:line="240" w:lineRule="auto"/>
        <w:contextualSpacing w:val="0"/>
        <w:rPr>
          <w:rFonts w:ascii="Times New Roman" w:eastAsia="Arial" w:hAnsi="Times New Roman" w:cs="Times New Roman"/>
        </w:rPr>
      </w:pPr>
    </w:p>
    <w:p w:rsidR="00A037C7" w:rsidP="002F3C90" w14:paraId="175952A0" w14:textId="7A400583">
      <w:pPr>
        <w:pStyle w:val="BodyText"/>
        <w:widowControl/>
        <w:numPr>
          <w:ilvl w:val="0"/>
          <w:numId w:val="51"/>
        </w:numPr>
        <w:ind w:left="720" w:right="850" w:hanging="720"/>
        <w:rPr>
          <w:rFonts w:ascii="Times New Roman" w:hAnsi="Times New Roman" w:cs="Times New Roman"/>
        </w:rPr>
      </w:pPr>
      <w:r>
        <w:rPr>
          <w:rFonts w:ascii="Times New Roman" w:hAnsi="Times New Roman" w:cs="Times New Roman"/>
        </w:rPr>
        <w:t>NRC, NUREG/CR</w:t>
      </w:r>
      <w:r w:rsidR="0079434C">
        <w:rPr>
          <w:rFonts w:ascii="Times New Roman" w:hAnsi="Times New Roman" w:cs="Times New Roman"/>
        </w:rPr>
        <w:t xml:space="preserve">-5485, “Guidelines on Modeling Common-Cause Failures in Probabilistic Risk Assessments,” </w:t>
      </w:r>
      <w:r w:rsidR="00A73D60">
        <w:rPr>
          <w:rFonts w:ascii="Times New Roman" w:hAnsi="Times New Roman" w:cs="Times New Roman"/>
        </w:rPr>
        <w:t xml:space="preserve">Washington, DC, </w:t>
      </w:r>
      <w:r w:rsidR="00E65D8B">
        <w:rPr>
          <w:rFonts w:ascii="Times New Roman" w:hAnsi="Times New Roman" w:cs="Times New Roman"/>
        </w:rPr>
        <w:t>November 1998.</w:t>
      </w:r>
    </w:p>
    <w:p w:rsidR="00443B0E" w:rsidP="002F3C90" w14:paraId="2DB9ABCF" w14:textId="77777777">
      <w:pPr>
        <w:pStyle w:val="BodyText"/>
        <w:widowControl/>
        <w:ind w:left="720" w:right="850"/>
        <w:rPr>
          <w:rFonts w:ascii="Times New Roman" w:hAnsi="Times New Roman" w:cs="Times New Roman"/>
        </w:rPr>
      </w:pPr>
    </w:p>
    <w:p w:rsidR="0099722B" w:rsidRPr="00443B0E" w:rsidP="002F3C90" w14:paraId="432D6781" w14:textId="77777777">
      <w:pPr>
        <w:pStyle w:val="BodyText"/>
        <w:numPr>
          <w:ilvl w:val="0"/>
          <w:numId w:val="51"/>
        </w:numPr>
        <w:ind w:left="720" w:right="270" w:hanging="720"/>
        <w:rPr>
          <w:rFonts w:ascii="Times New Roman" w:hAnsi="Times New Roman" w:cs="Times New Roman"/>
          <w:color w:val="0563C1" w:themeColor="hyperlink"/>
          <w:u w:val="single"/>
        </w:rPr>
      </w:pPr>
      <w:r>
        <w:rPr>
          <w:rFonts w:ascii="Times New Roman" w:hAnsi="Times New Roman" w:cs="Times New Roman"/>
        </w:rPr>
        <w:t xml:space="preserve">NRC, </w:t>
      </w:r>
      <w:r w:rsidRPr="003A72D2">
        <w:rPr>
          <w:rFonts w:ascii="Times New Roman" w:hAnsi="Times New Roman" w:cs="Times New Roman"/>
        </w:rPr>
        <w:t>NUREG/CR</w:t>
      </w:r>
      <w:r>
        <w:rPr>
          <w:rFonts w:ascii="Times New Roman" w:hAnsi="Times New Roman" w:cs="Times New Roman"/>
        </w:rPr>
        <w:noBreakHyphen/>
      </w:r>
      <w:r w:rsidRPr="003A72D2">
        <w:rPr>
          <w:rFonts w:ascii="Times New Roman" w:hAnsi="Times New Roman" w:cs="Times New Roman"/>
        </w:rPr>
        <w:t>5750</w:t>
      </w:r>
      <w:r w:rsidRPr="00C9729B">
        <w:rPr>
          <w:rFonts w:ascii="Times New Roman" w:hAnsi="Times New Roman" w:cs="Times New Roman"/>
        </w:rPr>
        <w:t xml:space="preserve">, </w:t>
      </w:r>
      <w:r w:rsidRPr="00A237A7">
        <w:rPr>
          <w:rFonts w:ascii="Times New Roman" w:hAnsi="Times New Roman" w:cs="Times New Roman"/>
        </w:rPr>
        <w:t>“Rates of Initiating Events at U.S. Nuclear Power Plants: 1987</w:t>
      </w:r>
      <w:r>
        <w:rPr>
          <w:rFonts w:ascii="Times New Roman" w:hAnsi="Times New Roman" w:cs="Times New Roman"/>
        </w:rPr>
        <w:t>–</w:t>
      </w:r>
      <w:r w:rsidRPr="003A72D2">
        <w:rPr>
          <w:rFonts w:ascii="Times New Roman" w:hAnsi="Times New Roman" w:cs="Times New Roman"/>
        </w:rPr>
        <w:t xml:space="preserve">1995,” </w:t>
      </w:r>
      <w:r>
        <w:rPr>
          <w:rFonts w:ascii="Times New Roman" w:hAnsi="Times New Roman" w:cs="Times New Roman"/>
        </w:rPr>
        <w:t xml:space="preserve">prepared by </w:t>
      </w:r>
      <w:r w:rsidRPr="00A237A7">
        <w:rPr>
          <w:rFonts w:ascii="Times New Roman" w:hAnsi="Times New Roman" w:cs="Times New Roman"/>
        </w:rPr>
        <w:t>Idaho National Engineering and Environmental Laboratory,</w:t>
      </w:r>
      <w:r>
        <w:rPr>
          <w:rFonts w:ascii="Times New Roman" w:hAnsi="Times New Roman" w:cs="Times New Roman"/>
        </w:rPr>
        <w:t xml:space="preserve"> </w:t>
      </w:r>
      <w:r w:rsidRPr="00C9729B">
        <w:rPr>
          <w:rFonts w:ascii="Times New Roman" w:hAnsi="Times New Roman" w:cs="Times New Roman"/>
        </w:rPr>
        <w:t>Idaho Falls, Idaho, 1999.</w:t>
      </w:r>
    </w:p>
    <w:p w:rsidR="00443B0E" w:rsidRPr="003D6B4C" w:rsidP="002F3C90" w14:paraId="21679358" w14:textId="77777777">
      <w:pPr>
        <w:pStyle w:val="BodyText"/>
        <w:ind w:left="720" w:right="270"/>
        <w:rPr>
          <w:rFonts w:ascii="Times New Roman" w:hAnsi="Times New Roman" w:cs="Times New Roman"/>
          <w:color w:val="0563C1" w:themeColor="hyperlink"/>
          <w:u w:val="single"/>
        </w:rPr>
      </w:pPr>
    </w:p>
    <w:p w:rsidR="006C50A6" w:rsidRPr="00443B0E" w:rsidP="002F3C90" w14:paraId="31524742" w14:textId="2AA4057E">
      <w:pPr>
        <w:pStyle w:val="BodyText"/>
        <w:numPr>
          <w:ilvl w:val="0"/>
          <w:numId w:val="51"/>
        </w:numPr>
        <w:ind w:left="720" w:right="270" w:hanging="720"/>
        <w:rPr>
          <w:rFonts w:ascii="Times New Roman" w:hAnsi="Times New Roman" w:cs="Times New Roman"/>
          <w:color w:val="0563C1" w:themeColor="hyperlink"/>
          <w:u w:val="single"/>
        </w:rPr>
      </w:pPr>
      <w:r>
        <w:rPr>
          <w:rFonts w:ascii="Times New Roman" w:hAnsi="Times New Roman" w:cs="Times New Roman"/>
        </w:rPr>
        <w:t>NRC, NUREG/CR</w:t>
      </w:r>
      <w:r w:rsidR="00A726BE">
        <w:rPr>
          <w:rFonts w:ascii="Times New Roman" w:hAnsi="Times New Roman" w:cs="Times New Roman"/>
        </w:rPr>
        <w:t xml:space="preserve">-6928, </w:t>
      </w:r>
      <w:r w:rsidRPr="00A726BE" w:rsidR="00A726BE">
        <w:rPr>
          <w:rFonts w:ascii="Times New Roman" w:hAnsi="Times New Roman" w:cs="Times New Roman"/>
        </w:rPr>
        <w:t>“Industry-Average Performance for Components and Initiating Events at U.S. Commercial Nuclear Power Plant,” Washington, DC, February 2007.</w:t>
      </w:r>
    </w:p>
    <w:p w:rsidR="00443B0E" w:rsidRPr="00A237A7" w:rsidP="002F3C90" w14:paraId="66DDFC3A" w14:textId="77777777">
      <w:pPr>
        <w:pStyle w:val="BodyText"/>
        <w:ind w:left="0" w:right="270"/>
        <w:rPr>
          <w:rStyle w:val="Hyperlink"/>
          <w:rFonts w:ascii="Times New Roman" w:hAnsi="Times New Roman" w:cs="Times New Roman"/>
        </w:rPr>
      </w:pPr>
    </w:p>
    <w:p w:rsidR="00F30366" w:rsidP="002F3C90" w14:paraId="2E46D5DB" w14:textId="2EEB97B7">
      <w:pPr>
        <w:pStyle w:val="ListParagraph"/>
        <w:widowControl w:val="0"/>
        <w:numPr>
          <w:ilvl w:val="0"/>
          <w:numId w:val="51"/>
        </w:numPr>
        <w:autoSpaceDE w:val="0"/>
        <w:autoSpaceDN w:val="0"/>
        <w:spacing w:after="0" w:line="240" w:lineRule="auto"/>
        <w:ind w:left="720" w:hanging="720"/>
        <w:contextualSpacing w:val="0"/>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NUREG/CR</w:t>
      </w:r>
      <w:r>
        <w:rPr>
          <w:rFonts w:ascii="Times New Roman" w:hAnsi="Times New Roman" w:cs="Times New Roman"/>
        </w:rPr>
        <w:noBreakHyphen/>
      </w:r>
      <w:r w:rsidRPr="006E2BCA">
        <w:rPr>
          <w:rFonts w:ascii="Times New Roman" w:hAnsi="Times New Roman" w:cs="Times New Roman"/>
        </w:rPr>
        <w:t xml:space="preserve">6962, “Traditional Probabilistic Risk Assessment Methods for Digital Systems,” </w:t>
      </w:r>
      <w:r>
        <w:rPr>
          <w:rFonts w:ascii="Times New Roman" w:hAnsi="Times New Roman" w:cs="Times New Roman"/>
        </w:rPr>
        <w:t>prepared by Brookhaven National Laboratory, Upton, New York</w:t>
      </w:r>
      <w:r w:rsidRPr="006E2BCA">
        <w:rPr>
          <w:rFonts w:ascii="Times New Roman" w:hAnsi="Times New Roman" w:cs="Times New Roman"/>
        </w:rPr>
        <w:t>, 2008.</w:t>
      </w:r>
    </w:p>
    <w:p w:rsidR="00443B0E" w:rsidRPr="00443B0E" w:rsidP="002F3C90" w14:paraId="5F0DBFD7" w14:textId="77777777">
      <w:pPr>
        <w:widowControl w:val="0"/>
        <w:autoSpaceDE w:val="0"/>
        <w:autoSpaceDN w:val="0"/>
        <w:spacing w:after="0" w:line="240" w:lineRule="auto"/>
        <w:rPr>
          <w:rFonts w:ascii="Times New Roman" w:hAnsi="Times New Roman" w:cs="Times New Roman"/>
        </w:rPr>
      </w:pPr>
    </w:p>
    <w:p w:rsidR="00133C5F" w:rsidP="002F3C90" w14:paraId="52D16756" w14:textId="7B0A4E04">
      <w:pPr>
        <w:pStyle w:val="BodyText"/>
        <w:numPr>
          <w:ilvl w:val="0"/>
          <w:numId w:val="51"/>
        </w:numPr>
        <w:ind w:left="720" w:right="846" w:hanging="720"/>
        <w:rPr>
          <w:rFonts w:ascii="Times New Roman" w:hAnsi="Times New Roman" w:cs="Times New Roman"/>
        </w:rPr>
      </w:pPr>
      <w:r w:rsidRPr="006C0266">
        <w:rPr>
          <w:rFonts w:ascii="Times New Roman" w:hAnsi="Times New Roman" w:cs="Times New Roman"/>
        </w:rPr>
        <w:t xml:space="preserve">NRC, </w:t>
      </w:r>
      <w:r w:rsidRPr="006C0266" w:rsidR="000D1FDF">
        <w:rPr>
          <w:rFonts w:ascii="Times New Roman" w:hAnsi="Times New Roman" w:cs="Times New Roman"/>
        </w:rPr>
        <w:t>RG</w:t>
      </w:r>
      <w:r w:rsidR="004A0D4B">
        <w:rPr>
          <w:rFonts w:ascii="Times New Roman" w:hAnsi="Times New Roman" w:cs="Times New Roman"/>
        </w:rPr>
        <w:t> </w:t>
      </w:r>
      <w:r w:rsidRPr="006C0266" w:rsidR="000D1FDF">
        <w:rPr>
          <w:rFonts w:ascii="Times New Roman" w:hAnsi="Times New Roman" w:cs="Times New Roman"/>
        </w:rPr>
        <w:t xml:space="preserve">1.200, </w:t>
      </w:r>
      <w:r w:rsidRPr="006C0266">
        <w:rPr>
          <w:rFonts w:ascii="Times New Roman" w:hAnsi="Times New Roman" w:cs="Times New Roman"/>
        </w:rPr>
        <w:t>“Acceptability of Probabilistic Risk Assessment Results for Risk-Informed Activities,” Washington,</w:t>
      </w:r>
      <w:r w:rsidR="004A0D4B">
        <w:rPr>
          <w:rFonts w:ascii="Times New Roman" w:hAnsi="Times New Roman" w:cs="Times New Roman"/>
        </w:rPr>
        <w:t> </w:t>
      </w:r>
      <w:r w:rsidRPr="006C0266">
        <w:rPr>
          <w:rFonts w:ascii="Times New Roman" w:hAnsi="Times New Roman" w:cs="Times New Roman"/>
        </w:rPr>
        <w:t>DC</w:t>
      </w:r>
      <w:r w:rsidRPr="0065758C">
        <w:rPr>
          <w:rFonts w:ascii="Times New Roman" w:hAnsi="Times New Roman" w:cs="Times New Roman"/>
        </w:rPr>
        <w:t>, 2020.</w:t>
      </w:r>
    </w:p>
    <w:p w:rsidR="00443B0E" w:rsidRPr="004E13CF" w:rsidP="002F3C90" w14:paraId="2A36CCAA" w14:textId="77777777">
      <w:pPr>
        <w:pStyle w:val="BodyText"/>
        <w:ind w:left="0" w:right="846"/>
        <w:rPr>
          <w:rFonts w:ascii="Times New Roman" w:hAnsi="Times New Roman" w:cs="Times New Roman"/>
        </w:rPr>
      </w:pPr>
    </w:p>
    <w:p w:rsidR="00133C5F" w:rsidP="002F3C90" w14:paraId="3FCF6993" w14:textId="46A71D1A">
      <w:pPr>
        <w:pStyle w:val="BodyText"/>
        <w:numPr>
          <w:ilvl w:val="0"/>
          <w:numId w:val="51"/>
        </w:numPr>
        <w:ind w:left="720" w:right="846" w:hanging="720"/>
        <w:rPr>
          <w:rFonts w:ascii="Times New Roman" w:hAnsi="Times New Roman" w:cs="Times New Roman"/>
        </w:rPr>
      </w:pPr>
      <w:r w:rsidRPr="00C82463">
        <w:rPr>
          <w:rFonts w:ascii="Times New Roman" w:hAnsi="Times New Roman" w:cs="Times New Roman"/>
        </w:rPr>
        <w:t xml:space="preserve">NRC and Canadian Nuclear Safety Commission, “Joint Report on Terrestrial Energy’s Methodology for Developing a Postulated Initiating Events List for the Integral Molten Salt Reactor,” </w:t>
      </w:r>
      <w:r w:rsidR="004A0D4B">
        <w:rPr>
          <w:rFonts w:ascii="Times New Roman" w:hAnsi="Times New Roman" w:cs="Times New Roman"/>
        </w:rPr>
        <w:t>Washington, DC</w:t>
      </w:r>
      <w:r w:rsidRPr="00C82463">
        <w:rPr>
          <w:rFonts w:ascii="Times New Roman" w:hAnsi="Times New Roman" w:cs="Times New Roman"/>
        </w:rPr>
        <w:t>, 2022.</w:t>
      </w:r>
      <w:r w:rsidR="00C57593">
        <w:rPr>
          <w:rFonts w:ascii="Times New Roman" w:hAnsi="Times New Roman" w:cs="Times New Roman"/>
        </w:rPr>
        <w:t xml:space="preserve"> </w:t>
      </w:r>
      <w:r w:rsidR="0012200F">
        <w:rPr>
          <w:rFonts w:ascii="Times New Roman" w:hAnsi="Times New Roman" w:cs="Times New Roman"/>
        </w:rPr>
        <w:t>(</w:t>
      </w:r>
      <w:r w:rsidR="00C57593">
        <w:rPr>
          <w:rFonts w:ascii="Times New Roman" w:hAnsi="Times New Roman" w:cs="Times New Roman"/>
        </w:rPr>
        <w:t>ADAMS Accession No. ML22139A124</w:t>
      </w:r>
      <w:r w:rsidR="0012200F">
        <w:rPr>
          <w:rFonts w:ascii="Times New Roman" w:hAnsi="Times New Roman" w:cs="Times New Roman"/>
        </w:rPr>
        <w:t>)</w:t>
      </w:r>
    </w:p>
    <w:p w:rsidR="00443B0E" w:rsidP="002F3C90" w14:paraId="1D82BC02" w14:textId="77777777">
      <w:pPr>
        <w:pStyle w:val="BodyText"/>
        <w:ind w:left="0" w:right="846"/>
        <w:rPr>
          <w:rFonts w:ascii="Times New Roman" w:hAnsi="Times New Roman" w:cs="Times New Roman"/>
        </w:rPr>
      </w:pPr>
    </w:p>
    <w:p w:rsidR="00F0116D" w:rsidP="002F3C90" w14:paraId="332F9B78" w14:textId="0040782B">
      <w:pPr>
        <w:pStyle w:val="BodyText"/>
        <w:numPr>
          <w:ilvl w:val="0"/>
          <w:numId w:val="51"/>
        </w:numPr>
        <w:ind w:left="720" w:right="846" w:hanging="720"/>
        <w:rPr>
          <w:rFonts w:ascii="Times New Roman" w:hAnsi="Times New Roman" w:cs="Times New Roman"/>
        </w:rPr>
      </w:pPr>
      <w:r>
        <w:rPr>
          <w:rFonts w:ascii="Times New Roman" w:hAnsi="Times New Roman" w:cs="Times New Roman"/>
        </w:rPr>
        <w:t xml:space="preserve">Department of Defense, </w:t>
      </w:r>
      <w:r w:rsidR="006A17F4">
        <w:rPr>
          <w:rFonts w:ascii="Times New Roman" w:hAnsi="Times New Roman" w:cs="Times New Roman"/>
        </w:rPr>
        <w:t>MIL-STD-882</w:t>
      </w:r>
      <w:r w:rsidR="000E0B4A">
        <w:rPr>
          <w:rFonts w:ascii="Times New Roman" w:hAnsi="Times New Roman" w:cs="Times New Roman"/>
        </w:rPr>
        <w:t>, “System Safety,” Washington, DC</w:t>
      </w:r>
      <w:r w:rsidR="007D2708">
        <w:rPr>
          <w:rFonts w:ascii="Times New Roman" w:hAnsi="Times New Roman" w:cs="Times New Roman"/>
        </w:rPr>
        <w:t>, 20</w:t>
      </w:r>
      <w:r w:rsidR="00FC5C77">
        <w:rPr>
          <w:rFonts w:ascii="Times New Roman" w:hAnsi="Times New Roman" w:cs="Times New Roman"/>
        </w:rPr>
        <w:t>23</w:t>
      </w:r>
      <w:r w:rsidR="000E0B4A">
        <w:rPr>
          <w:rFonts w:ascii="Times New Roman" w:hAnsi="Times New Roman" w:cs="Times New Roman"/>
        </w:rPr>
        <w:t>.</w:t>
      </w:r>
    </w:p>
    <w:p w:rsidR="00443B0E" w:rsidP="002F3C90" w14:paraId="279EDC3E" w14:textId="77777777">
      <w:pPr>
        <w:pStyle w:val="BodyText"/>
        <w:ind w:left="0" w:right="846"/>
        <w:rPr>
          <w:rFonts w:ascii="Times New Roman" w:hAnsi="Times New Roman" w:cs="Times New Roman"/>
        </w:rPr>
      </w:pPr>
    </w:p>
    <w:p w:rsidR="006A17F4" w:rsidP="002F3C90" w14:paraId="33DB7FAF" w14:textId="4D2F4EBB">
      <w:pPr>
        <w:pStyle w:val="BodyText"/>
        <w:numPr>
          <w:ilvl w:val="0"/>
          <w:numId w:val="51"/>
        </w:numPr>
        <w:ind w:left="720" w:right="846" w:hanging="720"/>
        <w:rPr>
          <w:rFonts w:ascii="Times New Roman" w:hAnsi="Times New Roman" w:cs="Times New Roman"/>
        </w:rPr>
      </w:pPr>
      <w:r>
        <w:rPr>
          <w:rFonts w:ascii="Times New Roman" w:hAnsi="Times New Roman" w:cs="Times New Roman"/>
        </w:rPr>
        <w:t xml:space="preserve">Federal Aviation Administration, </w:t>
      </w:r>
      <w:r w:rsidR="00E12F61">
        <w:rPr>
          <w:rFonts w:ascii="Times New Roman" w:hAnsi="Times New Roman" w:cs="Times New Roman"/>
        </w:rPr>
        <w:t xml:space="preserve">Advisory Circular </w:t>
      </w:r>
      <w:r w:rsidR="006F0DA3">
        <w:rPr>
          <w:rFonts w:ascii="Times New Roman" w:hAnsi="Times New Roman" w:cs="Times New Roman"/>
        </w:rPr>
        <w:t>AC 25.1309-1</w:t>
      </w:r>
      <w:r w:rsidR="003A6EC3">
        <w:rPr>
          <w:rFonts w:ascii="Times New Roman" w:hAnsi="Times New Roman" w:cs="Times New Roman"/>
        </w:rPr>
        <w:t>, “System Design and Analysis,” Washington, DC</w:t>
      </w:r>
      <w:r w:rsidR="00FC5C77">
        <w:rPr>
          <w:rFonts w:ascii="Times New Roman" w:hAnsi="Times New Roman" w:cs="Times New Roman"/>
        </w:rPr>
        <w:t>, 2024</w:t>
      </w:r>
      <w:r w:rsidR="003A6EC3">
        <w:rPr>
          <w:rFonts w:ascii="Times New Roman" w:hAnsi="Times New Roman" w:cs="Times New Roman"/>
        </w:rPr>
        <w:t>.</w:t>
      </w:r>
    </w:p>
    <w:p w:rsidR="00443B0E" w:rsidP="002F3C90" w14:paraId="30D2B8C9" w14:textId="77777777">
      <w:pPr>
        <w:pStyle w:val="BodyText"/>
        <w:ind w:left="0" w:right="846"/>
        <w:rPr>
          <w:rFonts w:ascii="Times New Roman" w:hAnsi="Times New Roman" w:cs="Times New Roman"/>
        </w:rPr>
      </w:pPr>
    </w:p>
    <w:p w:rsidR="00E41159" w:rsidP="0021002A" w14:paraId="31E9CA4C" w14:textId="0468EC78">
      <w:pPr>
        <w:pStyle w:val="ListParagraph"/>
        <w:numPr>
          <w:ilvl w:val="0"/>
          <w:numId w:val="51"/>
        </w:numPr>
        <w:spacing w:after="0" w:line="240" w:lineRule="auto"/>
        <w:ind w:left="720" w:hanging="720"/>
        <w:contextualSpacing w:val="0"/>
        <w:rPr>
          <w:rFonts w:ascii="Times New Roman" w:eastAsia="Arial" w:hAnsi="Times New Roman" w:cs="Times New Roman"/>
        </w:rPr>
      </w:pPr>
      <w:r w:rsidRPr="00E41159">
        <w:rPr>
          <w:rFonts w:ascii="Times New Roman" w:eastAsia="Arial" w:hAnsi="Times New Roman" w:cs="Times New Roman"/>
        </w:rPr>
        <w:t>ASME/ANS, ASME/ANS RA Sa 2009, “Standard for Level 1/Large Early Release Frequency Probabilistic Risk Assessment for Nuclear Power Plant Applications,” New York, New York, 2009.</w:t>
      </w:r>
    </w:p>
    <w:p w:rsidR="00443B0E" w:rsidRPr="00443B0E" w:rsidP="0021002A" w14:paraId="7C3040C0" w14:textId="77777777">
      <w:pPr>
        <w:spacing w:after="0" w:line="240" w:lineRule="auto"/>
        <w:rPr>
          <w:rFonts w:ascii="Times New Roman" w:eastAsia="Arial" w:hAnsi="Times New Roman" w:cs="Times New Roman"/>
        </w:rPr>
      </w:pPr>
    </w:p>
    <w:p w:rsidR="00731A63" w:rsidP="002F3C90" w14:paraId="685079FC" w14:textId="360A4733">
      <w:pPr>
        <w:pStyle w:val="BodyText"/>
        <w:numPr>
          <w:ilvl w:val="0"/>
          <w:numId w:val="51"/>
        </w:numPr>
        <w:ind w:left="720" w:right="846" w:hanging="720"/>
        <w:rPr>
          <w:rFonts w:ascii="Times New Roman" w:hAnsi="Times New Roman" w:cs="Times New Roman"/>
        </w:rPr>
      </w:pPr>
      <w:r w:rsidRPr="009A3BC7">
        <w:rPr>
          <w:rFonts w:ascii="Times New Roman" w:hAnsi="Times New Roman" w:cs="Times New Roman"/>
        </w:rPr>
        <w:t>Center for Chemical Process Safety (CCPS), “Guidelines for Hazard Evaluation Procedures,” John Wiley &amp; Sons, Inc. and the American Institute of Chemical Engineers (AIChE), New York, New York, 2008.</w:t>
      </w:r>
    </w:p>
    <w:p w:rsidR="00443B0E" w:rsidP="002F3C90" w14:paraId="796C1D34" w14:textId="77777777">
      <w:pPr>
        <w:pStyle w:val="BodyText"/>
        <w:ind w:left="0" w:right="846"/>
        <w:rPr>
          <w:rFonts w:ascii="Times New Roman" w:hAnsi="Times New Roman" w:cs="Times New Roman"/>
        </w:rPr>
      </w:pPr>
    </w:p>
    <w:p w:rsidR="00DD0614" w:rsidP="0021002A" w14:paraId="374FB619" w14:textId="77777777">
      <w:pPr>
        <w:pStyle w:val="ListParagraph"/>
        <w:numPr>
          <w:ilvl w:val="0"/>
          <w:numId w:val="51"/>
        </w:numPr>
        <w:spacing w:after="0" w:line="240" w:lineRule="auto"/>
        <w:ind w:left="720" w:hanging="720"/>
        <w:contextualSpacing w:val="0"/>
        <w:rPr>
          <w:rFonts w:ascii="Times New Roman" w:eastAsia="Arial" w:hAnsi="Times New Roman" w:cs="Times New Roman"/>
        </w:rPr>
      </w:pPr>
      <w:r w:rsidRPr="00DD0614">
        <w:rPr>
          <w:rFonts w:ascii="Times New Roman" w:eastAsia="Arial" w:hAnsi="Times New Roman" w:cs="Times New Roman"/>
        </w:rPr>
        <w:t>CCPS, “Guidelines for Initiating Events and Independent Protection Layers in Layer of Protection Analysis,” AIChE, New York, NY, 2015.</w:t>
      </w:r>
    </w:p>
    <w:p w:rsidR="00443B0E" w:rsidRPr="00443B0E" w:rsidP="0021002A" w14:paraId="3DEC1D28" w14:textId="77777777">
      <w:pPr>
        <w:spacing w:after="0" w:line="240" w:lineRule="auto"/>
        <w:rPr>
          <w:rFonts w:ascii="Times New Roman" w:eastAsia="Arial" w:hAnsi="Times New Roman" w:cs="Times New Roman"/>
        </w:rPr>
      </w:pPr>
    </w:p>
    <w:p w:rsidR="00DD0614" w:rsidP="002F3C90" w14:paraId="59131427" w14:textId="59840FD0">
      <w:pPr>
        <w:pStyle w:val="BodyText"/>
        <w:numPr>
          <w:ilvl w:val="0"/>
          <w:numId w:val="51"/>
        </w:numPr>
        <w:ind w:left="720" w:right="846" w:hanging="720"/>
        <w:rPr>
          <w:rFonts w:ascii="Times New Roman" w:hAnsi="Times New Roman" w:cs="Times New Roman"/>
        </w:rPr>
      </w:pPr>
      <w:r>
        <w:rPr>
          <w:rFonts w:ascii="Times New Roman" w:hAnsi="Times New Roman" w:cs="Times New Roman"/>
        </w:rPr>
        <w:t>EPRI T</w:t>
      </w:r>
      <w:r w:rsidR="00C13F0B">
        <w:rPr>
          <w:rFonts w:ascii="Times New Roman" w:hAnsi="Times New Roman" w:cs="Times New Roman"/>
        </w:rPr>
        <w:t xml:space="preserve">echnical Report </w:t>
      </w:r>
      <w:r w:rsidR="00FC4A42">
        <w:rPr>
          <w:rFonts w:ascii="Times New Roman" w:hAnsi="Times New Roman" w:cs="Times New Roman"/>
        </w:rPr>
        <w:t>110161</w:t>
      </w:r>
      <w:r w:rsidR="008360BA">
        <w:rPr>
          <w:rFonts w:ascii="Times New Roman" w:hAnsi="Times New Roman" w:cs="Times New Roman"/>
        </w:rPr>
        <w:t xml:space="preserve">, “Piping </w:t>
      </w:r>
      <w:r w:rsidR="002262A6">
        <w:rPr>
          <w:rFonts w:ascii="Times New Roman" w:hAnsi="Times New Roman" w:cs="Times New Roman"/>
        </w:rPr>
        <w:t xml:space="preserve">System Reliability and Failure Rate Estimate Models for Use in Risk-Informed In-Service Inspection Applications,” Palo Alto, </w:t>
      </w:r>
      <w:r w:rsidR="00591117">
        <w:rPr>
          <w:rFonts w:ascii="Times New Roman" w:hAnsi="Times New Roman" w:cs="Times New Roman"/>
        </w:rPr>
        <w:t xml:space="preserve">California, </w:t>
      </w:r>
      <w:r w:rsidR="002262A6">
        <w:rPr>
          <w:rFonts w:ascii="Times New Roman" w:hAnsi="Times New Roman" w:cs="Times New Roman"/>
        </w:rPr>
        <w:t>1998.</w:t>
      </w:r>
    </w:p>
    <w:p w:rsidR="00443B0E" w:rsidP="002F3C90" w14:paraId="1DE6AEF4" w14:textId="77777777">
      <w:pPr>
        <w:pStyle w:val="BodyText"/>
        <w:ind w:left="0" w:right="846"/>
        <w:rPr>
          <w:rFonts w:ascii="Times New Roman" w:hAnsi="Times New Roman" w:cs="Times New Roman"/>
        </w:rPr>
      </w:pPr>
    </w:p>
    <w:p w:rsidR="00FC4A42" w:rsidP="0021002A" w14:paraId="582894F9" w14:textId="77777777">
      <w:pPr>
        <w:pStyle w:val="ListParagraph"/>
        <w:numPr>
          <w:ilvl w:val="0"/>
          <w:numId w:val="51"/>
        </w:numPr>
        <w:spacing w:after="0" w:line="240" w:lineRule="auto"/>
        <w:ind w:left="720" w:hanging="720"/>
        <w:contextualSpacing w:val="0"/>
        <w:rPr>
          <w:rFonts w:ascii="Times New Roman" w:eastAsia="Arial" w:hAnsi="Times New Roman" w:cs="Times New Roman"/>
        </w:rPr>
      </w:pPr>
      <w:r w:rsidRPr="00FC4A42">
        <w:rPr>
          <w:rFonts w:ascii="Times New Roman" w:eastAsia="Arial" w:hAnsi="Times New Roman" w:cs="Times New Roman"/>
        </w:rPr>
        <w:t>EPRI, Technical Report 3002000509, “Hazard Analysis Methods for Digital Instrumentation and Control Systems,” Palo Alto, California, 2013.</w:t>
      </w:r>
    </w:p>
    <w:p w:rsidR="006D01CE" w:rsidRPr="00FC4A42" w:rsidP="0021002A" w14:paraId="5DD90870" w14:textId="77777777">
      <w:pPr>
        <w:pStyle w:val="ListParagraph"/>
        <w:spacing w:after="0" w:line="240" w:lineRule="auto"/>
        <w:ind w:hanging="720"/>
        <w:contextualSpacing w:val="0"/>
        <w:rPr>
          <w:rFonts w:ascii="Times New Roman" w:eastAsia="Arial" w:hAnsi="Times New Roman" w:cs="Times New Roman"/>
        </w:rPr>
      </w:pPr>
    </w:p>
    <w:p w:rsidR="006D01CE" w:rsidP="0021002A" w14:paraId="29598210" w14:textId="46DEE9B8">
      <w:pPr>
        <w:pStyle w:val="ListParagraph"/>
        <w:numPr>
          <w:ilvl w:val="0"/>
          <w:numId w:val="51"/>
        </w:numPr>
        <w:spacing w:after="0" w:line="240" w:lineRule="auto"/>
        <w:ind w:left="720" w:hanging="720"/>
        <w:contextualSpacing w:val="0"/>
        <w:rPr>
          <w:rFonts w:ascii="Times New Roman" w:eastAsia="Arial" w:hAnsi="Times New Roman" w:cs="Times New Roman"/>
        </w:rPr>
      </w:pPr>
      <w:r w:rsidRPr="006D01CE">
        <w:rPr>
          <w:rFonts w:ascii="Times New Roman" w:eastAsia="Arial" w:hAnsi="Times New Roman" w:cs="Times New Roman"/>
        </w:rPr>
        <w:t>EPRI, Technical Report 3002018340, “Compilation of Molten Salt Reactor Experiment (MSRE) Technical, Hazard, and Risk Analyses: A Retrospective Application of Safety in Design Methods,” Palo Alto, California, 2020</w:t>
      </w:r>
      <w:r w:rsidR="00C13F0B">
        <w:rPr>
          <w:rFonts w:ascii="Times New Roman" w:eastAsia="Arial" w:hAnsi="Times New Roman" w:cs="Times New Roman"/>
        </w:rPr>
        <w:t>.</w:t>
      </w:r>
    </w:p>
    <w:p w:rsidR="00443B0E" w:rsidRPr="00443B0E" w:rsidP="0021002A" w14:paraId="0747DFB1" w14:textId="77777777">
      <w:pPr>
        <w:spacing w:after="0" w:line="240" w:lineRule="auto"/>
        <w:rPr>
          <w:rFonts w:ascii="Times New Roman" w:eastAsia="Arial" w:hAnsi="Times New Roman" w:cs="Times New Roman"/>
        </w:rPr>
      </w:pPr>
    </w:p>
    <w:p w:rsidR="00133C5F" w:rsidP="002F3C90" w14:paraId="131203FF" w14:textId="28E09C9D">
      <w:pPr>
        <w:pStyle w:val="BodyText"/>
        <w:numPr>
          <w:ilvl w:val="0"/>
          <w:numId w:val="51"/>
        </w:numPr>
        <w:ind w:left="720" w:right="846" w:hanging="720"/>
        <w:rPr>
          <w:rFonts w:ascii="Times New Roman" w:hAnsi="Times New Roman" w:cs="Times New Roman"/>
        </w:rPr>
      </w:pPr>
      <w:r w:rsidRPr="00C82463">
        <w:rPr>
          <w:rFonts w:ascii="Times New Roman" w:hAnsi="Times New Roman" w:cs="Times New Roman"/>
        </w:rPr>
        <w:t xml:space="preserve">IAEA, </w:t>
      </w:r>
      <w:r w:rsidRPr="00C82463" w:rsidR="00F27303">
        <w:rPr>
          <w:rFonts w:ascii="Times New Roman" w:hAnsi="Times New Roman" w:cs="Times New Roman"/>
        </w:rPr>
        <w:t>IAEA-TECDOC</w:t>
      </w:r>
      <w:r w:rsidR="004A0D4B">
        <w:rPr>
          <w:rFonts w:ascii="Times New Roman" w:hAnsi="Times New Roman" w:cs="Times New Roman"/>
        </w:rPr>
        <w:noBreakHyphen/>
      </w:r>
      <w:r w:rsidRPr="00C82463" w:rsidR="00F27303">
        <w:rPr>
          <w:rFonts w:ascii="Times New Roman" w:hAnsi="Times New Roman" w:cs="Times New Roman"/>
        </w:rPr>
        <w:t xml:space="preserve">719, </w:t>
      </w:r>
      <w:r w:rsidRPr="00C82463">
        <w:rPr>
          <w:rFonts w:ascii="Times New Roman" w:hAnsi="Times New Roman" w:cs="Times New Roman"/>
        </w:rPr>
        <w:t>“Defining Initiating Events for Purposes of Probabilistic Safety Assessment,” Vienna, Austria, 1993.</w:t>
      </w:r>
    </w:p>
    <w:p w:rsidR="00443B0E" w:rsidRPr="00C82463" w:rsidP="002F3C90" w14:paraId="690F7960" w14:textId="77777777">
      <w:pPr>
        <w:pStyle w:val="BodyText"/>
        <w:ind w:left="0" w:right="846"/>
        <w:rPr>
          <w:rFonts w:ascii="Times New Roman" w:hAnsi="Times New Roman" w:cs="Times New Roman"/>
        </w:rPr>
      </w:pPr>
    </w:p>
    <w:p w:rsidR="00133C5F" w:rsidP="002F3C90" w14:paraId="0F98D0D6" w14:textId="3A38C82A">
      <w:pPr>
        <w:pStyle w:val="BodyText"/>
        <w:numPr>
          <w:ilvl w:val="0"/>
          <w:numId w:val="51"/>
        </w:numPr>
        <w:ind w:left="720" w:right="846" w:hanging="720"/>
        <w:rPr>
          <w:rFonts w:ascii="Times New Roman" w:hAnsi="Times New Roman" w:cs="Times New Roman"/>
        </w:rPr>
      </w:pPr>
      <w:r w:rsidRPr="00C82463">
        <w:rPr>
          <w:rFonts w:ascii="Times New Roman" w:hAnsi="Times New Roman" w:cs="Times New Roman"/>
        </w:rPr>
        <w:t xml:space="preserve">International Electrotechnical Commission (IEC), </w:t>
      </w:r>
      <w:r w:rsidRPr="00C82463" w:rsidR="00EB2FA4">
        <w:rPr>
          <w:rFonts w:ascii="Times New Roman" w:hAnsi="Times New Roman" w:cs="Times New Roman"/>
        </w:rPr>
        <w:t xml:space="preserve">International Standard IEC 31010, </w:t>
      </w:r>
      <w:r w:rsidRPr="00C82463">
        <w:rPr>
          <w:rFonts w:ascii="Times New Roman" w:hAnsi="Times New Roman" w:cs="Times New Roman"/>
        </w:rPr>
        <w:t>“Risk Management</w:t>
      </w:r>
      <w:r w:rsidR="004A0D4B">
        <w:rPr>
          <w:rFonts w:ascii="Times New Roman" w:hAnsi="Times New Roman" w:cs="Times New Roman"/>
        </w:rPr>
        <w:t>—</w:t>
      </w:r>
      <w:r w:rsidRPr="00C82463">
        <w:rPr>
          <w:rFonts w:ascii="Times New Roman" w:hAnsi="Times New Roman" w:cs="Times New Roman"/>
        </w:rPr>
        <w:t>Risk Assessment Techniques,” Geneva, Switzerland, 2019.</w:t>
      </w:r>
      <w:r>
        <w:rPr>
          <w:rStyle w:val="FootnoteReference"/>
          <w:rFonts w:ascii="Times New Roman" w:hAnsi="Times New Roman" w:cs="Times New Roman"/>
        </w:rPr>
        <w:footnoteReference w:id="12"/>
      </w:r>
    </w:p>
    <w:p w:rsidR="00443B0E" w:rsidP="002F3C90" w14:paraId="086058B4" w14:textId="77777777">
      <w:pPr>
        <w:pStyle w:val="BodyText"/>
        <w:ind w:left="0" w:right="846"/>
        <w:rPr>
          <w:rFonts w:ascii="Times New Roman" w:hAnsi="Times New Roman" w:cs="Times New Roman"/>
        </w:rPr>
      </w:pPr>
    </w:p>
    <w:p w:rsidR="00615FD6" w:rsidP="0021002A" w14:paraId="271DAF00" w14:textId="4BE8742A">
      <w:pPr>
        <w:pStyle w:val="ListParagraph"/>
        <w:numPr>
          <w:ilvl w:val="0"/>
          <w:numId w:val="51"/>
        </w:numPr>
        <w:spacing w:after="0" w:line="240" w:lineRule="auto"/>
        <w:ind w:left="720" w:hanging="720"/>
        <w:contextualSpacing w:val="0"/>
        <w:rPr>
          <w:rFonts w:ascii="Times New Roman" w:eastAsia="Arial" w:hAnsi="Times New Roman" w:cs="Times New Roman"/>
        </w:rPr>
      </w:pPr>
      <w:r w:rsidRPr="00615FD6">
        <w:rPr>
          <w:rFonts w:ascii="Times New Roman" w:eastAsia="Arial" w:hAnsi="Times New Roman" w:cs="Times New Roman"/>
        </w:rPr>
        <w:t>International Electrotechnical Commission, IEC Document 61882</w:t>
      </w:r>
      <w:r w:rsidR="00702324">
        <w:rPr>
          <w:rFonts w:ascii="Times New Roman" w:eastAsia="Arial" w:hAnsi="Times New Roman" w:cs="Times New Roman"/>
        </w:rPr>
        <w:t>-</w:t>
      </w:r>
      <w:r w:rsidRPr="00615FD6">
        <w:rPr>
          <w:rFonts w:ascii="Times New Roman" w:eastAsia="Arial" w:hAnsi="Times New Roman" w:cs="Times New Roman"/>
        </w:rPr>
        <w:t>2001, “Hazard and Operability Studies (HAZOP studies)—Application Guide,” Geneva, Switzerland, 2001</w:t>
      </w:r>
      <w:r w:rsidR="00924ED6">
        <w:rPr>
          <w:rFonts w:ascii="Times New Roman" w:eastAsia="Arial" w:hAnsi="Times New Roman" w:cs="Times New Roman"/>
        </w:rPr>
        <w:t>.</w:t>
      </w:r>
    </w:p>
    <w:p w:rsidR="00443B0E" w:rsidRPr="00443B0E" w:rsidP="0021002A" w14:paraId="3B0B5B95" w14:textId="77777777">
      <w:pPr>
        <w:spacing w:after="0" w:line="240" w:lineRule="auto"/>
        <w:rPr>
          <w:rFonts w:ascii="Times New Roman" w:eastAsia="Arial" w:hAnsi="Times New Roman" w:cs="Times New Roman"/>
        </w:rPr>
      </w:pPr>
    </w:p>
    <w:p w:rsidR="00615FD6" w:rsidP="002F3C90" w14:paraId="0A635D13" w14:textId="2D310AE9">
      <w:pPr>
        <w:pStyle w:val="BodyText"/>
        <w:numPr>
          <w:ilvl w:val="0"/>
          <w:numId w:val="51"/>
        </w:numPr>
        <w:ind w:left="720" w:right="846" w:hanging="720"/>
        <w:rPr>
          <w:rFonts w:ascii="Times New Roman" w:hAnsi="Times New Roman" w:cs="Times New Roman"/>
        </w:rPr>
      </w:pPr>
      <w:r>
        <w:rPr>
          <w:rFonts w:ascii="Times New Roman" w:hAnsi="Times New Roman" w:cs="Times New Roman"/>
        </w:rPr>
        <w:t>I</w:t>
      </w:r>
      <w:r w:rsidR="007170BA">
        <w:rPr>
          <w:rFonts w:ascii="Times New Roman" w:hAnsi="Times New Roman" w:cs="Times New Roman"/>
        </w:rPr>
        <w:t xml:space="preserve">nstitute of </w:t>
      </w:r>
      <w:r w:rsidR="007018E3">
        <w:rPr>
          <w:rFonts w:ascii="Times New Roman" w:hAnsi="Times New Roman" w:cs="Times New Roman"/>
        </w:rPr>
        <w:t>Electrical and Electronics Engineers (IEEE), I</w:t>
      </w:r>
      <w:r>
        <w:rPr>
          <w:rFonts w:ascii="Times New Roman" w:hAnsi="Times New Roman" w:cs="Times New Roman"/>
        </w:rPr>
        <w:t>EEE Std. 352</w:t>
      </w:r>
      <w:r w:rsidR="007018E3">
        <w:rPr>
          <w:rFonts w:ascii="Times New Roman" w:hAnsi="Times New Roman" w:cs="Times New Roman"/>
        </w:rPr>
        <w:t>, “</w:t>
      </w:r>
      <w:r w:rsidRPr="00857860" w:rsidR="00857860">
        <w:rPr>
          <w:rFonts w:ascii="Times New Roman" w:hAnsi="Times New Roman" w:cs="Times New Roman"/>
        </w:rPr>
        <w:t>IEEE Guide for General Principles of Reliability Analysis of Nuclear Power Generating Station Systems and Other Nuclear Facilities</w:t>
      </w:r>
      <w:r w:rsidR="00857860">
        <w:rPr>
          <w:rFonts w:ascii="Times New Roman" w:hAnsi="Times New Roman" w:cs="Times New Roman"/>
        </w:rPr>
        <w:t xml:space="preserve">,” </w:t>
      </w:r>
      <w:r w:rsidR="006E607A">
        <w:rPr>
          <w:rFonts w:ascii="Times New Roman" w:hAnsi="Times New Roman" w:cs="Times New Roman"/>
        </w:rPr>
        <w:t>New York.</w:t>
      </w:r>
    </w:p>
    <w:p w:rsidR="00443B0E" w:rsidRPr="00C82463" w:rsidP="002F3C90" w14:paraId="69F94445" w14:textId="77777777">
      <w:pPr>
        <w:pStyle w:val="BodyText"/>
        <w:ind w:left="0" w:right="846"/>
        <w:rPr>
          <w:rFonts w:ascii="Times New Roman" w:hAnsi="Times New Roman" w:cs="Times New Roman"/>
        </w:rPr>
      </w:pPr>
    </w:p>
    <w:p w:rsidR="008F2145" w:rsidP="002F3C90" w14:paraId="4FB570C9" w14:textId="1DD02C51">
      <w:pPr>
        <w:pStyle w:val="NoSpacing"/>
        <w:numPr>
          <w:ilvl w:val="0"/>
          <w:numId w:val="51"/>
        </w:numPr>
        <w:ind w:left="720" w:hanging="720"/>
        <w:rPr>
          <w:rFonts w:ascii="Times New Roman" w:hAnsi="Times New Roman" w:cs="Times New Roman"/>
        </w:rPr>
      </w:pPr>
      <w:r w:rsidRPr="006E2BCA">
        <w:rPr>
          <w:rFonts w:ascii="Times New Roman" w:hAnsi="Times New Roman" w:cs="Times New Roman"/>
        </w:rPr>
        <w:t>Popović</w:t>
      </w:r>
      <w:r w:rsidR="000A04E8">
        <w:rPr>
          <w:rFonts w:ascii="Times New Roman" w:hAnsi="Times New Roman" w:cs="Times New Roman"/>
        </w:rPr>
        <w:t>, Vladimir,</w:t>
      </w:r>
      <w:r w:rsidRPr="006E2BCA">
        <w:rPr>
          <w:rFonts w:ascii="Times New Roman" w:hAnsi="Times New Roman" w:cs="Times New Roman"/>
        </w:rPr>
        <w:t xml:space="preserve"> and</w:t>
      </w:r>
      <w:r w:rsidRPr="006E2BCA" w:rsidR="000A04E8">
        <w:rPr>
          <w:rFonts w:ascii="Times New Roman" w:hAnsi="Times New Roman" w:cs="Times New Roman"/>
        </w:rPr>
        <w:t xml:space="preserve"> </w:t>
      </w:r>
      <w:r w:rsidRPr="006E2BCA">
        <w:rPr>
          <w:rFonts w:ascii="Times New Roman" w:hAnsi="Times New Roman" w:cs="Times New Roman"/>
        </w:rPr>
        <w:t>Branko</w:t>
      </w:r>
      <w:r w:rsidRPr="00140E1C" w:rsidR="00140E1C">
        <w:rPr>
          <w:rFonts w:ascii="Times New Roman" w:hAnsi="Times New Roman" w:cs="Times New Roman"/>
        </w:rPr>
        <w:t xml:space="preserve"> </w:t>
      </w:r>
      <w:r w:rsidRPr="006E2BCA" w:rsidR="00140E1C">
        <w:rPr>
          <w:rFonts w:ascii="Times New Roman" w:hAnsi="Times New Roman" w:cs="Times New Roman"/>
        </w:rPr>
        <w:t>Vasić</w:t>
      </w:r>
      <w:r>
        <w:rPr>
          <w:rFonts w:ascii="Times New Roman" w:hAnsi="Times New Roman" w:cs="Times New Roman"/>
        </w:rPr>
        <w:t>,</w:t>
      </w:r>
      <w:r w:rsidRPr="006E2BCA">
        <w:rPr>
          <w:rFonts w:ascii="Times New Roman" w:hAnsi="Times New Roman" w:cs="Times New Roman"/>
        </w:rPr>
        <w:t xml:space="preserve"> </w:t>
      </w:r>
      <w:r w:rsidRPr="006E2BCA">
        <w:rPr>
          <w:rFonts w:ascii="Times New Roman" w:hAnsi="Times New Roman" w:cs="Times New Roman"/>
        </w:rPr>
        <w:t>“Review of Hazard Analysis Methods and Their Basic Characteristics,”</w:t>
      </w:r>
      <w:r w:rsidRPr="00963BEF">
        <w:rPr>
          <w:rFonts w:ascii="Times New Roman" w:hAnsi="Times New Roman" w:cs="Times New Roman"/>
        </w:rPr>
        <w:t xml:space="preserve"> </w:t>
      </w:r>
      <w:r w:rsidRPr="007707BA">
        <w:rPr>
          <w:rFonts w:ascii="Times New Roman" w:hAnsi="Times New Roman" w:cs="Times New Roman"/>
          <w:i/>
          <w:iCs/>
        </w:rPr>
        <w:t>FME Transactions</w:t>
      </w:r>
      <w:r w:rsidRPr="006E2BCA">
        <w:rPr>
          <w:rFonts w:ascii="Times New Roman" w:hAnsi="Times New Roman" w:cs="Times New Roman"/>
        </w:rPr>
        <w:t>, Vol.</w:t>
      </w:r>
      <w:r>
        <w:rPr>
          <w:rFonts w:ascii="Times New Roman" w:hAnsi="Times New Roman" w:cs="Times New Roman"/>
        </w:rPr>
        <w:t> </w:t>
      </w:r>
      <w:r w:rsidRPr="006E2BCA">
        <w:rPr>
          <w:rFonts w:ascii="Times New Roman" w:hAnsi="Times New Roman" w:cs="Times New Roman"/>
        </w:rPr>
        <w:t>36</w:t>
      </w:r>
      <w:r w:rsidRPr="006E2BCA">
        <w:rPr>
          <w:rFonts w:ascii="Times New Roman" w:hAnsi="Times New Roman" w:cs="Times New Roman"/>
        </w:rPr>
        <w:t>, 2008.</w:t>
      </w:r>
    </w:p>
    <w:p w:rsidR="00443B0E" w:rsidP="002F3C90" w14:paraId="01EEA88B" w14:textId="77777777">
      <w:pPr>
        <w:pStyle w:val="NoSpacing"/>
        <w:rPr>
          <w:rFonts w:ascii="Times New Roman" w:hAnsi="Times New Roman" w:cs="Times New Roman"/>
        </w:rPr>
      </w:pPr>
    </w:p>
    <w:p w:rsidR="003A72D2" w:rsidRPr="00B41249" w:rsidP="002F3C90" w14:paraId="3690AA7B" w14:textId="2FBDDB69">
      <w:pPr>
        <w:pStyle w:val="ListParagraph"/>
        <w:widowControl w:val="0"/>
        <w:numPr>
          <w:ilvl w:val="0"/>
          <w:numId w:val="51"/>
        </w:numPr>
        <w:autoSpaceDE w:val="0"/>
        <w:autoSpaceDN w:val="0"/>
        <w:spacing w:after="0" w:line="240" w:lineRule="auto"/>
        <w:ind w:left="720" w:hanging="720"/>
        <w:contextualSpacing w:val="0"/>
        <w:rPr>
          <w:rFonts w:ascii="Times New Roman" w:hAnsi="Times New Roman" w:cs="Times New Roman"/>
        </w:rPr>
      </w:pPr>
      <w:r w:rsidRPr="006E2BCA">
        <w:rPr>
          <w:rFonts w:ascii="Times New Roman" w:hAnsi="Times New Roman" w:cs="Times New Roman"/>
        </w:rPr>
        <w:t>Chisholm,</w:t>
      </w:r>
      <w:r w:rsidR="000A04E8">
        <w:rPr>
          <w:rFonts w:ascii="Times New Roman" w:hAnsi="Times New Roman" w:cs="Times New Roman"/>
        </w:rPr>
        <w:t xml:space="preserve"> B.,</w:t>
      </w:r>
      <w:r w:rsidRPr="006E2BCA">
        <w:rPr>
          <w:rFonts w:ascii="Times New Roman" w:hAnsi="Times New Roman" w:cs="Times New Roman"/>
        </w:rPr>
        <w:t xml:space="preserve"> S. Krahn, </w:t>
      </w:r>
      <w:r w:rsidR="00140E1C">
        <w:rPr>
          <w:rFonts w:ascii="Times New Roman" w:hAnsi="Times New Roman" w:cs="Times New Roman"/>
        </w:rPr>
        <w:t xml:space="preserve">and </w:t>
      </w:r>
      <w:r w:rsidRPr="006E2BCA">
        <w:rPr>
          <w:rFonts w:ascii="Times New Roman" w:hAnsi="Times New Roman" w:cs="Times New Roman"/>
        </w:rPr>
        <w:t xml:space="preserve">K. Fleming, “A systematic approach to identify initiating events and its relationship to Probabilistic Risk Assessment: </w:t>
      </w:r>
      <w:r w:rsidR="0070578D">
        <w:rPr>
          <w:rFonts w:ascii="Times New Roman" w:hAnsi="Times New Roman" w:cs="Times New Roman"/>
        </w:rPr>
        <w:t>D</w:t>
      </w:r>
      <w:r w:rsidRPr="006E2BCA">
        <w:rPr>
          <w:rFonts w:ascii="Times New Roman" w:hAnsi="Times New Roman" w:cs="Times New Roman"/>
        </w:rPr>
        <w:t xml:space="preserve">emonstrated on the Molten Salt Reactor Experiment,” </w:t>
      </w:r>
      <w:r w:rsidRPr="00D15BFC">
        <w:rPr>
          <w:rFonts w:ascii="Times New Roman" w:hAnsi="Times New Roman"/>
        </w:rPr>
        <w:t>Progress in Nuclear Engineering</w:t>
      </w:r>
      <w:r w:rsidRPr="006E2BCA">
        <w:rPr>
          <w:rFonts w:ascii="Times New Roman" w:hAnsi="Times New Roman" w:cs="Times New Roman"/>
        </w:rPr>
        <w:t>, Vol.</w:t>
      </w:r>
      <w:r w:rsidR="004A0D4B">
        <w:rPr>
          <w:rFonts w:ascii="Times New Roman" w:hAnsi="Times New Roman" w:cs="Times New Roman"/>
        </w:rPr>
        <w:t> </w:t>
      </w:r>
      <w:r w:rsidRPr="006E2BCA">
        <w:rPr>
          <w:rFonts w:ascii="Times New Roman" w:hAnsi="Times New Roman" w:cs="Times New Roman"/>
        </w:rPr>
        <w:t>129, 2020</w:t>
      </w:r>
      <w:r w:rsidR="00A70D82">
        <w:rPr>
          <w:rFonts w:ascii="Times New Roman" w:hAnsi="Times New Roman" w:cs="Times New Roman"/>
        </w:rPr>
        <w:t>.</w:t>
      </w:r>
      <w:r>
        <w:rPr>
          <w:rFonts w:ascii="Times New Roman" w:hAnsi="Times New Roman" w:cs="Times New Roman"/>
        </w:rPr>
        <w:t xml:space="preserve"> </w:t>
      </w:r>
      <w:r w:rsidRPr="007843F5">
        <w:rPr>
          <w:rFonts w:ascii="Times New Roman" w:eastAsia="ArialMT" w:hAnsi="Times New Roman" w:cs="Times New Roman"/>
        </w:rPr>
        <w:t xml:space="preserve"> </w:t>
      </w:r>
    </w:p>
    <w:p w:rsidR="001A67C7" w:rsidRPr="007D2ACC" w:rsidP="0021002A" w14:paraId="5267377F" w14:textId="2F4BDDCA">
      <w:pPr>
        <w:tabs>
          <w:tab w:val="left" w:pos="8145"/>
        </w:tabs>
        <w:spacing w:line="240" w:lineRule="auto"/>
      </w:pPr>
    </w:p>
    <w:sectPr w:rsidSect="00A37183">
      <w:headerReference w:type="even" r:id="rId26"/>
      <w:headerReference w:type="default" r:id="rId27"/>
      <w:headerReference w:type="first" r:id="rId28"/>
      <w:footnotePr>
        <w:numRestart w:val="eachSect"/>
      </w:foot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668" w:rsidRPr="000F2BE9" w:rsidP="0071658B" w14:paraId="241B4E10" w14:textId="5BA44EBF">
    <w:pPr>
      <w:pStyle w:val="Footer"/>
      <w:jc w:val="center"/>
    </w:pPr>
    <w:r>
      <w:rPr>
        <w:rFonts w:ascii="Times New Roman" w:hAnsi="Times New Roman" w:cs="Times New Roman"/>
      </w:rPr>
      <w:t xml:space="preserve">RG </w:t>
    </w:r>
    <w:r w:rsidR="001B486A">
      <w:rPr>
        <w:rFonts w:ascii="Times New Roman" w:hAnsi="Times New Roman" w:cs="Times New Roman"/>
      </w:rPr>
      <w:t>1.254</w:t>
    </w:r>
    <w:r w:rsidRPr="00962DF0" w:rsidR="006E217F">
      <w:rPr>
        <w:rFonts w:ascii="Times New Roman" w:hAnsi="Times New Roman" w:cs="Times New Roman"/>
      </w:rPr>
      <w:t xml:space="preserve">, Page </w:t>
    </w:r>
    <w:sdt>
      <w:sdtPr>
        <w:rPr>
          <w:rFonts w:ascii="Times New Roman" w:hAnsi="Times New Roman" w:cs="Times New Roman"/>
        </w:rPr>
        <w:id w:val="-1160072129"/>
        <w:docPartObj>
          <w:docPartGallery w:val="Page Numbers (Bottom of Page)"/>
          <w:docPartUnique/>
        </w:docPartObj>
      </w:sdtPr>
      <w:sdtEndPr>
        <w:rPr>
          <w:noProof/>
        </w:rPr>
      </w:sdtEndPr>
      <w:sdtContent>
        <w:r w:rsidRPr="00962DF0">
          <w:rPr>
            <w:rFonts w:ascii="Times New Roman" w:hAnsi="Times New Roman" w:cs="Times New Roman"/>
          </w:rPr>
          <w:fldChar w:fldCharType="begin"/>
        </w:r>
        <w:r w:rsidRPr="00962DF0">
          <w:rPr>
            <w:rFonts w:ascii="Times New Roman" w:hAnsi="Times New Roman" w:cs="Times New Roman"/>
          </w:rPr>
          <w:instrText xml:space="preserve"> PAGE   \* MERGEFORMAT </w:instrText>
        </w:r>
        <w:r w:rsidRPr="00962DF0">
          <w:rPr>
            <w:rFonts w:ascii="Times New Roman" w:hAnsi="Times New Roman" w:cs="Times New Roman"/>
          </w:rPr>
          <w:fldChar w:fldCharType="separate"/>
        </w:r>
        <w:r w:rsidRPr="00962DF0">
          <w:rPr>
            <w:rFonts w:ascii="Times New Roman" w:hAnsi="Times New Roman" w:cs="Times New Roman"/>
            <w:noProof/>
          </w:rPr>
          <w:t>2</w:t>
        </w:r>
        <w:r w:rsidRPr="00962DF0">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4DF47767" w14:textId="77777777" w:rsidTr="009B63E5">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tcPr>
        <w:p w:rsidR="001811FD" w:rsidP="00D15BFC" w14:paraId="79EF6F73" w14:textId="381A451C">
          <w:pPr>
            <w:spacing w:after="0" w:line="240" w:lineRule="auto"/>
            <w:rPr>
              <w:rFonts w:ascii="Times New Roman" w:hAnsi="Times New Roman" w:cs="Times New Roman"/>
              <w:sz w:val="16"/>
              <w:szCs w:val="16"/>
            </w:rPr>
          </w:pPr>
          <w:bookmarkStart w:id="2" w:name="_Hlk111119818"/>
          <w:r w:rsidRPr="001811FD">
            <w:rPr>
              <w:rFonts w:ascii="Times New Roman" w:hAnsi="Times New Roman" w:cs="Times New Roman"/>
              <w:sz w:val="16"/>
              <w:szCs w:val="18"/>
            </w:rPr>
            <w:t xml:space="preserve">Written suggestions regarding this guide or development of new guides may be submitted through the NRC’s public Web site in the NRC Library at </w:t>
          </w:r>
          <w:hyperlink r:id="rId1" w:history="1">
            <w:r w:rsidRPr="003D6B4C">
              <w:rPr>
                <w:rStyle w:val="Hyperlink"/>
                <w:rFonts w:ascii="Times New Roman" w:hAnsi="Times New Roman" w:cs="Times New Roman"/>
                <w:sz w:val="16"/>
                <w:szCs w:val="18"/>
                <w:u w:val="none"/>
              </w:rPr>
              <w:t>https://www.nrc.gov/reading-rm/doc-collections/reg-guides/index.html</w:t>
            </w:r>
          </w:hyperlink>
          <w:r>
            <w:rPr>
              <w:rFonts w:ascii="Times New Roman" w:hAnsi="Times New Roman" w:cs="Times New Roman"/>
              <w:sz w:val="16"/>
              <w:szCs w:val="18"/>
            </w:rPr>
            <w:t>,</w:t>
          </w:r>
          <w:r w:rsidRPr="001811FD">
            <w:rPr>
              <w:rFonts w:ascii="Times New Roman" w:hAnsi="Times New Roman" w:cs="Times New Roman"/>
              <w:sz w:val="16"/>
              <w:szCs w:val="18"/>
            </w:rPr>
            <w:t xml:space="preserve"> under Document Collections, in Regulatory Guides, at </w:t>
          </w:r>
          <w:hyperlink r:id="rId2" w:history="1">
            <w:r w:rsidRPr="003D6B4C">
              <w:rPr>
                <w:rStyle w:val="Hyperlink"/>
                <w:rFonts w:ascii="Times New Roman" w:hAnsi="Times New Roman" w:cs="Times New Roman"/>
                <w:sz w:val="16"/>
                <w:szCs w:val="18"/>
                <w:u w:val="none"/>
              </w:rPr>
              <w:t>https://www.nrc.gov/reading-rm/doc-collections/reg-guides/contactus.html</w:t>
            </w:r>
          </w:hyperlink>
          <w:r>
            <w:rPr>
              <w:rFonts w:ascii="Times New Roman" w:hAnsi="Times New Roman" w:cs="Times New Roman"/>
              <w:sz w:val="16"/>
              <w:szCs w:val="18"/>
            </w:rPr>
            <w:t>.</w:t>
          </w:r>
          <w:r w:rsidRPr="001811FD">
            <w:rPr>
              <w:rFonts w:ascii="Times New Roman" w:hAnsi="Times New Roman" w:cs="Times New Roman"/>
              <w:sz w:val="16"/>
              <w:szCs w:val="18"/>
            </w:rPr>
            <w:t xml:space="preserve"> During the development process of new guides suggestions should be submitted within the comment period for immediate consideration. Suggestions received outside of the comment period will be considered if practical to do so or may be considered for future updates.</w:t>
          </w:r>
        </w:p>
        <w:p w:rsidR="001811FD" w:rsidP="00D15BFC" w14:paraId="2C3F2981" w14:textId="77777777">
          <w:pPr>
            <w:spacing w:after="0" w:line="240" w:lineRule="auto"/>
            <w:rPr>
              <w:rFonts w:ascii="Times New Roman" w:hAnsi="Times New Roman" w:cs="Times New Roman"/>
              <w:sz w:val="16"/>
              <w:szCs w:val="16"/>
            </w:rPr>
          </w:pPr>
        </w:p>
        <w:p w:rsidR="00D7296C" w:rsidRPr="003C4AB5" w:rsidP="00D15BFC" w14:paraId="0314BF1D" w14:textId="421AF0C8">
          <w:pPr>
            <w:spacing w:after="0" w:line="240" w:lineRule="auto"/>
            <w:rPr>
              <w:rFonts w:ascii="Arial" w:hAnsi="Arial" w:cs="Arial"/>
              <w:color w:val="1F497D"/>
              <w:sz w:val="16"/>
              <w:szCs w:val="16"/>
            </w:rPr>
          </w:pPr>
          <w:r w:rsidRPr="003C4AB5">
            <w:rPr>
              <w:rFonts w:ascii="Times New Roman" w:hAnsi="Times New Roman" w:cs="Times New Roman"/>
              <w:sz w:val="16"/>
              <w:szCs w:val="16"/>
            </w:rPr>
            <w:t xml:space="preserve">Electronic copies of this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 previous versions of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Gs, and other recently issued guides are available through the NRC’s public </w:t>
          </w:r>
          <w:r w:rsidR="00E74E28">
            <w:rPr>
              <w:rFonts w:ascii="Times New Roman" w:hAnsi="Times New Roman" w:cs="Times New Roman"/>
              <w:sz w:val="16"/>
              <w:szCs w:val="16"/>
            </w:rPr>
            <w:t>W</w:t>
          </w:r>
          <w:r w:rsidRPr="003C4AB5">
            <w:rPr>
              <w:rFonts w:ascii="Times New Roman" w:hAnsi="Times New Roman" w:cs="Times New Roman"/>
              <w:sz w:val="16"/>
              <w:szCs w:val="16"/>
            </w:rPr>
            <w:t>eb</w:t>
          </w:r>
          <w:r w:rsidR="00E74E28">
            <w:rPr>
              <w:rFonts w:ascii="Times New Roman" w:hAnsi="Times New Roman" w:cs="Times New Roman"/>
              <w:sz w:val="16"/>
              <w:szCs w:val="16"/>
            </w:rPr>
            <w:t xml:space="preserve"> </w:t>
          </w:r>
          <w:r w:rsidRPr="003C4AB5">
            <w:rPr>
              <w:rFonts w:ascii="Times New Roman" w:hAnsi="Times New Roman" w:cs="Times New Roman"/>
              <w:sz w:val="16"/>
              <w:szCs w:val="16"/>
            </w:rPr>
            <w:t xml:space="preserve">site </w:t>
          </w:r>
          <w:r w:rsidR="00EF2A9A">
            <w:rPr>
              <w:rFonts w:ascii="Times New Roman" w:hAnsi="Times New Roman" w:cs="Times New Roman"/>
              <w:sz w:val="16"/>
              <w:szCs w:val="16"/>
            </w:rPr>
            <w:t>in</w:t>
          </w:r>
          <w:r w:rsidRPr="003C4AB5">
            <w:rPr>
              <w:rFonts w:ascii="Times New Roman" w:hAnsi="Times New Roman" w:cs="Times New Roman"/>
              <w:sz w:val="16"/>
              <w:szCs w:val="16"/>
            </w:rPr>
            <w:t xml:space="preserve"> the NRC Library at </w:t>
          </w:r>
          <w:hyperlink r:id="rId1" w:history="1">
            <w:r w:rsidRPr="003C4AB5" w:rsidR="003C4AB5">
              <w:rPr>
                <w:rStyle w:val="Hyperlink"/>
                <w:rFonts w:ascii="Times New Roman" w:hAnsi="Times New Roman" w:cs="Times New Roman"/>
                <w:sz w:val="16"/>
                <w:szCs w:val="16"/>
              </w:rPr>
              <w:t>https://www.nrc.gov/reading-rm/doc-collections/reg-guides/index.html</w:t>
            </w:r>
          </w:hyperlink>
          <w:r w:rsidRPr="003D6B4C" w:rsidR="00EF2A9A">
            <w:rPr>
              <w:rFonts w:ascii="Times New Roman" w:hAnsi="Times New Roman" w:cs="Times New Roman"/>
              <w:sz w:val="16"/>
              <w:szCs w:val="16"/>
            </w:rPr>
            <w:t>, under Documents Collections, in Regulatory Guides.</w:t>
          </w:r>
          <w:r w:rsidRPr="003C4AB5">
            <w:rPr>
              <w:rFonts w:ascii="Times New Roman" w:hAnsi="Times New Roman" w:cs="Times New Roman"/>
              <w:sz w:val="16"/>
              <w:szCs w:val="16"/>
            </w:rPr>
            <w:t xml:space="preserve"> Th</w:t>
          </w:r>
          <w:r w:rsidR="0007490C">
            <w:rPr>
              <w:rFonts w:ascii="Times New Roman" w:hAnsi="Times New Roman" w:cs="Times New Roman"/>
              <w:sz w:val="16"/>
              <w:szCs w:val="16"/>
            </w:rPr>
            <w:t>is</w:t>
          </w:r>
          <w:r w:rsidRPr="003C4AB5">
            <w:rPr>
              <w:rFonts w:ascii="Times New Roman" w:hAnsi="Times New Roman" w:cs="Times New Roman"/>
              <w:sz w:val="16"/>
              <w:szCs w:val="16"/>
            </w:rPr>
            <w:t xml:space="preserve">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 is also available through the NRC’s Agencywide Documents Access and Management System (ADAMS) at </w:t>
          </w:r>
          <w:hyperlink r:id="rId3" w:history="1">
            <w:r w:rsidRPr="004E7530">
              <w:rPr>
                <w:rStyle w:val="Hyperlink"/>
                <w:rFonts w:ascii="Times New Roman" w:hAnsi="Times New Roman" w:cs="Times New Roman"/>
                <w:sz w:val="16"/>
                <w:szCs w:val="16"/>
              </w:rPr>
              <w:t>http://www.nrc.gov/reading-rm/adams.html</w:t>
            </w:r>
          </w:hyperlink>
          <w:r w:rsidRPr="004E7530">
            <w:rPr>
              <w:rFonts w:ascii="Times New Roman" w:hAnsi="Times New Roman" w:cs="Times New Roman"/>
              <w:sz w:val="16"/>
              <w:szCs w:val="16"/>
            </w:rPr>
            <w:t>, under Accession No.</w:t>
          </w:r>
          <w:r w:rsidRPr="004E7530" w:rsidR="00200703">
            <w:rPr>
              <w:rFonts w:ascii="Times New Roman" w:hAnsi="Times New Roman" w:cs="Times New Roman"/>
              <w:sz w:val="16"/>
              <w:szCs w:val="16"/>
            </w:rPr>
            <w:t> </w:t>
          </w:r>
          <w:r w:rsidRPr="004E7530" w:rsidR="001E2E70">
            <w:rPr>
              <w:rFonts w:ascii="Times New Roman" w:hAnsi="Times New Roman" w:cs="Times New Roman"/>
              <w:sz w:val="16"/>
              <w:szCs w:val="16"/>
            </w:rPr>
            <w:t>ML25232A005</w:t>
          </w:r>
          <w:r w:rsidRPr="004E7530">
            <w:rPr>
              <w:rFonts w:ascii="Times New Roman" w:hAnsi="Times New Roman" w:cs="Times New Roman"/>
              <w:sz w:val="16"/>
              <w:szCs w:val="16"/>
            </w:rPr>
            <w:t>. The regulatory analysis may be found in ADAMS under Accession No.</w:t>
          </w:r>
          <w:r w:rsidRPr="004E7530" w:rsidR="00200703">
            <w:rPr>
              <w:rFonts w:ascii="Times New Roman" w:hAnsi="Times New Roman" w:cs="Times New Roman"/>
              <w:sz w:val="16"/>
              <w:szCs w:val="16"/>
            </w:rPr>
            <w:t> </w:t>
          </w:r>
          <w:r w:rsidRPr="004E7530" w:rsidR="00890524">
            <w:rPr>
              <w:rFonts w:ascii="Times New Roman" w:hAnsi="Times New Roman" w:cs="Times New Roman"/>
              <w:sz w:val="16"/>
              <w:szCs w:val="16"/>
            </w:rPr>
            <w:t>ML</w:t>
          </w:r>
          <w:r w:rsidRPr="004E7530" w:rsidR="000838FB">
            <w:rPr>
              <w:rFonts w:ascii="Times New Roman" w:hAnsi="Times New Roman" w:cs="Times New Roman"/>
              <w:sz w:val="16"/>
              <w:szCs w:val="16"/>
            </w:rPr>
            <w:t>26042A230</w:t>
          </w:r>
          <w:r w:rsidRPr="004E7530">
            <w:rPr>
              <w:rFonts w:ascii="Times New Roman" w:hAnsi="Times New Roman" w:cs="Times New Roman"/>
              <w:sz w:val="16"/>
              <w:szCs w:val="16"/>
            </w:rPr>
            <w:t>.</w:t>
          </w:r>
          <w:bookmarkEnd w:id="2"/>
          <w:r w:rsidRPr="004E7530">
            <w:rPr>
              <w:rFonts w:ascii="Times New Roman" w:hAnsi="Times New Roman" w:cs="Times New Roman"/>
              <w:sz w:val="16"/>
              <w:szCs w:val="16"/>
            </w:rPr>
            <w:t xml:space="preserve"> </w:t>
          </w:r>
          <w:r w:rsidRPr="004E7530" w:rsidR="0007490C">
            <w:rPr>
              <w:rFonts w:ascii="Times New Roman" w:hAnsi="Times New Roman" w:cs="Times New Roman"/>
              <w:sz w:val="16"/>
              <w:szCs w:val="16"/>
            </w:rPr>
            <w:t>The associated draft guide DG-14</w:t>
          </w:r>
          <w:r w:rsidRPr="004E7530" w:rsidR="004D4387">
            <w:rPr>
              <w:rFonts w:ascii="Times New Roman" w:hAnsi="Times New Roman" w:cs="Times New Roman"/>
              <w:sz w:val="16"/>
              <w:szCs w:val="16"/>
            </w:rPr>
            <w:t>13</w:t>
          </w:r>
          <w:r w:rsidRPr="004E7530" w:rsidR="0007490C">
            <w:rPr>
              <w:rFonts w:ascii="Times New Roman" w:hAnsi="Times New Roman" w:cs="Times New Roman"/>
              <w:sz w:val="16"/>
              <w:szCs w:val="16"/>
            </w:rPr>
            <w:t>, Revision 0, may be found in ADAMS under Accession No. ML</w:t>
          </w:r>
          <w:r w:rsidRPr="004E7530" w:rsidR="00DE07FF">
            <w:rPr>
              <w:rFonts w:ascii="Times New Roman" w:hAnsi="Times New Roman" w:cs="Times New Roman"/>
              <w:sz w:val="16"/>
              <w:szCs w:val="18"/>
            </w:rPr>
            <w:t>22257A173</w:t>
          </w:r>
          <w:r w:rsidRPr="004E7530" w:rsidR="0007490C">
            <w:rPr>
              <w:rFonts w:ascii="Times New Roman" w:hAnsi="Times New Roman" w:cs="Times New Roman"/>
              <w:sz w:val="16"/>
              <w:szCs w:val="16"/>
            </w:rPr>
            <w:t>. The staff responses to the public comments on DG-14</w:t>
          </w:r>
          <w:r w:rsidRPr="004E7530" w:rsidR="0089386E">
            <w:rPr>
              <w:rFonts w:ascii="Times New Roman" w:hAnsi="Times New Roman" w:cs="Times New Roman"/>
              <w:sz w:val="16"/>
              <w:szCs w:val="16"/>
            </w:rPr>
            <w:t>13</w:t>
          </w:r>
          <w:r w:rsidRPr="004E7530" w:rsidR="0007490C">
            <w:rPr>
              <w:rFonts w:ascii="Times New Roman" w:hAnsi="Times New Roman" w:cs="Times New Roman"/>
              <w:sz w:val="16"/>
              <w:szCs w:val="16"/>
            </w:rPr>
            <w:t xml:space="preserve"> may be found under ADAMS Accession No. ML</w:t>
          </w:r>
          <w:r w:rsidRPr="004E7530" w:rsidR="004E7530">
            <w:rPr>
              <w:rFonts w:ascii="Times New Roman" w:hAnsi="Times New Roman" w:cs="Times New Roman"/>
              <w:sz w:val="16"/>
              <w:szCs w:val="16"/>
            </w:rPr>
            <w:t>26042A228</w:t>
          </w:r>
          <w:r w:rsidRPr="004E7530" w:rsidR="0007490C">
            <w:rPr>
              <w:rFonts w:ascii="Times New Roman" w:hAnsi="Times New Roman" w:cs="Times New Roman"/>
              <w:sz w:val="16"/>
              <w:szCs w:val="16"/>
            </w:rPr>
            <w:t>.</w:t>
          </w:r>
        </w:p>
      </w:tc>
    </w:tr>
  </w:tbl>
  <w:p w:rsidR="00C97A08" w:rsidRPr="000F2BE9" w:rsidP="000F2BE9" w14:paraId="7E8E2780" w14:textId="540F0B1A">
    <w:pPr>
      <w:tabs>
        <w:tab w:val="center" w:pos="4320"/>
        <w:tab w:val="right" w:pos="8640"/>
      </w:tabs>
      <w:autoSpaceDE w:val="0"/>
      <w:autoSpaceDN w:val="0"/>
      <w:adjustRightInd w:val="0"/>
      <w:spacing w:after="0" w:line="240" w:lineRule="auto"/>
      <w:jc w:val="center"/>
      <w:rPr>
        <w:rFonts w:ascii="Arial" w:eastAsia="Calibri" w:hAnsi="Arial" w:cs="Arial"/>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90D" w:rsidRPr="00540987" w:rsidP="0071658B" w14:paraId="39AEA135" w14:textId="62171BA9">
    <w:pPr>
      <w:pStyle w:val="Footer"/>
      <w:jc w:val="center"/>
    </w:pPr>
    <w:r>
      <w:rPr>
        <w:rFonts w:ascii="Times New Roman" w:hAnsi="Times New Roman"/>
        <w:lang w:val="fr-FR"/>
      </w:rPr>
      <w:t xml:space="preserve">RG </w:t>
    </w:r>
    <w:r w:rsidR="001B486A">
      <w:rPr>
        <w:rFonts w:ascii="Times New Roman" w:hAnsi="Times New Roman"/>
        <w:lang w:val="fr-FR"/>
      </w:rPr>
      <w:t>1.254</w:t>
    </w:r>
    <w:r w:rsidRPr="00D15BFC" w:rsidR="00AE2A8D">
      <w:rPr>
        <w:rFonts w:ascii="Times New Roman" w:hAnsi="Times New Roman"/>
        <w:lang w:val="fr-FR"/>
      </w:rPr>
      <w:t>, Appendix A, Page A-</w:t>
    </w:r>
    <w:sdt>
      <w:sdtPr>
        <w:rPr>
          <w:rFonts w:ascii="Times New Roman" w:hAnsi="Times New Roman" w:cs="Times New Roman"/>
        </w:rPr>
        <w:id w:val="598229156"/>
        <w:docPartObj>
          <w:docPartGallery w:val="Page Numbers (Bottom of Page)"/>
          <w:docPartUnique/>
        </w:docPartObj>
      </w:sdtPr>
      <w:sdtEndPr>
        <w:rPr>
          <w:noProof/>
        </w:rPr>
      </w:sdtEndPr>
      <w:sdtContent>
        <w:r w:rsidRPr="00962DF0">
          <w:rPr>
            <w:rFonts w:ascii="Times New Roman" w:hAnsi="Times New Roman" w:cs="Times New Roman"/>
          </w:rPr>
          <w:fldChar w:fldCharType="begin"/>
        </w:r>
        <w:r w:rsidRPr="00D15BFC">
          <w:rPr>
            <w:rFonts w:ascii="Times New Roman" w:hAnsi="Times New Roman"/>
            <w:lang w:val="fr-FR"/>
          </w:rPr>
          <w:instrText xml:space="preserve"> PAGE   \* MERGEFORMAT </w:instrText>
        </w:r>
        <w:r w:rsidRPr="00962DF0">
          <w:rPr>
            <w:rFonts w:ascii="Times New Roman" w:hAnsi="Times New Roman" w:cs="Times New Roman"/>
          </w:rPr>
          <w:fldChar w:fldCharType="separate"/>
        </w:r>
        <w:r w:rsidRPr="00D15BFC">
          <w:rPr>
            <w:rFonts w:ascii="Times New Roman" w:hAnsi="Times New Roman"/>
            <w:lang w:val="fr-FR"/>
          </w:rPr>
          <w:t>2</w:t>
        </w:r>
        <w:r w:rsidRPr="00962DF0">
          <w:rPr>
            <w:rFonts w:ascii="Times New Roman" w:hAnsi="Times New Roman" w:cs="Times New Roman"/>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4CE" w:rsidRPr="00540987" w:rsidP="0071658B" w14:paraId="7ECDF9BF" w14:textId="06FEEE0F">
    <w:pPr>
      <w:pStyle w:val="Footer"/>
      <w:jc w:val="center"/>
    </w:pPr>
    <w:r>
      <w:rPr>
        <w:rFonts w:ascii="Times New Roman" w:hAnsi="Times New Roman"/>
        <w:lang w:val="fr-FR"/>
      </w:rPr>
      <w:t xml:space="preserve">RG </w:t>
    </w:r>
    <w:r w:rsidR="001B486A">
      <w:rPr>
        <w:rFonts w:ascii="Times New Roman" w:hAnsi="Times New Roman"/>
        <w:lang w:val="fr-FR"/>
      </w:rPr>
      <w:t>1.254</w:t>
    </w:r>
    <w:r w:rsidRPr="00D15BFC" w:rsidR="0062290D">
      <w:rPr>
        <w:rFonts w:ascii="Times New Roman" w:hAnsi="Times New Roman"/>
        <w:lang w:val="fr-FR"/>
      </w:rPr>
      <w:t>, Appendix A, Page A-</w:t>
    </w:r>
    <w:r w:rsidRPr="00962DF0">
      <w:rPr>
        <w:rFonts w:ascii="Times New Roman" w:hAnsi="Times New Roman" w:cs="Times New Roman"/>
      </w:rPr>
      <w:fldChar w:fldCharType="begin"/>
    </w:r>
    <w:r w:rsidRPr="00D15BFC">
      <w:rPr>
        <w:rFonts w:ascii="Times New Roman" w:hAnsi="Times New Roman"/>
        <w:lang w:val="fr-FR"/>
      </w:rPr>
      <w:instrText xml:space="preserve"> PAGE   \* MERGEFORMAT </w:instrText>
    </w:r>
    <w:r w:rsidRPr="00962DF0">
      <w:rPr>
        <w:rFonts w:ascii="Times New Roman" w:hAnsi="Times New Roman" w:cs="Times New Roman"/>
      </w:rPr>
      <w:fldChar w:fldCharType="separate"/>
    </w:r>
    <w:r w:rsidRPr="00D15BFC">
      <w:rPr>
        <w:rFonts w:ascii="Times New Roman" w:hAnsi="Times New Roman"/>
        <w:lang w:val="fr-FR"/>
      </w:rPr>
      <w:t>2</w:t>
    </w:r>
    <w:r w:rsidRPr="00962DF0">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61BC" w:rsidP="00656668" w14:paraId="362AA94D" w14:textId="77777777">
      <w:pPr>
        <w:spacing w:after="0" w:line="240" w:lineRule="auto"/>
      </w:pPr>
      <w:r>
        <w:separator/>
      </w:r>
    </w:p>
  </w:footnote>
  <w:footnote w:type="continuationSeparator" w:id="1">
    <w:p w:rsidR="009661BC" w:rsidP="00656668" w14:paraId="3048365D" w14:textId="77777777">
      <w:pPr>
        <w:spacing w:after="0" w:line="240" w:lineRule="auto"/>
      </w:pPr>
      <w:r>
        <w:continuationSeparator/>
      </w:r>
    </w:p>
  </w:footnote>
  <w:footnote w:type="continuationNotice" w:id="2">
    <w:p w:rsidR="009661BC" w14:paraId="6E2CAEFA" w14:textId="77777777">
      <w:pPr>
        <w:spacing w:after="0" w:line="240" w:lineRule="auto"/>
      </w:pPr>
    </w:p>
  </w:footnote>
  <w:footnote w:id="3">
    <w:p w:rsidR="00A7282F" w:rsidRPr="00443B0E" w:rsidP="00B77731" w14:paraId="3D00A521" w14:textId="7DE9893F">
      <w:pPr>
        <w:pStyle w:val="FootnoteText"/>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085235">
        <w:rPr>
          <w:rFonts w:ascii="Times New Roman" w:hAnsi="Times New Roman" w:cs="Times New Roman"/>
          <w:sz w:val="18"/>
          <w:szCs w:val="18"/>
        </w:rPr>
        <w:t xml:space="preserve"> </w:t>
      </w:r>
      <w:r w:rsidRPr="00443B0E" w:rsidR="00FE05DB">
        <w:rPr>
          <w:rFonts w:ascii="Times New Roman" w:hAnsi="Times New Roman" w:cs="Times New Roman"/>
          <w:sz w:val="18"/>
          <w:szCs w:val="18"/>
        </w:rPr>
        <w:tab/>
      </w:r>
      <w:r w:rsidRPr="00085235">
        <w:rPr>
          <w:rFonts w:ascii="Times New Roman" w:hAnsi="Times New Roman" w:cs="Times New Roman"/>
          <w:sz w:val="18"/>
          <w:szCs w:val="18"/>
        </w:rPr>
        <w:t xml:space="preserve">Publicly available NRC published documents are available electronically through the NRC Library on the NRC’s public </w:t>
      </w:r>
      <w:r w:rsidRPr="00085235" w:rsidR="000F3EB7">
        <w:rPr>
          <w:rFonts w:ascii="Times New Roman" w:hAnsi="Times New Roman" w:cs="Times New Roman"/>
          <w:sz w:val="18"/>
          <w:szCs w:val="18"/>
        </w:rPr>
        <w:t>w</w:t>
      </w:r>
      <w:r w:rsidRPr="00085235">
        <w:rPr>
          <w:rFonts w:ascii="Times New Roman" w:hAnsi="Times New Roman" w:cs="Times New Roman"/>
          <w:sz w:val="18"/>
          <w:szCs w:val="18"/>
        </w:rPr>
        <w:t xml:space="preserve">ebsite at </w:t>
      </w:r>
      <w:hyperlink r:id="rId1" w:history="1">
        <w:r w:rsidRPr="00085235" w:rsidR="00971EAF">
          <w:rPr>
            <w:rStyle w:val="Hyperlink"/>
            <w:rFonts w:ascii="Times New Roman" w:hAnsi="Times New Roman" w:cs="Times New Roman"/>
            <w:sz w:val="18"/>
            <w:szCs w:val="18"/>
          </w:rPr>
          <w:t>http://www.nrc.gov/reading-rm/doc-collections/</w:t>
        </w:r>
      </w:hyperlink>
      <w:r w:rsidRPr="00085235">
        <w:rPr>
          <w:rFonts w:ascii="Times New Roman" w:hAnsi="Times New Roman" w:cs="Times New Roman"/>
          <w:sz w:val="18"/>
          <w:szCs w:val="18"/>
        </w:rPr>
        <w:t xml:space="preserve"> and through the NRC’s Agencywide Documents Access and Management System (ADAMS) at </w:t>
      </w:r>
      <w:hyperlink r:id="rId2" w:history="1">
        <w:r w:rsidRPr="00085235" w:rsidR="00297EEE">
          <w:rPr>
            <w:rStyle w:val="Hyperlink"/>
            <w:rFonts w:ascii="Times New Roman" w:hAnsi="Times New Roman" w:cs="Times New Roman"/>
            <w:sz w:val="18"/>
            <w:szCs w:val="18"/>
          </w:rPr>
          <w:t>http://www.nrc.gov/reading-rm/adams.html</w:t>
        </w:r>
      </w:hyperlink>
      <w:r w:rsidRPr="00085235" w:rsidR="00BB5B43">
        <w:rPr>
          <w:rStyle w:val="Hyperlink"/>
          <w:rFonts w:ascii="Times New Roman" w:hAnsi="Times New Roman" w:cs="Times New Roman"/>
          <w:sz w:val="18"/>
          <w:szCs w:val="18"/>
          <w:u w:val="none"/>
        </w:rPr>
        <w:t>.</w:t>
      </w:r>
      <w:r w:rsidRPr="00085235" w:rsidR="00297EEE">
        <w:rPr>
          <w:rFonts w:ascii="Times New Roman" w:hAnsi="Times New Roman" w:cs="Times New Roman"/>
          <w:sz w:val="18"/>
          <w:szCs w:val="18"/>
        </w:rPr>
        <w:t xml:space="preserve"> </w:t>
      </w:r>
      <w:r w:rsidRPr="00085235">
        <w:rPr>
          <w:rFonts w:ascii="Times New Roman" w:hAnsi="Times New Roman" w:cs="Times New Roman"/>
          <w:sz w:val="18"/>
          <w:szCs w:val="18"/>
        </w:rPr>
        <w:t>The documents can also be viewed online or printed for a fee in the NRC’s Public Document Room (PDR) at 11555</w:t>
      </w:r>
      <w:r w:rsidRPr="00085235" w:rsidR="0003791E">
        <w:rPr>
          <w:rFonts w:ascii="Times New Roman" w:hAnsi="Times New Roman" w:cs="Times New Roman"/>
          <w:sz w:val="18"/>
          <w:szCs w:val="18"/>
        </w:rPr>
        <w:t> </w:t>
      </w:r>
      <w:r w:rsidRPr="00085235">
        <w:rPr>
          <w:rFonts w:ascii="Times New Roman" w:hAnsi="Times New Roman" w:cs="Times New Roman"/>
          <w:sz w:val="18"/>
          <w:szCs w:val="18"/>
        </w:rPr>
        <w:t>Rockville Pike, Rockville, M</w:t>
      </w:r>
      <w:r w:rsidRPr="00085235" w:rsidR="000F3EB7">
        <w:rPr>
          <w:rFonts w:ascii="Times New Roman" w:hAnsi="Times New Roman" w:cs="Times New Roman"/>
          <w:sz w:val="18"/>
          <w:szCs w:val="18"/>
        </w:rPr>
        <w:t>aryland</w:t>
      </w:r>
      <w:r w:rsidRPr="00085235">
        <w:rPr>
          <w:rFonts w:ascii="Times New Roman" w:hAnsi="Times New Roman" w:cs="Times New Roman"/>
          <w:sz w:val="18"/>
          <w:szCs w:val="18"/>
        </w:rPr>
        <w:t xml:space="preserve">. For problems with ADAMS, contact the PDR staff at </w:t>
      </w:r>
      <w:r w:rsidRPr="00085235" w:rsidR="00BB5B43">
        <w:rPr>
          <w:rFonts w:ascii="Times New Roman" w:hAnsi="Times New Roman" w:cs="Times New Roman"/>
          <w:sz w:val="18"/>
          <w:szCs w:val="18"/>
        </w:rPr>
        <w:t>(</w:t>
      </w:r>
      <w:r w:rsidRPr="00085235">
        <w:rPr>
          <w:rFonts w:ascii="Times New Roman" w:hAnsi="Times New Roman" w:cs="Times New Roman"/>
          <w:sz w:val="18"/>
          <w:szCs w:val="18"/>
        </w:rPr>
        <w:t>301</w:t>
      </w:r>
      <w:r w:rsidRPr="00085235" w:rsidR="00BB5B43">
        <w:rPr>
          <w:rFonts w:ascii="Times New Roman" w:hAnsi="Times New Roman" w:cs="Times New Roman"/>
          <w:sz w:val="18"/>
          <w:szCs w:val="18"/>
        </w:rPr>
        <w:t>) </w:t>
      </w:r>
      <w:r w:rsidRPr="00085235">
        <w:rPr>
          <w:rFonts w:ascii="Times New Roman" w:hAnsi="Times New Roman" w:cs="Times New Roman"/>
          <w:sz w:val="18"/>
          <w:szCs w:val="18"/>
        </w:rPr>
        <w:t>415-4737 or (800)</w:t>
      </w:r>
      <w:r w:rsidRPr="00085235" w:rsidR="0003791E">
        <w:rPr>
          <w:rFonts w:ascii="Times New Roman" w:hAnsi="Times New Roman" w:cs="Times New Roman"/>
          <w:sz w:val="18"/>
          <w:szCs w:val="18"/>
        </w:rPr>
        <w:t> </w:t>
      </w:r>
      <w:r w:rsidRPr="00085235">
        <w:rPr>
          <w:rFonts w:ascii="Times New Roman" w:hAnsi="Times New Roman" w:cs="Times New Roman"/>
          <w:sz w:val="18"/>
          <w:szCs w:val="18"/>
        </w:rPr>
        <w:t>397-4209; fax</w:t>
      </w:r>
      <w:r w:rsidRPr="00085235" w:rsidR="0003791E">
        <w:rPr>
          <w:rFonts w:ascii="Times New Roman" w:hAnsi="Times New Roman" w:cs="Times New Roman"/>
          <w:sz w:val="18"/>
          <w:szCs w:val="18"/>
        </w:rPr>
        <w:t> </w:t>
      </w:r>
      <w:r w:rsidRPr="00085235">
        <w:rPr>
          <w:rFonts w:ascii="Times New Roman" w:hAnsi="Times New Roman" w:cs="Times New Roman"/>
          <w:sz w:val="18"/>
          <w:szCs w:val="18"/>
        </w:rPr>
        <w:t>(301)</w:t>
      </w:r>
      <w:r w:rsidRPr="00085235" w:rsidR="0003791E">
        <w:rPr>
          <w:rFonts w:ascii="Times New Roman" w:hAnsi="Times New Roman" w:cs="Times New Roman"/>
          <w:sz w:val="18"/>
          <w:szCs w:val="18"/>
        </w:rPr>
        <w:t> </w:t>
      </w:r>
      <w:r w:rsidRPr="00085235">
        <w:rPr>
          <w:rFonts w:ascii="Times New Roman" w:hAnsi="Times New Roman" w:cs="Times New Roman"/>
          <w:sz w:val="18"/>
          <w:szCs w:val="18"/>
        </w:rPr>
        <w:t xml:space="preserve">415-3548; or email </w:t>
      </w:r>
      <w:hyperlink r:id="rId3" w:history="1">
        <w:r w:rsidRPr="00085235" w:rsidR="00C03843">
          <w:rPr>
            <w:rStyle w:val="Hyperlink"/>
            <w:rFonts w:ascii="Times New Roman" w:hAnsi="Times New Roman" w:cs="Times New Roman"/>
            <w:sz w:val="18"/>
            <w:szCs w:val="18"/>
          </w:rPr>
          <w:t>pdr.resource@nrc.gov</w:t>
        </w:r>
      </w:hyperlink>
      <w:r w:rsidRPr="00085235">
        <w:rPr>
          <w:rFonts w:ascii="Times New Roman" w:hAnsi="Times New Roman" w:cs="Times New Roman"/>
          <w:sz w:val="18"/>
          <w:szCs w:val="18"/>
        </w:rPr>
        <w:t>.</w:t>
      </w:r>
    </w:p>
  </w:footnote>
  <w:footnote w:id="4">
    <w:p w:rsidR="00A7282F" w:rsidRPr="00443B0E" w:rsidP="00FE05DB" w14:paraId="3DE325F2" w14:textId="5F6BDD31">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085235">
        <w:rPr>
          <w:rFonts w:ascii="Times New Roman" w:hAnsi="Times New Roman" w:cs="Times New Roman"/>
          <w:sz w:val="18"/>
          <w:szCs w:val="18"/>
        </w:rPr>
        <w:t xml:space="preserve"> </w:t>
      </w:r>
      <w:r w:rsidRPr="00443B0E" w:rsidR="00FE05DB">
        <w:rPr>
          <w:rFonts w:ascii="Times New Roman" w:hAnsi="Times New Roman" w:cs="Times New Roman"/>
          <w:sz w:val="18"/>
          <w:szCs w:val="18"/>
        </w:rPr>
        <w:tab/>
      </w:r>
      <w:r w:rsidRPr="00085235">
        <w:rPr>
          <w:rFonts w:ascii="Times New Roman" w:hAnsi="Times New Roman" w:cs="Times New Roman"/>
          <w:sz w:val="18"/>
          <w:szCs w:val="18"/>
        </w:rPr>
        <w:t xml:space="preserve">Publications from the Nuclear Energy Institute (NEI) are available at their </w:t>
      </w:r>
      <w:r w:rsidRPr="00085235" w:rsidR="000F3EB7">
        <w:rPr>
          <w:rFonts w:ascii="Times New Roman" w:hAnsi="Times New Roman" w:cs="Times New Roman"/>
          <w:sz w:val="18"/>
          <w:szCs w:val="18"/>
        </w:rPr>
        <w:t>w</w:t>
      </w:r>
      <w:r w:rsidRPr="00085235">
        <w:rPr>
          <w:rFonts w:ascii="Times New Roman" w:hAnsi="Times New Roman" w:cs="Times New Roman"/>
          <w:sz w:val="18"/>
          <w:szCs w:val="18"/>
        </w:rPr>
        <w:t xml:space="preserve">ebsite: </w:t>
      </w:r>
      <w:hyperlink r:id="rId4" w:history="1">
        <w:r w:rsidRPr="00085235">
          <w:rPr>
            <w:rStyle w:val="Hyperlink"/>
            <w:rFonts w:ascii="Times New Roman" w:hAnsi="Times New Roman" w:cs="Times New Roman"/>
            <w:sz w:val="18"/>
            <w:szCs w:val="18"/>
          </w:rPr>
          <w:t>http://www.nei.org/</w:t>
        </w:r>
      </w:hyperlink>
      <w:r w:rsidRPr="00085235">
        <w:rPr>
          <w:rFonts w:ascii="Times New Roman" w:hAnsi="Times New Roman" w:cs="Times New Roman"/>
          <w:sz w:val="18"/>
          <w:szCs w:val="18"/>
        </w:rPr>
        <w:t xml:space="preserve"> or by contacting the headquarters at Nuclear Energy Institute, </w:t>
      </w:r>
      <w:r w:rsidRPr="00085235" w:rsidR="00890E2F">
        <w:rPr>
          <w:rFonts w:ascii="Times New Roman" w:hAnsi="Times New Roman" w:cs="Times New Roman"/>
          <w:sz w:val="18"/>
          <w:szCs w:val="18"/>
        </w:rPr>
        <w:t>1201 F</w:t>
      </w:r>
      <w:r w:rsidRPr="00085235">
        <w:rPr>
          <w:rFonts w:ascii="Times New Roman" w:hAnsi="Times New Roman" w:cs="Times New Roman"/>
          <w:sz w:val="18"/>
          <w:szCs w:val="18"/>
        </w:rPr>
        <w:t xml:space="preserve"> Street</w:t>
      </w:r>
      <w:r w:rsidRPr="00085235" w:rsidR="000F3EB7">
        <w:rPr>
          <w:rFonts w:ascii="Times New Roman" w:hAnsi="Times New Roman" w:cs="Times New Roman"/>
          <w:sz w:val="18"/>
          <w:szCs w:val="18"/>
        </w:rPr>
        <w:t>,</w:t>
      </w:r>
      <w:r w:rsidRPr="00085235">
        <w:rPr>
          <w:rFonts w:ascii="Times New Roman" w:hAnsi="Times New Roman" w:cs="Times New Roman"/>
          <w:sz w:val="18"/>
          <w:szCs w:val="18"/>
        </w:rPr>
        <w:t xml:space="preserve"> NW, </w:t>
      </w:r>
      <w:r w:rsidRPr="00085235" w:rsidR="009D20DE">
        <w:rPr>
          <w:rFonts w:ascii="Times New Roman" w:hAnsi="Times New Roman" w:cs="Times New Roman"/>
          <w:sz w:val="18"/>
          <w:szCs w:val="18"/>
        </w:rPr>
        <w:t xml:space="preserve">Suite 1100, </w:t>
      </w:r>
      <w:r w:rsidRPr="00085235">
        <w:rPr>
          <w:rFonts w:ascii="Times New Roman" w:hAnsi="Times New Roman" w:cs="Times New Roman"/>
          <w:sz w:val="18"/>
          <w:szCs w:val="18"/>
        </w:rPr>
        <w:t>Washington</w:t>
      </w:r>
      <w:r w:rsidRPr="00085235" w:rsidR="000F3EB7">
        <w:rPr>
          <w:rFonts w:ascii="Times New Roman" w:hAnsi="Times New Roman" w:cs="Times New Roman"/>
          <w:sz w:val="18"/>
          <w:szCs w:val="18"/>
        </w:rPr>
        <w:t>, </w:t>
      </w:r>
      <w:r w:rsidRPr="00085235">
        <w:rPr>
          <w:rFonts w:ascii="Times New Roman" w:hAnsi="Times New Roman" w:cs="Times New Roman"/>
          <w:sz w:val="18"/>
          <w:szCs w:val="18"/>
        </w:rPr>
        <w:t xml:space="preserve">DC </w:t>
      </w:r>
      <w:r w:rsidRPr="00085235" w:rsidR="00FF03C8">
        <w:rPr>
          <w:rFonts w:ascii="Times New Roman" w:hAnsi="Times New Roman" w:cs="Times New Roman"/>
          <w:sz w:val="18"/>
          <w:szCs w:val="18"/>
        </w:rPr>
        <w:t>20004-1218</w:t>
      </w:r>
      <w:r w:rsidRPr="00085235">
        <w:rPr>
          <w:rFonts w:ascii="Times New Roman" w:hAnsi="Times New Roman" w:cs="Times New Roman"/>
          <w:sz w:val="18"/>
          <w:szCs w:val="18"/>
        </w:rPr>
        <w:t xml:space="preserve">, Phone: </w:t>
      </w:r>
      <w:r w:rsidRPr="00085235" w:rsidR="000F6116">
        <w:rPr>
          <w:rFonts w:ascii="Times New Roman" w:hAnsi="Times New Roman" w:cs="Times New Roman"/>
          <w:sz w:val="18"/>
          <w:szCs w:val="18"/>
        </w:rPr>
        <w:t>(</w:t>
      </w:r>
      <w:r w:rsidRPr="00085235">
        <w:rPr>
          <w:rFonts w:ascii="Times New Roman" w:hAnsi="Times New Roman" w:cs="Times New Roman"/>
          <w:sz w:val="18"/>
          <w:szCs w:val="18"/>
        </w:rPr>
        <w:t>202</w:t>
      </w:r>
      <w:r w:rsidRPr="00085235" w:rsidR="000F6116">
        <w:rPr>
          <w:rFonts w:ascii="Times New Roman" w:hAnsi="Times New Roman" w:cs="Times New Roman"/>
          <w:sz w:val="18"/>
          <w:szCs w:val="18"/>
        </w:rPr>
        <w:t>) </w:t>
      </w:r>
      <w:r w:rsidRPr="00085235">
        <w:rPr>
          <w:rFonts w:ascii="Times New Roman" w:hAnsi="Times New Roman" w:cs="Times New Roman"/>
          <w:sz w:val="18"/>
          <w:szCs w:val="18"/>
        </w:rPr>
        <w:t>739-80</w:t>
      </w:r>
      <w:r w:rsidRPr="00085235" w:rsidR="00E852A1">
        <w:rPr>
          <w:rFonts w:ascii="Times New Roman" w:hAnsi="Times New Roman" w:cs="Times New Roman"/>
          <w:sz w:val="18"/>
          <w:szCs w:val="18"/>
        </w:rPr>
        <w:t>0</w:t>
      </w:r>
      <w:r w:rsidRPr="00085235">
        <w:rPr>
          <w:rFonts w:ascii="Times New Roman" w:hAnsi="Times New Roman" w:cs="Times New Roman"/>
          <w:sz w:val="18"/>
          <w:szCs w:val="18"/>
        </w:rPr>
        <w:t>0, Fax</w:t>
      </w:r>
      <w:r w:rsidRPr="00085235" w:rsidR="00E852A1">
        <w:rPr>
          <w:rFonts w:ascii="Times New Roman" w:hAnsi="Times New Roman" w:cs="Times New Roman"/>
          <w:sz w:val="18"/>
          <w:szCs w:val="18"/>
        </w:rPr>
        <w:t>:</w:t>
      </w:r>
      <w:r w:rsidRPr="00085235" w:rsidR="000F3EB7">
        <w:rPr>
          <w:rFonts w:ascii="Times New Roman" w:hAnsi="Times New Roman" w:cs="Times New Roman"/>
          <w:sz w:val="18"/>
          <w:szCs w:val="18"/>
        </w:rPr>
        <w:t> </w:t>
      </w:r>
      <w:r w:rsidRPr="00085235" w:rsidR="00E852A1">
        <w:rPr>
          <w:rFonts w:ascii="Times New Roman" w:hAnsi="Times New Roman" w:cs="Times New Roman"/>
          <w:sz w:val="18"/>
          <w:szCs w:val="18"/>
        </w:rPr>
        <w:t>(</w:t>
      </w:r>
      <w:r w:rsidRPr="00085235">
        <w:rPr>
          <w:rFonts w:ascii="Times New Roman" w:hAnsi="Times New Roman" w:cs="Times New Roman"/>
          <w:sz w:val="18"/>
          <w:szCs w:val="18"/>
        </w:rPr>
        <w:t>202</w:t>
      </w:r>
      <w:r w:rsidRPr="00085235" w:rsidR="00E852A1">
        <w:rPr>
          <w:rFonts w:ascii="Times New Roman" w:hAnsi="Times New Roman" w:cs="Times New Roman"/>
          <w:sz w:val="18"/>
          <w:szCs w:val="18"/>
        </w:rPr>
        <w:t>) </w:t>
      </w:r>
      <w:r w:rsidRPr="00085235">
        <w:rPr>
          <w:rFonts w:ascii="Times New Roman" w:hAnsi="Times New Roman" w:cs="Times New Roman"/>
          <w:sz w:val="18"/>
          <w:szCs w:val="18"/>
        </w:rPr>
        <w:t>785</w:t>
      </w:r>
      <w:r w:rsidRPr="00085235" w:rsidR="000F3EB7">
        <w:rPr>
          <w:rFonts w:ascii="Times New Roman" w:hAnsi="Times New Roman" w:cs="Times New Roman"/>
          <w:sz w:val="18"/>
          <w:szCs w:val="18"/>
        </w:rPr>
        <w:noBreakHyphen/>
      </w:r>
      <w:r w:rsidRPr="00085235">
        <w:rPr>
          <w:rFonts w:ascii="Times New Roman" w:hAnsi="Times New Roman" w:cs="Times New Roman"/>
          <w:sz w:val="18"/>
          <w:szCs w:val="18"/>
        </w:rPr>
        <w:t>4019.</w:t>
      </w:r>
    </w:p>
  </w:footnote>
  <w:footnote w:id="5">
    <w:p w:rsidR="00F27912" w:rsidRPr="00443B0E" w:rsidP="00F27912" w14:paraId="462D0373" w14:textId="77777777">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443B0E">
        <w:rPr>
          <w:rFonts w:ascii="Times New Roman" w:hAnsi="Times New Roman" w:cs="Times New Roman"/>
          <w:sz w:val="18"/>
          <w:szCs w:val="18"/>
        </w:rPr>
        <w:t xml:space="preserve"> </w:t>
      </w:r>
      <w:r w:rsidRPr="00443B0E">
        <w:rPr>
          <w:rFonts w:ascii="Times New Roman" w:hAnsi="Times New Roman" w:cs="Times New Roman"/>
          <w:sz w:val="18"/>
          <w:szCs w:val="18"/>
        </w:rPr>
        <w:tab/>
      </w:r>
      <w:r w:rsidRPr="00085235">
        <w:rPr>
          <w:rFonts w:ascii="Times New Roman" w:hAnsi="Times New Roman" w:cs="Times New Roman"/>
          <w:sz w:val="18"/>
          <w:szCs w:val="18"/>
        </w:rPr>
        <w:t>Copies of American Society of Mechanical Engineers (ASME) standards may be purchased from ASME, Two Park Avenue, New York, New York 10016</w:t>
      </w:r>
      <w:r w:rsidRPr="00085235">
        <w:rPr>
          <w:rFonts w:ascii="Times New Roman" w:hAnsi="Times New Roman" w:cs="Times New Roman"/>
          <w:sz w:val="18"/>
          <w:szCs w:val="18"/>
        </w:rPr>
        <w:noBreakHyphen/>
        <w:t>5990; telephone (800) 843</w:t>
      </w:r>
      <w:r w:rsidRPr="00085235">
        <w:rPr>
          <w:rFonts w:ascii="Times New Roman" w:hAnsi="Times New Roman" w:cs="Times New Roman"/>
          <w:sz w:val="18"/>
          <w:szCs w:val="18"/>
        </w:rPr>
        <w:noBreakHyphen/>
        <w:t>2763. Purchase information is available through the ASME web</w:t>
      </w:r>
      <w:r w:rsidRPr="00085235">
        <w:rPr>
          <w:rFonts w:ascii="Times New Roman" w:hAnsi="Times New Roman" w:cs="Times New Roman"/>
          <w:sz w:val="18"/>
          <w:szCs w:val="18"/>
        </w:rPr>
        <w:noBreakHyphen/>
        <w:t xml:space="preserve">based store at </w:t>
      </w:r>
      <w:hyperlink r:id="rId5" w:history="1">
        <w:r w:rsidRPr="00085235">
          <w:rPr>
            <w:rStyle w:val="Hyperlink"/>
            <w:rFonts w:ascii="Times New Roman" w:hAnsi="Times New Roman" w:cs="Times New Roman"/>
            <w:sz w:val="18"/>
            <w:szCs w:val="18"/>
          </w:rPr>
          <w:t>http://www.asme.org/Codes/Publications/</w:t>
        </w:r>
      </w:hyperlink>
      <w:r w:rsidRPr="00085235">
        <w:rPr>
          <w:rFonts w:ascii="Times New Roman" w:hAnsi="Times New Roman" w:cs="Times New Roman"/>
          <w:sz w:val="18"/>
          <w:szCs w:val="18"/>
        </w:rPr>
        <w:t>.</w:t>
      </w:r>
    </w:p>
  </w:footnote>
  <w:footnote w:id="6">
    <w:p w:rsidR="009544FF" w:rsidRPr="00443B0E" w:rsidP="001D79BB" w14:paraId="12E7FA17" w14:textId="018199F3">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085235">
        <w:rPr>
          <w:rFonts w:ascii="Times New Roman" w:hAnsi="Times New Roman" w:cs="Times New Roman"/>
          <w:sz w:val="18"/>
          <w:szCs w:val="18"/>
        </w:rPr>
        <w:t xml:space="preserve"> </w:t>
      </w:r>
      <w:r w:rsidRPr="00443B0E" w:rsidR="001D79BB">
        <w:rPr>
          <w:rFonts w:ascii="Times New Roman" w:hAnsi="Times New Roman" w:cs="Times New Roman"/>
          <w:sz w:val="18"/>
          <w:szCs w:val="18"/>
        </w:rPr>
        <w:tab/>
      </w:r>
      <w:r w:rsidRPr="00085235">
        <w:rPr>
          <w:rFonts w:ascii="Times New Roman" w:hAnsi="Times New Roman" w:cs="Times New Roman"/>
          <w:sz w:val="18"/>
          <w:szCs w:val="18"/>
        </w:rPr>
        <w:t xml:space="preserve">Copies of International Atomic Energy Agency (IAEA) documents may be obtained through their </w:t>
      </w:r>
      <w:r w:rsidRPr="00085235" w:rsidR="000F3EB7">
        <w:rPr>
          <w:rFonts w:ascii="Times New Roman" w:hAnsi="Times New Roman" w:cs="Times New Roman"/>
          <w:sz w:val="18"/>
          <w:szCs w:val="18"/>
        </w:rPr>
        <w:t>w</w:t>
      </w:r>
      <w:r w:rsidRPr="00085235">
        <w:rPr>
          <w:rFonts w:ascii="Times New Roman" w:hAnsi="Times New Roman" w:cs="Times New Roman"/>
          <w:sz w:val="18"/>
          <w:szCs w:val="18"/>
        </w:rPr>
        <w:t xml:space="preserve">ebsite: </w:t>
      </w:r>
      <w:hyperlink r:id="rId6" w:history="1">
        <w:r w:rsidRPr="00085235">
          <w:rPr>
            <w:rFonts w:ascii="Times New Roman" w:hAnsi="Times New Roman" w:cs="Times New Roman"/>
            <w:sz w:val="18"/>
            <w:szCs w:val="18"/>
          </w:rPr>
          <w:t>www.IAEA.org/</w:t>
        </w:r>
      </w:hyperlink>
      <w:r w:rsidRPr="00085235">
        <w:rPr>
          <w:rFonts w:ascii="Times New Roman" w:hAnsi="Times New Roman" w:cs="Times New Roman"/>
          <w:sz w:val="18"/>
          <w:szCs w:val="18"/>
        </w:rPr>
        <w:t xml:space="preserve"> or by writing the International Atomic Energy Agency, P.O. Box</w:t>
      </w:r>
      <w:r w:rsidRPr="00085235" w:rsidR="000F3EB7">
        <w:rPr>
          <w:rFonts w:ascii="Times New Roman" w:hAnsi="Times New Roman" w:cs="Times New Roman"/>
          <w:sz w:val="18"/>
          <w:szCs w:val="18"/>
        </w:rPr>
        <w:t> </w:t>
      </w:r>
      <w:r w:rsidRPr="00085235">
        <w:rPr>
          <w:rFonts w:ascii="Times New Roman" w:hAnsi="Times New Roman" w:cs="Times New Roman"/>
          <w:sz w:val="18"/>
          <w:szCs w:val="18"/>
        </w:rPr>
        <w:t>100 Wagramer Strasse</w:t>
      </w:r>
      <w:r w:rsidRPr="00085235" w:rsidR="000F3EB7">
        <w:rPr>
          <w:rFonts w:ascii="Times New Roman" w:hAnsi="Times New Roman" w:cs="Times New Roman"/>
          <w:sz w:val="18"/>
          <w:szCs w:val="18"/>
        </w:rPr>
        <w:t> </w:t>
      </w:r>
      <w:r w:rsidRPr="00085235">
        <w:rPr>
          <w:rFonts w:ascii="Times New Roman" w:hAnsi="Times New Roman" w:cs="Times New Roman"/>
          <w:sz w:val="18"/>
          <w:szCs w:val="18"/>
        </w:rPr>
        <w:t>5, A</w:t>
      </w:r>
      <w:r w:rsidRPr="00085235" w:rsidR="000F3EB7">
        <w:rPr>
          <w:rFonts w:ascii="Times New Roman" w:hAnsi="Times New Roman" w:cs="Times New Roman"/>
          <w:sz w:val="18"/>
          <w:szCs w:val="18"/>
        </w:rPr>
        <w:noBreakHyphen/>
      </w:r>
      <w:r w:rsidRPr="00085235">
        <w:rPr>
          <w:rFonts w:ascii="Times New Roman" w:hAnsi="Times New Roman" w:cs="Times New Roman"/>
          <w:sz w:val="18"/>
          <w:szCs w:val="18"/>
        </w:rPr>
        <w:t>1400 Vienna, Austria.</w:t>
      </w:r>
    </w:p>
  </w:footnote>
  <w:footnote w:id="7">
    <w:p w:rsidR="00C15E1B" w:rsidRPr="00443B0E" w:rsidP="003D6B4C" w14:paraId="62CADD13" w14:textId="3AFF3558">
      <w:pPr>
        <w:pStyle w:val="FootnoteText"/>
        <w:ind w:left="360" w:hanging="360"/>
        <w:rPr>
          <w:rFonts w:ascii="Times New Roman" w:hAnsi="Times New Roman" w:cs="Times New Roman"/>
          <w:sz w:val="18"/>
          <w:szCs w:val="18"/>
        </w:rPr>
      </w:pPr>
      <w:r w:rsidRPr="00443B0E">
        <w:rPr>
          <w:rStyle w:val="FootnoteReference"/>
          <w:rFonts w:ascii="Times New Roman" w:hAnsi="Times New Roman" w:cs="Times New Roman"/>
          <w:sz w:val="18"/>
          <w:szCs w:val="18"/>
        </w:rPr>
        <w:footnoteRef/>
      </w:r>
      <w:r w:rsidRPr="00443B0E">
        <w:rPr>
          <w:rFonts w:ascii="Times New Roman" w:hAnsi="Times New Roman" w:cs="Times New Roman"/>
          <w:sz w:val="18"/>
          <w:szCs w:val="18"/>
        </w:rPr>
        <w:t xml:space="preserve"> </w:t>
      </w:r>
      <w:r w:rsidRPr="00443B0E">
        <w:rPr>
          <w:rFonts w:ascii="Times New Roman" w:hAnsi="Times New Roman" w:cs="Times New Roman"/>
          <w:sz w:val="18"/>
          <w:szCs w:val="18"/>
        </w:rPr>
        <w:tab/>
        <w:t>The NRC staff has reviewed IAEA SSG-3 and EPRI Report 1022997 and found that they contain additional technical information on the identification of external hazards that licensees and applicants may find useful. However, the NRC staff does not endorse IAEA SSG-3 or EPRI Report 1022997 in this revision of RG 1.254.</w:t>
      </w:r>
    </w:p>
  </w:footnote>
  <w:footnote w:id="8">
    <w:p w:rsidR="00DB76B5" w:rsidRPr="00085235" w:rsidP="002F6883" w14:paraId="67987435" w14:textId="414F6183">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443B0E">
        <w:rPr>
          <w:rFonts w:ascii="Times New Roman" w:hAnsi="Times New Roman" w:cs="Times New Roman"/>
          <w:sz w:val="18"/>
          <w:szCs w:val="18"/>
        </w:rPr>
        <w:t xml:space="preserve"> </w:t>
      </w:r>
      <w:r w:rsidRPr="00443B0E" w:rsidR="002F6883">
        <w:rPr>
          <w:rFonts w:ascii="Times New Roman" w:hAnsi="Times New Roman" w:cs="Times New Roman"/>
          <w:sz w:val="18"/>
          <w:szCs w:val="18"/>
        </w:rPr>
        <w:tab/>
      </w:r>
      <w:r w:rsidRPr="00085235">
        <w:rPr>
          <w:rFonts w:ascii="Times New Roman" w:hAnsi="Times New Roman" w:cs="Times New Roman"/>
          <w:sz w:val="18"/>
          <w:szCs w:val="18"/>
        </w:rPr>
        <w:t xml:space="preserve">Publicly available NRC published documents are available electronically through the NRC Library on the NRC’s public </w:t>
      </w:r>
      <w:r w:rsidRPr="00085235" w:rsidR="00F9761A">
        <w:rPr>
          <w:rFonts w:ascii="Times New Roman" w:hAnsi="Times New Roman" w:cs="Times New Roman"/>
          <w:sz w:val="18"/>
          <w:szCs w:val="18"/>
        </w:rPr>
        <w:t>w</w:t>
      </w:r>
      <w:r w:rsidRPr="00085235">
        <w:rPr>
          <w:rFonts w:ascii="Times New Roman" w:hAnsi="Times New Roman" w:cs="Times New Roman"/>
          <w:sz w:val="18"/>
          <w:szCs w:val="18"/>
        </w:rPr>
        <w:t xml:space="preserve">ebsite at </w:t>
      </w:r>
      <w:hyperlink r:id="rId1" w:history="1">
        <w:r w:rsidRPr="00085235">
          <w:rPr>
            <w:rStyle w:val="Hyperlink"/>
            <w:rFonts w:ascii="Times New Roman" w:hAnsi="Times New Roman" w:cs="Times New Roman"/>
            <w:sz w:val="18"/>
            <w:szCs w:val="18"/>
          </w:rPr>
          <w:t>http://www.nrc.gov/reading-rm/doc-collections/</w:t>
        </w:r>
      </w:hyperlink>
      <w:r w:rsidRPr="00085235">
        <w:rPr>
          <w:rStyle w:val="Hyperlink"/>
          <w:rFonts w:ascii="Times New Roman" w:hAnsi="Times New Roman" w:cs="Times New Roman"/>
          <w:sz w:val="18"/>
          <w:szCs w:val="18"/>
          <w:u w:val="none"/>
        </w:rPr>
        <w:t xml:space="preserve"> and</w:t>
      </w:r>
      <w:r w:rsidRPr="00085235">
        <w:rPr>
          <w:rStyle w:val="Hyperlink"/>
          <w:rFonts w:ascii="Times New Roman" w:hAnsi="Times New Roman" w:cs="Times New Roman"/>
          <w:sz w:val="18"/>
          <w:szCs w:val="18"/>
        </w:rPr>
        <w:t xml:space="preserve"> </w:t>
      </w:r>
      <w:r w:rsidRPr="00085235">
        <w:rPr>
          <w:rFonts w:ascii="Times New Roman" w:hAnsi="Times New Roman" w:cs="Times New Roman"/>
          <w:sz w:val="18"/>
          <w:szCs w:val="18"/>
        </w:rPr>
        <w:t xml:space="preserve">through the NRC’s Agencywide Documents Access and Management System (ADAMS) at </w:t>
      </w:r>
      <w:hyperlink r:id="rId2" w:history="1">
        <w:r w:rsidRPr="00085235">
          <w:rPr>
            <w:rStyle w:val="Hyperlink"/>
            <w:rFonts w:ascii="Times New Roman" w:hAnsi="Times New Roman" w:cs="Times New Roman"/>
            <w:sz w:val="18"/>
            <w:szCs w:val="18"/>
          </w:rPr>
          <w:t>http://www.nrc.gov/reading-rm/adams.html</w:t>
        </w:r>
      </w:hyperlink>
      <w:r w:rsidRPr="00085235" w:rsidR="00F9761A">
        <w:rPr>
          <w:rStyle w:val="Hyperlink"/>
          <w:rFonts w:ascii="Times New Roman" w:hAnsi="Times New Roman" w:cs="Times New Roman"/>
          <w:sz w:val="18"/>
          <w:szCs w:val="18"/>
          <w:u w:val="none"/>
        </w:rPr>
        <w:t xml:space="preserve">. </w:t>
      </w:r>
      <w:r w:rsidRPr="00085235">
        <w:rPr>
          <w:rFonts w:ascii="Times New Roman" w:hAnsi="Times New Roman" w:cs="Times New Roman"/>
          <w:sz w:val="18"/>
          <w:szCs w:val="18"/>
        </w:rPr>
        <w:t>The documents can also be viewed online or printed for a fee in the NRC’s Public Document Room (PDR) at 11555 Rockville Pike, Rockville, M</w:t>
      </w:r>
      <w:r w:rsidRPr="00085235" w:rsidR="00F9761A">
        <w:rPr>
          <w:rFonts w:ascii="Times New Roman" w:hAnsi="Times New Roman" w:cs="Times New Roman"/>
          <w:sz w:val="18"/>
          <w:szCs w:val="18"/>
        </w:rPr>
        <w:t>aryland</w:t>
      </w:r>
      <w:r w:rsidRPr="00085235">
        <w:rPr>
          <w:rFonts w:ascii="Times New Roman" w:hAnsi="Times New Roman" w:cs="Times New Roman"/>
          <w:sz w:val="18"/>
          <w:szCs w:val="18"/>
        </w:rPr>
        <w:t xml:space="preserve">. For problems with ADAMS, contact the PDR staff at </w:t>
      </w:r>
      <w:r w:rsidRPr="00085235" w:rsidR="00B955AB">
        <w:rPr>
          <w:rFonts w:ascii="Times New Roman" w:hAnsi="Times New Roman" w:cs="Times New Roman"/>
          <w:sz w:val="18"/>
          <w:szCs w:val="18"/>
        </w:rPr>
        <w:t>(</w:t>
      </w:r>
      <w:r w:rsidRPr="00085235">
        <w:rPr>
          <w:rFonts w:ascii="Times New Roman" w:hAnsi="Times New Roman" w:cs="Times New Roman"/>
          <w:sz w:val="18"/>
          <w:szCs w:val="18"/>
        </w:rPr>
        <w:t>301</w:t>
      </w:r>
      <w:r w:rsidRPr="00085235" w:rsidR="00B955AB">
        <w:rPr>
          <w:rFonts w:ascii="Times New Roman" w:hAnsi="Times New Roman" w:cs="Times New Roman"/>
          <w:sz w:val="18"/>
          <w:szCs w:val="18"/>
        </w:rPr>
        <w:t xml:space="preserve">) </w:t>
      </w:r>
      <w:r w:rsidRPr="00085235">
        <w:rPr>
          <w:rFonts w:ascii="Times New Roman" w:hAnsi="Times New Roman" w:cs="Times New Roman"/>
          <w:sz w:val="18"/>
          <w:szCs w:val="18"/>
        </w:rPr>
        <w:t xml:space="preserve">415-4737 or (800) 397-4209; fax (301) 415-3548; or email </w:t>
      </w:r>
      <w:hyperlink r:id="rId3" w:history="1">
        <w:r w:rsidRPr="00085235">
          <w:rPr>
            <w:rStyle w:val="Hyperlink"/>
            <w:rFonts w:ascii="Times New Roman" w:hAnsi="Times New Roman" w:cs="Times New Roman"/>
            <w:sz w:val="18"/>
            <w:szCs w:val="18"/>
          </w:rPr>
          <w:t>pdr.resource@nrc.gov</w:t>
        </w:r>
      </w:hyperlink>
      <w:r w:rsidRPr="00085235">
        <w:rPr>
          <w:rFonts w:ascii="Times New Roman" w:hAnsi="Times New Roman" w:cs="Times New Roman"/>
          <w:sz w:val="18"/>
          <w:szCs w:val="18"/>
        </w:rPr>
        <w:t>.</w:t>
      </w:r>
    </w:p>
    <w:p w:rsidR="00627476" w:rsidRPr="00443B0E" w14:paraId="2531CAF8" w14:textId="77777777">
      <w:pPr>
        <w:pStyle w:val="FootnoteText"/>
        <w:rPr>
          <w:rFonts w:ascii="Times New Roman" w:hAnsi="Times New Roman" w:cs="Times New Roman"/>
          <w:sz w:val="18"/>
          <w:szCs w:val="18"/>
        </w:rPr>
      </w:pPr>
    </w:p>
  </w:footnote>
  <w:footnote w:id="9">
    <w:p w:rsidR="00627476" w:rsidRPr="00085235" w:rsidP="002F6883" w14:paraId="01FB11A3" w14:textId="1D5CB7C2">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085235">
        <w:rPr>
          <w:rFonts w:ascii="Times New Roman" w:hAnsi="Times New Roman" w:cs="Times New Roman"/>
          <w:sz w:val="18"/>
          <w:szCs w:val="18"/>
        </w:rPr>
        <w:t xml:space="preserve"> </w:t>
      </w:r>
      <w:r w:rsidRPr="00443B0E" w:rsidR="002F6883">
        <w:rPr>
          <w:rFonts w:ascii="Times New Roman" w:hAnsi="Times New Roman" w:cs="Times New Roman"/>
          <w:sz w:val="18"/>
          <w:szCs w:val="18"/>
        </w:rPr>
        <w:tab/>
      </w:r>
      <w:r w:rsidRPr="00085235">
        <w:rPr>
          <w:rFonts w:ascii="Times New Roman" w:hAnsi="Times New Roman" w:cs="Times New Roman"/>
          <w:sz w:val="18"/>
          <w:szCs w:val="18"/>
        </w:rPr>
        <w:t xml:space="preserve">Copies of American Society of Mechanical Engineers (ASME) standards may be purchased from ASME, Two Park Avenue, New York, New York 10016-5990; telephone (800) 843-2763. Purchase information is available through the ASME </w:t>
      </w:r>
      <w:r w:rsidRPr="00085235" w:rsidR="00F9761A">
        <w:rPr>
          <w:rFonts w:ascii="Times New Roman" w:hAnsi="Times New Roman" w:cs="Times New Roman"/>
          <w:sz w:val="18"/>
          <w:szCs w:val="18"/>
        </w:rPr>
        <w:t>w</w:t>
      </w:r>
      <w:r w:rsidRPr="00085235">
        <w:rPr>
          <w:rFonts w:ascii="Times New Roman" w:hAnsi="Times New Roman" w:cs="Times New Roman"/>
          <w:sz w:val="18"/>
          <w:szCs w:val="18"/>
        </w:rPr>
        <w:t>eb</w:t>
      </w:r>
      <w:r w:rsidRPr="00085235">
        <w:rPr>
          <w:rFonts w:ascii="Times New Roman" w:hAnsi="Times New Roman" w:cs="Times New Roman"/>
          <w:sz w:val="18"/>
          <w:szCs w:val="18"/>
        </w:rPr>
        <w:noBreakHyphen/>
        <w:t xml:space="preserve">based store at </w:t>
      </w:r>
      <w:hyperlink r:id="rId5" w:history="1">
        <w:r w:rsidRPr="00085235">
          <w:rPr>
            <w:rStyle w:val="Hyperlink"/>
            <w:rFonts w:ascii="Times New Roman" w:hAnsi="Times New Roman" w:cs="Times New Roman"/>
            <w:sz w:val="18"/>
            <w:szCs w:val="18"/>
          </w:rPr>
          <w:t>http://www.asme.org/Codes/Publications/</w:t>
        </w:r>
      </w:hyperlink>
      <w:r w:rsidRPr="00085235">
        <w:rPr>
          <w:rFonts w:ascii="Times New Roman" w:hAnsi="Times New Roman" w:cs="Times New Roman"/>
          <w:sz w:val="18"/>
          <w:szCs w:val="18"/>
        </w:rPr>
        <w:t>.</w:t>
      </w:r>
    </w:p>
    <w:p w:rsidR="006A7E57" w:rsidRPr="00443B0E" w14:paraId="310B5DCE" w14:textId="77777777">
      <w:pPr>
        <w:pStyle w:val="FootnoteText"/>
        <w:rPr>
          <w:rFonts w:ascii="Times New Roman" w:hAnsi="Times New Roman" w:cs="Times New Roman"/>
          <w:sz w:val="18"/>
          <w:szCs w:val="18"/>
        </w:rPr>
      </w:pPr>
    </w:p>
  </w:footnote>
  <w:footnote w:id="10">
    <w:p w:rsidR="006A7E57" w:rsidRPr="00085235" w:rsidP="002F6883" w14:paraId="4F2C6CBD" w14:textId="4CD3A969">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443B0E">
        <w:rPr>
          <w:rFonts w:ascii="Times New Roman" w:hAnsi="Times New Roman" w:cs="Times New Roman"/>
          <w:sz w:val="18"/>
          <w:szCs w:val="18"/>
        </w:rPr>
        <w:t xml:space="preserve"> </w:t>
      </w:r>
      <w:r w:rsidRPr="00443B0E" w:rsidR="002F6883">
        <w:rPr>
          <w:rFonts w:ascii="Times New Roman" w:hAnsi="Times New Roman" w:cs="Times New Roman"/>
          <w:sz w:val="18"/>
          <w:szCs w:val="18"/>
        </w:rPr>
        <w:tab/>
      </w:r>
      <w:r w:rsidRPr="00085235">
        <w:rPr>
          <w:rFonts w:ascii="Times New Roman" w:hAnsi="Times New Roman" w:cs="Times New Roman"/>
          <w:sz w:val="18"/>
          <w:szCs w:val="18"/>
        </w:rPr>
        <w:t xml:space="preserve">Copies of International Atomic Energy Agency (IAEA) documents may be obtained through their </w:t>
      </w:r>
      <w:r w:rsidRPr="00085235" w:rsidR="00F9761A">
        <w:rPr>
          <w:rFonts w:ascii="Times New Roman" w:hAnsi="Times New Roman" w:cs="Times New Roman"/>
          <w:sz w:val="18"/>
          <w:szCs w:val="18"/>
        </w:rPr>
        <w:t>w</w:t>
      </w:r>
      <w:r w:rsidRPr="00085235">
        <w:rPr>
          <w:rFonts w:ascii="Times New Roman" w:hAnsi="Times New Roman" w:cs="Times New Roman"/>
          <w:sz w:val="18"/>
          <w:szCs w:val="18"/>
        </w:rPr>
        <w:t xml:space="preserve">ebsite: </w:t>
      </w:r>
      <w:hyperlink r:id="rId6" w:history="1">
        <w:r w:rsidRPr="00085235">
          <w:rPr>
            <w:rFonts w:ascii="Times New Roman" w:hAnsi="Times New Roman" w:cs="Times New Roman"/>
            <w:sz w:val="18"/>
            <w:szCs w:val="18"/>
          </w:rPr>
          <w:t>www.IAEA.org/</w:t>
        </w:r>
      </w:hyperlink>
      <w:r w:rsidRPr="00085235">
        <w:rPr>
          <w:rFonts w:ascii="Times New Roman" w:hAnsi="Times New Roman" w:cs="Times New Roman"/>
          <w:sz w:val="18"/>
          <w:szCs w:val="18"/>
        </w:rPr>
        <w:t xml:space="preserve"> or by writing the International Atomic Energy Agency, P.O. Box 100 Wagramer Strasse</w:t>
      </w:r>
      <w:r w:rsidRPr="00085235" w:rsidR="00F9761A">
        <w:rPr>
          <w:rFonts w:ascii="Times New Roman" w:hAnsi="Times New Roman" w:cs="Times New Roman"/>
          <w:sz w:val="18"/>
          <w:szCs w:val="18"/>
        </w:rPr>
        <w:t> </w:t>
      </w:r>
      <w:r w:rsidRPr="00085235">
        <w:rPr>
          <w:rFonts w:ascii="Times New Roman" w:hAnsi="Times New Roman" w:cs="Times New Roman"/>
          <w:sz w:val="18"/>
          <w:szCs w:val="18"/>
        </w:rPr>
        <w:t>5, A</w:t>
      </w:r>
      <w:r w:rsidRPr="00085235" w:rsidR="00F9761A">
        <w:rPr>
          <w:rFonts w:ascii="Times New Roman" w:hAnsi="Times New Roman" w:cs="Times New Roman"/>
          <w:sz w:val="18"/>
          <w:szCs w:val="18"/>
        </w:rPr>
        <w:noBreakHyphen/>
      </w:r>
      <w:r w:rsidRPr="00085235">
        <w:rPr>
          <w:rFonts w:ascii="Times New Roman" w:hAnsi="Times New Roman" w:cs="Times New Roman"/>
          <w:sz w:val="18"/>
          <w:szCs w:val="18"/>
        </w:rPr>
        <w:t>1400 Vienna, Austria.</w:t>
      </w:r>
    </w:p>
    <w:p w:rsidR="00D832C7" w:rsidRPr="00443B0E" w14:paraId="320F0F13" w14:textId="77777777">
      <w:pPr>
        <w:pStyle w:val="FootnoteText"/>
        <w:rPr>
          <w:rFonts w:ascii="Times New Roman" w:hAnsi="Times New Roman" w:cs="Times New Roman"/>
          <w:sz w:val="18"/>
          <w:szCs w:val="18"/>
        </w:rPr>
      </w:pPr>
    </w:p>
  </w:footnote>
  <w:footnote w:id="11">
    <w:p w:rsidR="00D832C7" w:rsidRPr="00443B0E" w:rsidP="002F6883" w14:paraId="269002D3" w14:textId="41E2D6FE">
      <w:pPr>
        <w:pStyle w:val="FootnoteText"/>
        <w:ind w:left="360" w:hanging="360"/>
        <w:rPr>
          <w:rFonts w:ascii="Times New Roman" w:hAnsi="Times New Roman" w:cs="Times New Roman"/>
          <w:sz w:val="18"/>
          <w:szCs w:val="18"/>
        </w:rPr>
      </w:pPr>
      <w:r w:rsidRPr="00085235">
        <w:rPr>
          <w:rStyle w:val="FootnoteReference"/>
          <w:rFonts w:ascii="Times New Roman" w:hAnsi="Times New Roman" w:cs="Times New Roman"/>
          <w:sz w:val="18"/>
          <w:szCs w:val="18"/>
          <w:vertAlign w:val="baseline"/>
        </w:rPr>
        <w:footnoteRef/>
      </w:r>
      <w:r w:rsidRPr="00443B0E">
        <w:rPr>
          <w:rFonts w:ascii="Times New Roman" w:hAnsi="Times New Roman" w:cs="Times New Roman"/>
          <w:sz w:val="18"/>
          <w:szCs w:val="18"/>
        </w:rPr>
        <w:t xml:space="preserve"> </w:t>
      </w:r>
      <w:r w:rsidRPr="00443B0E" w:rsidR="002F6883">
        <w:rPr>
          <w:rFonts w:ascii="Times New Roman" w:hAnsi="Times New Roman" w:cs="Times New Roman"/>
          <w:sz w:val="18"/>
          <w:szCs w:val="18"/>
        </w:rPr>
        <w:tab/>
      </w:r>
      <w:r w:rsidRPr="00085235">
        <w:rPr>
          <w:rFonts w:ascii="Times New Roman" w:hAnsi="Times New Roman" w:cs="Times New Roman"/>
          <w:sz w:val="18"/>
          <w:szCs w:val="18"/>
        </w:rPr>
        <w:t>Copies of Electric Power Research Institute (EPRI) standards and reports may be purchased from EPRI, 3420 Hillview Ave., Palo Alto, C</w:t>
      </w:r>
      <w:r w:rsidRPr="00085235" w:rsidR="00F9761A">
        <w:rPr>
          <w:rFonts w:ascii="Times New Roman" w:hAnsi="Times New Roman" w:cs="Times New Roman"/>
          <w:sz w:val="18"/>
          <w:szCs w:val="18"/>
        </w:rPr>
        <w:t>alifornia</w:t>
      </w:r>
      <w:r w:rsidRPr="00085235">
        <w:rPr>
          <w:rFonts w:ascii="Times New Roman" w:hAnsi="Times New Roman" w:cs="Times New Roman"/>
          <w:sz w:val="18"/>
          <w:szCs w:val="18"/>
        </w:rPr>
        <w:t xml:space="preserve"> 94304; telephone (800) 313-3774; fax (925) 609-1310.</w:t>
      </w:r>
    </w:p>
  </w:footnote>
  <w:footnote w:id="12">
    <w:p w:rsidR="0014337A" w:rsidRPr="00443B0E" w:rsidP="003D6B4C" w14:paraId="2F63D7E3" w14:textId="06F70A9F">
      <w:pPr>
        <w:pStyle w:val="FootnoteText"/>
        <w:ind w:left="360" w:hanging="360"/>
        <w:rPr>
          <w:rFonts w:ascii="Times New Roman" w:hAnsi="Times New Roman" w:cs="Times New Roman"/>
          <w:sz w:val="18"/>
          <w:szCs w:val="18"/>
        </w:rPr>
      </w:pPr>
      <w:r w:rsidRPr="00443B0E">
        <w:rPr>
          <w:rStyle w:val="FootnoteReference"/>
          <w:rFonts w:ascii="Times New Roman" w:hAnsi="Times New Roman" w:cs="Times New Roman"/>
          <w:sz w:val="18"/>
          <w:szCs w:val="18"/>
        </w:rPr>
        <w:footnoteRef/>
      </w:r>
      <w:r w:rsidRPr="00443B0E">
        <w:rPr>
          <w:rFonts w:ascii="Times New Roman" w:hAnsi="Times New Roman" w:cs="Times New Roman"/>
          <w:sz w:val="18"/>
          <w:szCs w:val="18"/>
        </w:rPr>
        <w:t xml:space="preserve"> </w:t>
      </w:r>
      <w:r w:rsidRPr="00443B0E" w:rsidR="000E6D3F">
        <w:rPr>
          <w:rFonts w:ascii="Times New Roman" w:hAnsi="Times New Roman" w:cs="Times New Roman"/>
          <w:sz w:val="18"/>
          <w:szCs w:val="18"/>
        </w:rPr>
        <w:tab/>
      </w:r>
      <w:r w:rsidRPr="00443B0E" w:rsidR="00B42E3F">
        <w:rPr>
          <w:rFonts w:ascii="Times New Roman" w:hAnsi="Times New Roman" w:cs="Times New Roman"/>
          <w:sz w:val="18"/>
          <w:szCs w:val="18"/>
        </w:rPr>
        <w:t xml:space="preserve">Copies of International Electrotechnical Commission (IEC) </w:t>
      </w:r>
      <w:r w:rsidRPr="00443B0E" w:rsidR="009A0804">
        <w:rPr>
          <w:rFonts w:ascii="Times New Roman" w:hAnsi="Times New Roman" w:cs="Times New Roman"/>
          <w:sz w:val="18"/>
          <w:szCs w:val="18"/>
        </w:rPr>
        <w:t>standards may be purchased from</w:t>
      </w:r>
      <w:r w:rsidRPr="00443B0E" w:rsidR="00FD43E8">
        <w:rPr>
          <w:rFonts w:ascii="Times New Roman" w:hAnsi="Times New Roman" w:cs="Times New Roman"/>
          <w:sz w:val="18"/>
          <w:szCs w:val="18"/>
        </w:rPr>
        <w:t xml:space="preserve"> IEC, 3 rue de Varemb</w:t>
      </w:r>
      <w:r w:rsidRPr="00443B0E" w:rsidR="00894E66">
        <w:rPr>
          <w:rFonts w:ascii="Times New Roman" w:hAnsi="Times New Roman" w:cs="Times New Roman"/>
          <w:sz w:val="18"/>
          <w:szCs w:val="18"/>
        </w:rPr>
        <w:t>é</w:t>
      </w:r>
      <w:r w:rsidRPr="00443B0E" w:rsidR="0082556C">
        <w:rPr>
          <w:rFonts w:ascii="Times New Roman" w:hAnsi="Times New Roman" w:cs="Times New Roman"/>
          <w:sz w:val="18"/>
          <w:szCs w:val="18"/>
        </w:rPr>
        <w:t>, P.O. Box 131, CH-1211 Geneva 20, Switzerland; telephone +41 22 919 0211. Purchase information</w:t>
      </w:r>
      <w:r w:rsidRPr="00443B0E" w:rsidR="00B663B2">
        <w:rPr>
          <w:rFonts w:ascii="Times New Roman" w:hAnsi="Times New Roman" w:cs="Times New Roman"/>
          <w:sz w:val="18"/>
          <w:szCs w:val="18"/>
        </w:rPr>
        <w:t xml:space="preserve"> is available through the IE</w:t>
      </w:r>
      <w:r w:rsidRPr="00443B0E" w:rsidR="00DC3775">
        <w:rPr>
          <w:rFonts w:ascii="Times New Roman" w:hAnsi="Times New Roman" w:cs="Times New Roman"/>
          <w:sz w:val="18"/>
          <w:szCs w:val="18"/>
        </w:rPr>
        <w:t>C</w:t>
      </w:r>
      <w:r w:rsidRPr="00443B0E" w:rsidR="00B663B2">
        <w:rPr>
          <w:rFonts w:ascii="Times New Roman" w:hAnsi="Times New Roman" w:cs="Times New Roman"/>
          <w:sz w:val="18"/>
          <w:szCs w:val="18"/>
        </w:rPr>
        <w:t xml:space="preserve"> web-based store at http://webstore.iec.ch.</w:t>
      </w:r>
    </w:p>
    <w:p w:rsidR="00DC3775" w:rsidRPr="00443B0E" w14:paraId="536F6FD2" w14:textId="77777777">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AA6" w:rsidRPr="000F2BE9" w:rsidP="000F2BE9" w14:paraId="4987FFA3" w14:textId="2DBE32F0">
    <w:pPr>
      <w:tabs>
        <w:tab w:val="center" w:pos="4320"/>
        <w:tab w:val="right" w:pos="8640"/>
      </w:tabs>
      <w:autoSpaceDE w:val="0"/>
      <w:autoSpaceDN w:val="0"/>
      <w:adjustRightInd w:val="0"/>
      <w:spacing w:after="0" w:line="240" w:lineRule="auto"/>
      <w:jc w:val="center"/>
      <w:rPr>
        <w:rFonts w:ascii="Arial" w:eastAsia="Calibri" w:hAnsi="Arial" w:cs="Arial"/>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562" w:rsidRPr="009C3562" w:rsidP="009C3562" w14:paraId="1C94A4C0" w14:textId="75AACF7E">
    <w:pPr>
      <w:tabs>
        <w:tab w:val="center" w:pos="4320"/>
        <w:tab w:val="right" w:pos="8640"/>
      </w:tabs>
      <w:autoSpaceDE w:val="0"/>
      <w:autoSpaceDN w:val="0"/>
      <w:adjustRightInd w:val="0"/>
      <w:spacing w:after="0" w:line="240" w:lineRule="auto"/>
      <w:jc w:val="center"/>
      <w:rPr>
        <w:rFonts w:ascii="Arial" w:eastAsia="Calibri" w:hAnsi="Arial" w:cs="Arial"/>
        <w:b/>
        <w:bCs/>
        <w:i/>
        <w:iCs/>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5655C3AC" w14:textId="77777777" w:rsidTr="00EA663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164017" w:rsidRPr="00164017" w:rsidP="00D15BFC" w14:paraId="11932DEE" w14:textId="77777777">
          <w:pPr>
            <w:jc w:val="center"/>
            <w:rPr>
              <w:sz w:val="36"/>
              <w:szCs w:val="36"/>
            </w:rPr>
          </w:pPr>
          <w:r w:rsidRPr="00164017">
            <w:rPr>
              <w:rFonts w:ascii="Arial" w:hAnsi="Arial" w:cs="Arial"/>
              <w:b/>
              <w:bCs/>
              <w:color w:val="000000"/>
              <w:sz w:val="36"/>
              <w:szCs w:val="36"/>
            </w:rPr>
            <w:t>U.S. NUCLEAR REGULATORY COMMISSION</w:t>
          </w:r>
        </w:p>
      </w:tc>
    </w:tr>
    <w:tr w14:paraId="1816FF4A" w14:textId="77777777" w:rsidTr="00D15BFC">
      <w:tblPrEx>
        <w:tblW w:w="0" w:type="auto"/>
        <w:jc w:val="center"/>
        <w:tblLayout w:type="fixed"/>
        <w:tblCellMar>
          <w:top w:w="29" w:type="dxa"/>
          <w:left w:w="29" w:type="dxa"/>
          <w:bottom w:w="29" w:type="dxa"/>
          <w:right w:w="29" w:type="dxa"/>
        </w:tblCellMar>
        <w:tblLook w:val="04A0"/>
      </w:tblPrEx>
      <w:trPr>
        <w:trHeight w:val="493"/>
        <w:jc w:val="center"/>
      </w:trPr>
      <w:tc>
        <w:tcPr>
          <w:tcW w:w="1435" w:type="dxa"/>
          <w:vMerge w:val="restart"/>
        </w:tcPr>
        <w:p w:rsidR="00164017" w:rsidRPr="00164017" w:rsidP="00164017" w14:paraId="334090E0" w14:textId="77777777">
          <w:pPr>
            <w:spacing w:before="120" w:after="120"/>
            <w:rPr>
              <w:sz w:val="40"/>
            </w:rPr>
          </w:pPr>
          <w:r w:rsidRPr="00164017">
            <w:rPr>
              <w:noProof/>
            </w:rPr>
            <w:drawing>
              <wp:inline distT="0" distB="0" distL="0" distR="0">
                <wp:extent cx="914400" cy="899160"/>
                <wp:effectExtent l="0" t="0" r="0" b="0"/>
                <wp:docPr id="708770590"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0590"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164017" w:rsidRPr="00164017" w:rsidP="00D15BFC" w14:paraId="354290C2" w14:textId="2A9FC227">
          <w:pPr>
            <w:jc w:val="center"/>
            <w:rPr>
              <w:sz w:val="28"/>
              <w:szCs w:val="28"/>
            </w:rPr>
          </w:pPr>
          <w:r w:rsidRPr="00164017">
            <w:rPr>
              <w:rFonts w:ascii="Arial" w:hAnsi="Arial" w:cs="Arial"/>
              <w:b/>
              <w:bCs/>
              <w:sz w:val="28"/>
              <w:szCs w:val="28"/>
            </w:rPr>
            <w:t xml:space="preserve">REGULATORY GUIDE </w:t>
          </w:r>
          <w:r w:rsidR="00363BF7">
            <w:rPr>
              <w:rFonts w:ascii="Arial" w:hAnsi="Arial" w:cs="Arial"/>
              <w:b/>
              <w:bCs/>
              <w:sz w:val="28"/>
              <w:szCs w:val="28"/>
            </w:rPr>
            <w:t xml:space="preserve">RG </w:t>
          </w:r>
          <w:r w:rsidR="001B486A">
            <w:rPr>
              <w:rFonts w:ascii="Arial" w:hAnsi="Arial" w:cs="Arial"/>
              <w:b/>
              <w:bCs/>
              <w:sz w:val="28"/>
              <w:szCs w:val="28"/>
            </w:rPr>
            <w:t>1.254</w:t>
          </w:r>
          <w:r w:rsidR="00363BF7">
            <w:rPr>
              <w:rFonts w:ascii="Arial" w:hAnsi="Arial" w:cs="Arial"/>
              <w:b/>
              <w:bCs/>
              <w:sz w:val="28"/>
              <w:szCs w:val="28"/>
            </w:rPr>
            <w:t>, Revision 0</w:t>
          </w:r>
        </w:p>
      </w:tc>
      <w:tc>
        <w:tcPr>
          <w:tcW w:w="1345" w:type="dxa"/>
        </w:tcPr>
        <w:p w:rsidR="00164017" w:rsidRPr="00D15BFC" w:rsidP="00164017" w14:paraId="55B83D5D" w14:textId="77777777">
          <w:pPr>
            <w:spacing w:before="120" w:after="120"/>
            <w:jc w:val="center"/>
            <w:rPr>
              <w:sz w:val="16"/>
            </w:rPr>
          </w:pPr>
        </w:p>
      </w:tc>
    </w:tr>
    <w:tr w14:paraId="0ADCF0B0" w14:textId="77777777" w:rsidTr="00D15BFC">
      <w:tblPrEx>
        <w:tblW w:w="0" w:type="auto"/>
        <w:jc w:val="center"/>
        <w:tblLayout w:type="fixed"/>
        <w:tblCellMar>
          <w:top w:w="29" w:type="dxa"/>
          <w:left w:w="29" w:type="dxa"/>
          <w:bottom w:w="29" w:type="dxa"/>
          <w:right w:w="29" w:type="dxa"/>
        </w:tblCellMar>
        <w:tblLook w:val="04A0"/>
      </w:tblPrEx>
      <w:trPr>
        <w:trHeight w:val="304"/>
        <w:jc w:val="center"/>
      </w:trPr>
      <w:tc>
        <w:tcPr>
          <w:tcW w:w="1435" w:type="dxa"/>
          <w:vMerge/>
        </w:tcPr>
        <w:p w:rsidR="00164017" w:rsidRPr="00164017" w:rsidP="00164017" w14:paraId="454C7FF1" w14:textId="77777777">
          <w:pPr>
            <w:spacing w:before="120" w:after="120"/>
            <w:rPr>
              <w:sz w:val="2"/>
            </w:rPr>
          </w:pPr>
        </w:p>
      </w:tc>
      <w:tc>
        <w:tcPr>
          <w:tcW w:w="6570" w:type="dxa"/>
          <w:vAlign w:val="center"/>
        </w:tcPr>
        <w:p w:rsidR="00164017" w:rsidRPr="00164017" w:rsidP="00D15BFC" w14:paraId="22D51406" w14:textId="1436FE96">
          <w:pPr>
            <w:autoSpaceDE w:val="0"/>
            <w:autoSpaceDN w:val="0"/>
            <w:adjustRightInd w:val="0"/>
            <w:jc w:val="center"/>
            <w:rPr>
              <w:rFonts w:ascii="Arial" w:hAnsi="Arial" w:cs="Arial"/>
              <w:b/>
              <w:sz w:val="32"/>
              <w:szCs w:val="32"/>
            </w:rPr>
          </w:pPr>
        </w:p>
      </w:tc>
      <w:tc>
        <w:tcPr>
          <w:tcW w:w="1345" w:type="dxa"/>
          <w:vAlign w:val="center"/>
        </w:tcPr>
        <w:p w:rsidR="00164017" w:rsidRPr="00D15BFC" w:rsidP="00164017" w14:paraId="636DEAFE" w14:textId="77777777">
          <w:pPr>
            <w:spacing w:before="120" w:after="120"/>
            <w:jc w:val="center"/>
            <w:rPr>
              <w:rFonts w:ascii="Arial" w:hAnsi="Arial"/>
              <w:b/>
              <w:sz w:val="16"/>
            </w:rPr>
          </w:pPr>
        </w:p>
      </w:tc>
    </w:tr>
    <w:tr w14:paraId="40240EF5" w14:textId="77777777" w:rsidTr="00D15BFC">
      <w:tblPrEx>
        <w:tblW w:w="0" w:type="auto"/>
        <w:jc w:val="center"/>
        <w:tblLayout w:type="fixed"/>
        <w:tblCellMar>
          <w:top w:w="29" w:type="dxa"/>
          <w:left w:w="29" w:type="dxa"/>
          <w:bottom w:w="29" w:type="dxa"/>
          <w:right w:w="29" w:type="dxa"/>
        </w:tblCellMar>
        <w:tblLook w:val="04A0"/>
      </w:tblPrEx>
      <w:trPr>
        <w:trHeight w:val="538"/>
        <w:jc w:val="center"/>
      </w:trPr>
      <w:tc>
        <w:tcPr>
          <w:tcW w:w="1435" w:type="dxa"/>
          <w:vMerge/>
        </w:tcPr>
        <w:p w:rsidR="00164017" w:rsidRPr="00164017" w:rsidP="00164017" w14:paraId="590A3E51" w14:textId="77777777">
          <w:pPr>
            <w:spacing w:before="120" w:after="120"/>
          </w:pPr>
        </w:p>
      </w:tc>
      <w:tc>
        <w:tcPr>
          <w:tcW w:w="7915" w:type="dxa"/>
          <w:gridSpan w:val="2"/>
          <w:vAlign w:val="center"/>
        </w:tcPr>
        <w:p w:rsidR="00164017" w:rsidRPr="00164017" w:rsidP="00D15BFC" w14:paraId="790593F8" w14:textId="0ABBC393">
          <w:pPr>
            <w:tabs>
              <w:tab w:val="left" w:pos="3807"/>
            </w:tabs>
            <w:jc w:val="right"/>
            <w:rPr>
              <w:rFonts w:ascii="Arial" w:hAnsi="Arial" w:cs="Arial"/>
              <w:b/>
              <w:sz w:val="18"/>
              <w:szCs w:val="18"/>
            </w:rPr>
          </w:pPr>
          <w:r w:rsidRPr="00164017">
            <w:rPr>
              <w:rFonts w:ascii="Arial" w:hAnsi="Arial" w:cs="Arial"/>
              <w:b/>
              <w:sz w:val="18"/>
              <w:szCs w:val="18"/>
            </w:rPr>
            <w:t>Issue Date</w:t>
          </w:r>
          <w:r w:rsidRPr="00551B64">
            <w:rPr>
              <w:rFonts w:ascii="Arial" w:hAnsi="Arial" w:cs="Arial"/>
              <w:b/>
              <w:sz w:val="18"/>
              <w:szCs w:val="18"/>
            </w:rPr>
            <w:t xml:space="preserve">: </w:t>
          </w:r>
          <w:r w:rsidR="00255709">
            <w:rPr>
              <w:rFonts w:ascii="Arial" w:hAnsi="Arial" w:cs="Arial"/>
              <w:b/>
              <w:sz w:val="18"/>
              <w:szCs w:val="18"/>
            </w:rPr>
            <w:t>M</w:t>
          </w:r>
          <w:r w:rsidR="0071658B">
            <w:rPr>
              <w:rFonts w:ascii="Arial" w:hAnsi="Arial" w:cs="Arial"/>
              <w:b/>
              <w:sz w:val="18"/>
              <w:szCs w:val="18"/>
            </w:rPr>
            <w:t>arch</w:t>
          </w:r>
          <w:r w:rsidRPr="00551B64">
            <w:rPr>
              <w:rFonts w:ascii="Arial" w:hAnsi="Arial" w:cs="Arial"/>
              <w:b/>
              <w:sz w:val="18"/>
              <w:szCs w:val="18"/>
            </w:rPr>
            <w:t xml:space="preserve"> 20</w:t>
          </w:r>
          <w:r w:rsidRPr="00551B64" w:rsidR="00A83BF6">
            <w:rPr>
              <w:rFonts w:ascii="Arial" w:hAnsi="Arial" w:cs="Arial"/>
              <w:b/>
              <w:sz w:val="18"/>
              <w:szCs w:val="18"/>
            </w:rPr>
            <w:t>2</w:t>
          </w:r>
          <w:r w:rsidRPr="00551B64" w:rsidR="00C71FE5">
            <w:rPr>
              <w:rFonts w:ascii="Arial" w:hAnsi="Arial" w:cs="Arial"/>
              <w:b/>
              <w:sz w:val="18"/>
              <w:szCs w:val="18"/>
            </w:rPr>
            <w:t>6</w:t>
          </w:r>
        </w:p>
        <w:p w:rsidR="00164017" w:rsidRPr="00164017" w:rsidP="00D15BFC" w14:paraId="660A9C89" w14:textId="51E12797">
          <w:pPr>
            <w:tabs>
              <w:tab w:val="left" w:pos="3807"/>
            </w:tabs>
            <w:jc w:val="right"/>
            <w:rPr>
              <w:rFonts w:ascii="Arial" w:hAnsi="Arial" w:cs="Arial"/>
              <w:b/>
              <w:iCs/>
              <w:color w:val="000000"/>
              <w:sz w:val="24"/>
              <w:szCs w:val="20"/>
            </w:rPr>
          </w:pPr>
          <w:r w:rsidRPr="00164017">
            <w:rPr>
              <w:rFonts w:ascii="Arial" w:hAnsi="Arial" w:cs="Arial"/>
              <w:b/>
              <w:sz w:val="18"/>
              <w:szCs w:val="18"/>
            </w:rPr>
            <w:t>Technical Lead</w:t>
          </w:r>
          <w:r w:rsidR="000D15D9">
            <w:rPr>
              <w:rFonts w:ascii="Arial" w:hAnsi="Arial" w:cs="Arial"/>
              <w:b/>
              <w:sz w:val="18"/>
              <w:szCs w:val="18"/>
            </w:rPr>
            <w:t>s</w:t>
          </w:r>
          <w:r w:rsidRPr="00164017">
            <w:rPr>
              <w:rFonts w:ascii="Arial" w:hAnsi="Arial" w:cs="Arial"/>
              <w:b/>
              <w:sz w:val="18"/>
              <w:szCs w:val="18"/>
            </w:rPr>
            <w:t>: Mihaela Biro</w:t>
          </w:r>
          <w:r w:rsidR="000D15D9">
            <w:rPr>
              <w:rFonts w:ascii="Arial" w:hAnsi="Arial" w:cs="Arial"/>
              <w:b/>
              <w:sz w:val="18"/>
              <w:szCs w:val="18"/>
            </w:rPr>
            <w:t xml:space="preserve"> and Hanh Phan</w:t>
          </w:r>
        </w:p>
      </w:tc>
    </w:tr>
  </w:tbl>
  <w:p w:rsidR="00093A1A" w14:paraId="2A7AEC74" w14:textId="0C3EF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902" w14:paraId="3E959F32" w14:textId="2DFD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902" w:rsidRPr="00540987" w:rsidP="00540987" w14:paraId="3229DDDB" w14:textId="0F70AA1B">
    <w:pPr>
      <w:tabs>
        <w:tab w:val="center" w:pos="4320"/>
        <w:tab w:val="right" w:pos="8640"/>
      </w:tabs>
      <w:autoSpaceDE w:val="0"/>
      <w:autoSpaceDN w:val="0"/>
      <w:adjustRightInd w:val="0"/>
      <w:spacing w:after="0" w:line="240" w:lineRule="auto"/>
      <w:jc w:val="center"/>
      <w:rPr>
        <w:rFonts w:ascii="Arial" w:eastAsia="Calibri" w:hAnsi="Arial" w:cs="Arial"/>
        <w:b/>
        <w:bCs/>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BD2" w14:paraId="3EF2DD03" w14:textId="209C79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14:paraId="7CDE2011" w14:textId="47074A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rsidRPr="00540987" w:rsidP="00540987" w14:paraId="265119D5" w14:textId="61E220B8">
    <w:pPr>
      <w:tabs>
        <w:tab w:val="center" w:pos="4320"/>
        <w:tab w:val="right" w:pos="8640"/>
      </w:tabs>
      <w:autoSpaceDE w:val="0"/>
      <w:autoSpaceDN w:val="0"/>
      <w:adjustRightInd w:val="0"/>
      <w:spacing w:after="0" w:line="240" w:lineRule="auto"/>
      <w:jc w:val="center"/>
      <w:rPr>
        <w:rFonts w:ascii="Arial" w:eastAsia="Calibri" w:hAnsi="Arial" w:cs="Arial"/>
        <w:b/>
        <w:bCs/>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rsidRPr="00540987" w:rsidP="00540987" w14:paraId="7D9AAE6F" w14:textId="7F9CF229">
    <w:pPr>
      <w:tabs>
        <w:tab w:val="center" w:pos="4320"/>
        <w:tab w:val="right" w:pos="8640"/>
      </w:tabs>
      <w:autoSpaceDE w:val="0"/>
      <w:autoSpaceDN w:val="0"/>
      <w:adjustRightInd w:val="0"/>
      <w:spacing w:after="0" w:line="240" w:lineRule="auto"/>
      <w:jc w:val="center"/>
      <w:rPr>
        <w:rFonts w:ascii="Arial" w:eastAsia="Calibri" w:hAnsi="Arial" w:cs="Arial"/>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55D0"/>
    <w:multiLevelType w:val="hybridMultilevel"/>
    <w:tmpl w:val="10A6046E"/>
    <w:lvl w:ilvl="0">
      <w:start w:val="1"/>
      <w:numFmt w:val="lowerLetter"/>
      <w:lvlText w:val="(%1)"/>
      <w:lvlJc w:val="left"/>
      <w:pPr>
        <w:ind w:left="1350" w:hanging="360"/>
      </w:pPr>
      <w:rPr>
        <w:rFonts w:hint="default"/>
        <w:color w:val="171616"/>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
    <w:nsid w:val="029C51A4"/>
    <w:multiLevelType w:val="hybridMultilevel"/>
    <w:tmpl w:val="7D6875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296325"/>
    <w:multiLevelType w:val="hybridMultilevel"/>
    <w:tmpl w:val="87427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440508"/>
    <w:multiLevelType w:val="hybridMultilevel"/>
    <w:tmpl w:val="540A9082"/>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4">
    <w:nsid w:val="053C0BD9"/>
    <w:multiLevelType w:val="hybridMultilevel"/>
    <w:tmpl w:val="534C2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D4F0E"/>
    <w:multiLevelType w:val="hybridMultilevel"/>
    <w:tmpl w:val="0DC8F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CB33C6"/>
    <w:multiLevelType w:val="hybridMultilevel"/>
    <w:tmpl w:val="DC7C4376"/>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7">
    <w:nsid w:val="095F23F2"/>
    <w:multiLevelType w:val="hybridMultilevel"/>
    <w:tmpl w:val="71344B3C"/>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8">
    <w:nsid w:val="0BE57CB4"/>
    <w:multiLevelType w:val="hybridMultilevel"/>
    <w:tmpl w:val="17102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1A47AD"/>
    <w:multiLevelType w:val="hybridMultilevel"/>
    <w:tmpl w:val="021AE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F621A3"/>
    <w:multiLevelType w:val="hybridMultilevel"/>
    <w:tmpl w:val="2DEAB62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13880074"/>
    <w:multiLevelType w:val="hybridMultilevel"/>
    <w:tmpl w:val="36082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697A83"/>
    <w:multiLevelType w:val="hybridMultilevel"/>
    <w:tmpl w:val="99F252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81D38EC"/>
    <w:multiLevelType w:val="hybridMultilevel"/>
    <w:tmpl w:val="F29026F0"/>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14">
    <w:nsid w:val="191F782D"/>
    <w:multiLevelType w:val="hybridMultilevel"/>
    <w:tmpl w:val="65305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8E05DE"/>
    <w:multiLevelType w:val="hybridMultilevel"/>
    <w:tmpl w:val="6562B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4C67A0"/>
    <w:multiLevelType w:val="hybridMultilevel"/>
    <w:tmpl w:val="541872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E67DFF"/>
    <w:multiLevelType w:val="hybridMultilevel"/>
    <w:tmpl w:val="F350D0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CE36E17"/>
    <w:multiLevelType w:val="hybridMultilevel"/>
    <w:tmpl w:val="E2F8F580"/>
    <w:lvl w:ilvl="0">
      <w:start w:val="1"/>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D92838"/>
    <w:multiLevelType w:val="hybridMultilevel"/>
    <w:tmpl w:val="422864F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FBA4EA2"/>
    <w:multiLevelType w:val="hybridMultilevel"/>
    <w:tmpl w:val="19ECCCA8"/>
    <w:lvl w:ilvl="0">
      <w:start w:val="1"/>
      <w:numFmt w:val="lowerLetter"/>
      <w:lvlText w:val="%1."/>
      <w:lvlJc w:val="left"/>
      <w:pPr>
        <w:ind w:left="360" w:hanging="360"/>
      </w:pPr>
      <w:rPr>
        <w:rFonts w:hint="default"/>
        <w:b w:val="0"/>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0257654"/>
    <w:multiLevelType w:val="hybridMultilevel"/>
    <w:tmpl w:val="8ACE6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9D1238"/>
    <w:multiLevelType w:val="hybridMultilevel"/>
    <w:tmpl w:val="2222DABA"/>
    <w:lvl w:ilvl="0">
      <w:start w:val="1"/>
      <w:numFmt w:val="decimal"/>
      <w:lvlText w:val="A.%1"/>
      <w:lvlJc w:val="left"/>
      <w:pPr>
        <w:ind w:left="1260" w:hanging="360"/>
      </w:pPr>
      <w:rPr>
        <w:rFonts w:ascii="Times New Roman" w:hAnsi="Times New Roman" w:cs="Times New Roman"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7309AC"/>
    <w:multiLevelType w:val="hybridMultilevel"/>
    <w:tmpl w:val="64DA8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F428A8"/>
    <w:multiLevelType w:val="hybridMultilevel"/>
    <w:tmpl w:val="0B286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CA43D3"/>
    <w:multiLevelType w:val="hybridMultilevel"/>
    <w:tmpl w:val="4ED6C74E"/>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26">
    <w:nsid w:val="26FB2753"/>
    <w:multiLevelType w:val="hybridMultilevel"/>
    <w:tmpl w:val="90DA622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9A9650E"/>
    <w:multiLevelType w:val="hybridMultilevel"/>
    <w:tmpl w:val="23D616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9C7695B"/>
    <w:multiLevelType w:val="hybridMultilevel"/>
    <w:tmpl w:val="470C1A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C142553"/>
    <w:multiLevelType w:val="hybridMultilevel"/>
    <w:tmpl w:val="2DF6B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FA4573E"/>
    <w:multiLevelType w:val="hybridMultilevel"/>
    <w:tmpl w:val="4C7C9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8343CF"/>
    <w:multiLevelType w:val="hybridMultilevel"/>
    <w:tmpl w:val="2040C2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132A8C"/>
    <w:multiLevelType w:val="hybridMultilevel"/>
    <w:tmpl w:val="DA2AF9D6"/>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33">
    <w:nsid w:val="37143ACC"/>
    <w:multiLevelType w:val="hybridMultilevel"/>
    <w:tmpl w:val="9F421ACE"/>
    <w:lvl w:ilvl="0">
      <w:start w:val="1"/>
      <w:numFmt w:val="decimal"/>
      <w:lvlText w:val="C.%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AD3C69"/>
    <w:multiLevelType w:val="hybridMultilevel"/>
    <w:tmpl w:val="CF9E6DA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4E121B"/>
    <w:multiLevelType w:val="hybridMultilevel"/>
    <w:tmpl w:val="A7B65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2B1844"/>
    <w:multiLevelType w:val="hybridMultilevel"/>
    <w:tmpl w:val="BB2E73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1A15B9"/>
    <w:multiLevelType w:val="hybridMultilevel"/>
    <w:tmpl w:val="0CE4F7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9190E0E"/>
    <w:multiLevelType w:val="hybridMultilevel"/>
    <w:tmpl w:val="B1661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B5C5BB9"/>
    <w:multiLevelType w:val="hybridMultilevel"/>
    <w:tmpl w:val="2C1E06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BF36371"/>
    <w:multiLevelType w:val="hybridMultilevel"/>
    <w:tmpl w:val="4308D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006351D"/>
    <w:multiLevelType w:val="hybridMultilevel"/>
    <w:tmpl w:val="A78C2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0C563E4"/>
    <w:multiLevelType w:val="hybridMultilevel"/>
    <w:tmpl w:val="E954B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BC4547"/>
    <w:multiLevelType w:val="hybridMultilevel"/>
    <w:tmpl w:val="E064F4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46602AF"/>
    <w:multiLevelType w:val="hybridMultilevel"/>
    <w:tmpl w:val="3C70E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881BF6"/>
    <w:multiLevelType w:val="hybridMultilevel"/>
    <w:tmpl w:val="F690A48A"/>
    <w:lvl w:ilvl="0">
      <w:start w:val="1"/>
      <w:numFmt w:val="decimal"/>
      <w:lvlText w:val="%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4D65931"/>
    <w:multiLevelType w:val="hybridMultilevel"/>
    <w:tmpl w:val="03B0CA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5BA782F"/>
    <w:multiLevelType w:val="hybridMultilevel"/>
    <w:tmpl w:val="F684C64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8">
    <w:nsid w:val="564F4A64"/>
    <w:multiLevelType w:val="hybridMultilevel"/>
    <w:tmpl w:val="22580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875461D"/>
    <w:multiLevelType w:val="hybridMultilevel"/>
    <w:tmpl w:val="38466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936396B"/>
    <w:multiLevelType w:val="hybridMultilevel"/>
    <w:tmpl w:val="EE80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BF17438"/>
    <w:multiLevelType w:val="hybridMultilevel"/>
    <w:tmpl w:val="D388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DC76489"/>
    <w:multiLevelType w:val="hybridMultilevel"/>
    <w:tmpl w:val="5E5C5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E5B1797"/>
    <w:multiLevelType w:val="hybridMultilevel"/>
    <w:tmpl w:val="293076A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5F2C5B28"/>
    <w:multiLevelType w:val="hybridMultilevel"/>
    <w:tmpl w:val="C94AB3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F6041FD"/>
    <w:multiLevelType w:val="hybridMultilevel"/>
    <w:tmpl w:val="92847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1AD7DF9"/>
    <w:multiLevelType w:val="hybridMultilevel"/>
    <w:tmpl w:val="F9444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3712740"/>
    <w:multiLevelType w:val="hybridMultilevel"/>
    <w:tmpl w:val="04B29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66C7CB7"/>
    <w:multiLevelType w:val="hybridMultilevel"/>
    <w:tmpl w:val="F9DC39E6"/>
    <w:lvl w:ilvl="0">
      <w:start w:val="1"/>
      <w:numFmt w:val="lowerLetter"/>
      <w:lvlText w:val="%1."/>
      <w:lvlJc w:val="left"/>
      <w:pPr>
        <w:ind w:left="360" w:hanging="360"/>
      </w:pPr>
      <w:rPr>
        <w:rFonts w:hint="default"/>
        <w:b w:val="0"/>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776737A"/>
    <w:multiLevelType w:val="hybridMultilevel"/>
    <w:tmpl w:val="C686A1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7D40751"/>
    <w:multiLevelType w:val="hybridMultilevel"/>
    <w:tmpl w:val="9BC45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CE96DEC"/>
    <w:multiLevelType w:val="hybridMultilevel"/>
    <w:tmpl w:val="AA5C2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03154A6"/>
    <w:multiLevelType w:val="hybridMultilevel"/>
    <w:tmpl w:val="B9462B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0BC2797"/>
    <w:multiLevelType w:val="hybridMultilevel"/>
    <w:tmpl w:val="2402B4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21C8F08"/>
    <w:multiLevelType w:val="hybridMultilevel"/>
    <w:tmpl w:val="D9DB1B9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73C8161E"/>
    <w:multiLevelType w:val="hybridMultilevel"/>
    <w:tmpl w:val="49722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73DD39D8"/>
    <w:multiLevelType w:val="hybridMultilevel"/>
    <w:tmpl w:val="88B87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361A52"/>
    <w:multiLevelType w:val="hybridMultilevel"/>
    <w:tmpl w:val="D3E6A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680FA4"/>
    <w:multiLevelType w:val="hybridMultilevel"/>
    <w:tmpl w:val="6E9E3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2E1E35"/>
    <w:multiLevelType w:val="hybridMultilevel"/>
    <w:tmpl w:val="09FED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94D5F6E"/>
    <w:multiLevelType w:val="hybridMultilevel"/>
    <w:tmpl w:val="213413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DBD1EF5"/>
    <w:multiLevelType w:val="hybridMultilevel"/>
    <w:tmpl w:val="969ED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FCF076C"/>
    <w:multiLevelType w:val="hybridMultilevel"/>
    <w:tmpl w:val="1348F05E"/>
    <w:lvl w:ilvl="0">
      <w:start w:val="1"/>
      <w:numFmt w:val="lowerLetter"/>
      <w:lvlText w:val="%1."/>
      <w:lvlJc w:val="left"/>
      <w:pPr>
        <w:ind w:left="720" w:hanging="360"/>
      </w:pPr>
      <w:rPr>
        <w:rFonts w:hint="default"/>
        <w:u w:val="none"/>
      </w:rPr>
    </w:lvl>
    <w:lvl w:ilvl="1">
      <w:start w:val="1"/>
      <w:numFmt w:val="decimal"/>
      <w:suff w:val="space"/>
      <w:lvlText w:val="(%2)"/>
      <w:lvlJc w:val="left"/>
      <w:pPr>
        <w:ind w:left="648" w:firstLine="72"/>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EC541C"/>
    <w:multiLevelType w:val="hybridMultilevel"/>
    <w:tmpl w:val="D6F29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FF8231D"/>
    <w:multiLevelType w:val="hybridMultilevel"/>
    <w:tmpl w:val="3EBAF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4331131">
    <w:abstractNumId w:val="55"/>
  </w:num>
  <w:num w:numId="2" w16cid:durableId="1823233497">
    <w:abstractNumId w:val="4"/>
  </w:num>
  <w:num w:numId="3" w16cid:durableId="1868785571">
    <w:abstractNumId w:val="61"/>
  </w:num>
  <w:num w:numId="4" w16cid:durableId="1140078408">
    <w:abstractNumId w:val="23"/>
  </w:num>
  <w:num w:numId="5" w16cid:durableId="1718317651">
    <w:abstractNumId w:val="13"/>
  </w:num>
  <w:num w:numId="6" w16cid:durableId="801924533">
    <w:abstractNumId w:val="7"/>
  </w:num>
  <w:num w:numId="7" w16cid:durableId="1852911729">
    <w:abstractNumId w:val="3"/>
  </w:num>
  <w:num w:numId="8" w16cid:durableId="1034110390">
    <w:abstractNumId w:val="6"/>
  </w:num>
  <w:num w:numId="9" w16cid:durableId="1719010422">
    <w:abstractNumId w:val="32"/>
  </w:num>
  <w:num w:numId="10" w16cid:durableId="514613519">
    <w:abstractNumId w:val="25"/>
  </w:num>
  <w:num w:numId="11" w16cid:durableId="11228309">
    <w:abstractNumId w:val="57"/>
  </w:num>
  <w:num w:numId="12" w16cid:durableId="421074310">
    <w:abstractNumId w:val="70"/>
  </w:num>
  <w:num w:numId="13" w16cid:durableId="1605384043">
    <w:abstractNumId w:val="66"/>
  </w:num>
  <w:num w:numId="14" w16cid:durableId="1546481908">
    <w:abstractNumId w:val="14"/>
  </w:num>
  <w:num w:numId="15" w16cid:durableId="1666665248">
    <w:abstractNumId w:val="2"/>
  </w:num>
  <w:num w:numId="16" w16cid:durableId="1443307276">
    <w:abstractNumId w:val="30"/>
  </w:num>
  <w:num w:numId="17" w16cid:durableId="75522533">
    <w:abstractNumId w:val="69"/>
  </w:num>
  <w:num w:numId="18" w16cid:durableId="1536388453">
    <w:abstractNumId w:val="41"/>
  </w:num>
  <w:num w:numId="19" w16cid:durableId="1223253150">
    <w:abstractNumId w:val="49"/>
  </w:num>
  <w:num w:numId="20" w16cid:durableId="1358580059">
    <w:abstractNumId w:val="67"/>
  </w:num>
  <w:num w:numId="21" w16cid:durableId="1782526525">
    <w:abstractNumId w:val="71"/>
  </w:num>
  <w:num w:numId="22" w16cid:durableId="719130996">
    <w:abstractNumId w:val="38"/>
  </w:num>
  <w:num w:numId="23" w16cid:durableId="2044478850">
    <w:abstractNumId w:val="63"/>
  </w:num>
  <w:num w:numId="24" w16cid:durableId="841286700">
    <w:abstractNumId w:val="29"/>
  </w:num>
  <w:num w:numId="25" w16cid:durableId="615984840">
    <w:abstractNumId w:val="44"/>
  </w:num>
  <w:num w:numId="26" w16cid:durableId="2051567497">
    <w:abstractNumId w:val="68"/>
  </w:num>
  <w:num w:numId="27" w16cid:durableId="1260143942">
    <w:abstractNumId w:val="51"/>
  </w:num>
  <w:num w:numId="28" w16cid:durableId="33774425">
    <w:abstractNumId w:val="21"/>
  </w:num>
  <w:num w:numId="29" w16cid:durableId="470561600">
    <w:abstractNumId w:val="35"/>
  </w:num>
  <w:num w:numId="30" w16cid:durableId="1184325742">
    <w:abstractNumId w:val="9"/>
  </w:num>
  <w:num w:numId="31" w16cid:durableId="633369119">
    <w:abstractNumId w:val="26"/>
  </w:num>
  <w:num w:numId="32" w16cid:durableId="1311255614">
    <w:abstractNumId w:val="34"/>
  </w:num>
  <w:num w:numId="33" w16cid:durableId="1933930121">
    <w:abstractNumId w:val="53"/>
  </w:num>
  <w:num w:numId="34" w16cid:durableId="1506553974">
    <w:abstractNumId w:val="10"/>
  </w:num>
  <w:num w:numId="35" w16cid:durableId="1098402512">
    <w:abstractNumId w:val="47"/>
  </w:num>
  <w:num w:numId="36" w16cid:durableId="1830517289">
    <w:abstractNumId w:val="65"/>
  </w:num>
  <w:num w:numId="37" w16cid:durableId="763189066">
    <w:abstractNumId w:val="0"/>
  </w:num>
  <w:num w:numId="38" w16cid:durableId="982002109">
    <w:abstractNumId w:val="33"/>
  </w:num>
  <w:num w:numId="39" w16cid:durableId="512695422">
    <w:abstractNumId w:val="64"/>
  </w:num>
  <w:num w:numId="40" w16cid:durableId="441804363">
    <w:abstractNumId w:val="17"/>
  </w:num>
  <w:num w:numId="41" w16cid:durableId="610473133">
    <w:abstractNumId w:val="62"/>
  </w:num>
  <w:num w:numId="42" w16cid:durableId="961692718">
    <w:abstractNumId w:val="42"/>
  </w:num>
  <w:num w:numId="43" w16cid:durableId="2139450323">
    <w:abstractNumId w:val="46"/>
  </w:num>
  <w:num w:numId="44" w16cid:durableId="664088103">
    <w:abstractNumId w:val="19"/>
  </w:num>
  <w:num w:numId="45" w16cid:durableId="1535843306">
    <w:abstractNumId w:val="48"/>
  </w:num>
  <w:num w:numId="46" w16cid:durableId="219174374">
    <w:abstractNumId w:val="37"/>
  </w:num>
  <w:num w:numId="47" w16cid:durableId="296956323">
    <w:abstractNumId w:val="28"/>
  </w:num>
  <w:num w:numId="48" w16cid:durableId="2067676802">
    <w:abstractNumId w:val="50"/>
  </w:num>
  <w:num w:numId="49" w16cid:durableId="2044286609">
    <w:abstractNumId w:val="12"/>
  </w:num>
  <w:num w:numId="50" w16cid:durableId="2076200845">
    <w:abstractNumId w:val="1"/>
  </w:num>
  <w:num w:numId="51" w16cid:durableId="1956281074">
    <w:abstractNumId w:val="22"/>
  </w:num>
  <w:num w:numId="52" w16cid:durableId="530653010">
    <w:abstractNumId w:val="45"/>
  </w:num>
  <w:num w:numId="53" w16cid:durableId="933241504">
    <w:abstractNumId w:val="11"/>
  </w:num>
  <w:num w:numId="54" w16cid:durableId="431979854">
    <w:abstractNumId w:val="56"/>
  </w:num>
  <w:num w:numId="55" w16cid:durableId="1525436720">
    <w:abstractNumId w:val="5"/>
  </w:num>
  <w:num w:numId="56" w16cid:durableId="1494103670">
    <w:abstractNumId w:val="18"/>
  </w:num>
  <w:num w:numId="57" w16cid:durableId="1449811700">
    <w:abstractNumId w:val="31"/>
  </w:num>
  <w:num w:numId="58" w16cid:durableId="44793532">
    <w:abstractNumId w:val="72"/>
  </w:num>
  <w:num w:numId="59" w16cid:durableId="994531686">
    <w:abstractNumId w:val="52"/>
  </w:num>
  <w:num w:numId="60" w16cid:durableId="1070469831">
    <w:abstractNumId w:val="73"/>
  </w:num>
  <w:num w:numId="61" w16cid:durableId="1677416004">
    <w:abstractNumId w:val="60"/>
  </w:num>
  <w:num w:numId="62" w16cid:durableId="240916619">
    <w:abstractNumId w:val="54"/>
  </w:num>
  <w:num w:numId="63" w16cid:durableId="1452892758">
    <w:abstractNumId w:val="39"/>
  </w:num>
  <w:num w:numId="64" w16cid:durableId="16732970">
    <w:abstractNumId w:val="20"/>
  </w:num>
  <w:num w:numId="65" w16cid:durableId="1761095611">
    <w:abstractNumId w:val="58"/>
  </w:num>
  <w:num w:numId="66" w16cid:durableId="1223448463">
    <w:abstractNumId w:val="43"/>
  </w:num>
  <w:num w:numId="67" w16cid:durableId="1198927701">
    <w:abstractNumId w:val="74"/>
  </w:num>
  <w:num w:numId="68" w16cid:durableId="1931310078">
    <w:abstractNumId w:val="15"/>
  </w:num>
  <w:num w:numId="69" w16cid:durableId="432094130">
    <w:abstractNumId w:val="36"/>
  </w:num>
  <w:num w:numId="70" w16cid:durableId="2085181391">
    <w:abstractNumId w:val="59"/>
  </w:num>
  <w:num w:numId="71" w16cid:durableId="1650548118">
    <w:abstractNumId w:val="24"/>
  </w:num>
  <w:num w:numId="72" w16cid:durableId="1807627570">
    <w:abstractNumId w:val="8"/>
  </w:num>
  <w:num w:numId="73" w16cid:durableId="1408721266">
    <w:abstractNumId w:val="16"/>
  </w:num>
  <w:num w:numId="74" w16cid:durableId="1762294619">
    <w:abstractNumId w:val="27"/>
  </w:num>
  <w:num w:numId="75" w16cid:durableId="547037307">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B"/>
    <w:rsid w:val="00000260"/>
    <w:rsid w:val="000002C9"/>
    <w:rsid w:val="00000DEC"/>
    <w:rsid w:val="000012CE"/>
    <w:rsid w:val="000018A9"/>
    <w:rsid w:val="0000213A"/>
    <w:rsid w:val="000024E5"/>
    <w:rsid w:val="00002B3C"/>
    <w:rsid w:val="00002C6C"/>
    <w:rsid w:val="00002EA4"/>
    <w:rsid w:val="00002F6E"/>
    <w:rsid w:val="00002FF5"/>
    <w:rsid w:val="000032CC"/>
    <w:rsid w:val="000038A7"/>
    <w:rsid w:val="00004295"/>
    <w:rsid w:val="000043BA"/>
    <w:rsid w:val="000044D2"/>
    <w:rsid w:val="000046BE"/>
    <w:rsid w:val="0000506D"/>
    <w:rsid w:val="00005602"/>
    <w:rsid w:val="00005616"/>
    <w:rsid w:val="000056EB"/>
    <w:rsid w:val="00005C64"/>
    <w:rsid w:val="00005DD1"/>
    <w:rsid w:val="00006164"/>
    <w:rsid w:val="000061AB"/>
    <w:rsid w:val="00006267"/>
    <w:rsid w:val="00006378"/>
    <w:rsid w:val="0000637A"/>
    <w:rsid w:val="0000646B"/>
    <w:rsid w:val="000066E4"/>
    <w:rsid w:val="000068F4"/>
    <w:rsid w:val="00006BA6"/>
    <w:rsid w:val="00006C0F"/>
    <w:rsid w:val="00006C7B"/>
    <w:rsid w:val="0000703B"/>
    <w:rsid w:val="000070DC"/>
    <w:rsid w:val="00007121"/>
    <w:rsid w:val="000072AB"/>
    <w:rsid w:val="000075E4"/>
    <w:rsid w:val="0000763A"/>
    <w:rsid w:val="0000764F"/>
    <w:rsid w:val="000078BE"/>
    <w:rsid w:val="00007A87"/>
    <w:rsid w:val="00007FC6"/>
    <w:rsid w:val="0001047B"/>
    <w:rsid w:val="00010A14"/>
    <w:rsid w:val="00010A37"/>
    <w:rsid w:val="00010F08"/>
    <w:rsid w:val="000115F0"/>
    <w:rsid w:val="00011652"/>
    <w:rsid w:val="00011A5F"/>
    <w:rsid w:val="00011DED"/>
    <w:rsid w:val="000120DF"/>
    <w:rsid w:val="00012351"/>
    <w:rsid w:val="000123B0"/>
    <w:rsid w:val="0001253C"/>
    <w:rsid w:val="000125A0"/>
    <w:rsid w:val="000127E0"/>
    <w:rsid w:val="00012859"/>
    <w:rsid w:val="00012860"/>
    <w:rsid w:val="0001288B"/>
    <w:rsid w:val="00012D2C"/>
    <w:rsid w:val="000138FC"/>
    <w:rsid w:val="00013C4D"/>
    <w:rsid w:val="00013E1D"/>
    <w:rsid w:val="00013EB9"/>
    <w:rsid w:val="00014079"/>
    <w:rsid w:val="000142ED"/>
    <w:rsid w:val="00014DE7"/>
    <w:rsid w:val="00014DFD"/>
    <w:rsid w:val="00014E9A"/>
    <w:rsid w:val="00014EF7"/>
    <w:rsid w:val="000157FB"/>
    <w:rsid w:val="000159B9"/>
    <w:rsid w:val="00015E5E"/>
    <w:rsid w:val="0001638C"/>
    <w:rsid w:val="000163AC"/>
    <w:rsid w:val="00016484"/>
    <w:rsid w:val="00016595"/>
    <w:rsid w:val="000167C2"/>
    <w:rsid w:val="00016D1F"/>
    <w:rsid w:val="0001717F"/>
    <w:rsid w:val="00017717"/>
    <w:rsid w:val="0001771A"/>
    <w:rsid w:val="00017D4E"/>
    <w:rsid w:val="00017D61"/>
    <w:rsid w:val="00020518"/>
    <w:rsid w:val="000207CA"/>
    <w:rsid w:val="00020AED"/>
    <w:rsid w:val="000220EA"/>
    <w:rsid w:val="0002216D"/>
    <w:rsid w:val="0002228C"/>
    <w:rsid w:val="000222A2"/>
    <w:rsid w:val="0002241C"/>
    <w:rsid w:val="000227CC"/>
    <w:rsid w:val="000228B2"/>
    <w:rsid w:val="000228F0"/>
    <w:rsid w:val="00022FEB"/>
    <w:rsid w:val="00023144"/>
    <w:rsid w:val="000238D4"/>
    <w:rsid w:val="00023EBC"/>
    <w:rsid w:val="0002433A"/>
    <w:rsid w:val="0002434E"/>
    <w:rsid w:val="000244C4"/>
    <w:rsid w:val="000247CF"/>
    <w:rsid w:val="00024A70"/>
    <w:rsid w:val="00024C9D"/>
    <w:rsid w:val="00024E91"/>
    <w:rsid w:val="00025E6B"/>
    <w:rsid w:val="000261DC"/>
    <w:rsid w:val="0002654C"/>
    <w:rsid w:val="000265C3"/>
    <w:rsid w:val="00026AFE"/>
    <w:rsid w:val="0002718B"/>
    <w:rsid w:val="00027274"/>
    <w:rsid w:val="000272FF"/>
    <w:rsid w:val="00027404"/>
    <w:rsid w:val="00027924"/>
    <w:rsid w:val="00027B20"/>
    <w:rsid w:val="000300B0"/>
    <w:rsid w:val="00030724"/>
    <w:rsid w:val="00030835"/>
    <w:rsid w:val="00030BD7"/>
    <w:rsid w:val="00030F39"/>
    <w:rsid w:val="00031BDE"/>
    <w:rsid w:val="00031F5E"/>
    <w:rsid w:val="00032233"/>
    <w:rsid w:val="000325FA"/>
    <w:rsid w:val="00033986"/>
    <w:rsid w:val="00033F45"/>
    <w:rsid w:val="0003434F"/>
    <w:rsid w:val="00035126"/>
    <w:rsid w:val="000352A1"/>
    <w:rsid w:val="00035390"/>
    <w:rsid w:val="000353B7"/>
    <w:rsid w:val="000354FB"/>
    <w:rsid w:val="000358A8"/>
    <w:rsid w:val="000359D5"/>
    <w:rsid w:val="00035ADE"/>
    <w:rsid w:val="00035D3F"/>
    <w:rsid w:val="00035D6D"/>
    <w:rsid w:val="00035E1C"/>
    <w:rsid w:val="000362F4"/>
    <w:rsid w:val="0003674A"/>
    <w:rsid w:val="00036EE6"/>
    <w:rsid w:val="00037725"/>
    <w:rsid w:val="000377CE"/>
    <w:rsid w:val="000377F4"/>
    <w:rsid w:val="00037868"/>
    <w:rsid w:val="0003791E"/>
    <w:rsid w:val="00037C3E"/>
    <w:rsid w:val="0004088B"/>
    <w:rsid w:val="00040A26"/>
    <w:rsid w:val="00040BD7"/>
    <w:rsid w:val="00040C1E"/>
    <w:rsid w:val="00040EB9"/>
    <w:rsid w:val="00040F87"/>
    <w:rsid w:val="0004106B"/>
    <w:rsid w:val="00041761"/>
    <w:rsid w:val="00041DD8"/>
    <w:rsid w:val="00041ED5"/>
    <w:rsid w:val="00041FDB"/>
    <w:rsid w:val="000424EB"/>
    <w:rsid w:val="00042A22"/>
    <w:rsid w:val="00043229"/>
    <w:rsid w:val="0004359D"/>
    <w:rsid w:val="00044847"/>
    <w:rsid w:val="00044996"/>
    <w:rsid w:val="00044C44"/>
    <w:rsid w:val="00045038"/>
    <w:rsid w:val="0004508D"/>
    <w:rsid w:val="0004538D"/>
    <w:rsid w:val="000457C6"/>
    <w:rsid w:val="000460FA"/>
    <w:rsid w:val="000461EF"/>
    <w:rsid w:val="00046E4A"/>
    <w:rsid w:val="00047745"/>
    <w:rsid w:val="000477DC"/>
    <w:rsid w:val="0004786A"/>
    <w:rsid w:val="0004791A"/>
    <w:rsid w:val="00047E9E"/>
    <w:rsid w:val="00050386"/>
    <w:rsid w:val="00050E6F"/>
    <w:rsid w:val="00051293"/>
    <w:rsid w:val="00051587"/>
    <w:rsid w:val="000515D7"/>
    <w:rsid w:val="00051844"/>
    <w:rsid w:val="00051D53"/>
    <w:rsid w:val="00051E56"/>
    <w:rsid w:val="0005213D"/>
    <w:rsid w:val="00052216"/>
    <w:rsid w:val="000526E9"/>
    <w:rsid w:val="00052C6D"/>
    <w:rsid w:val="00052C81"/>
    <w:rsid w:val="00052D8A"/>
    <w:rsid w:val="00052E43"/>
    <w:rsid w:val="0005354B"/>
    <w:rsid w:val="000538BB"/>
    <w:rsid w:val="00053BDD"/>
    <w:rsid w:val="00054532"/>
    <w:rsid w:val="000545DC"/>
    <w:rsid w:val="000549F8"/>
    <w:rsid w:val="000552D7"/>
    <w:rsid w:val="00055426"/>
    <w:rsid w:val="00055686"/>
    <w:rsid w:val="0005596E"/>
    <w:rsid w:val="00055AB6"/>
    <w:rsid w:val="00055DB1"/>
    <w:rsid w:val="00055DCC"/>
    <w:rsid w:val="00056734"/>
    <w:rsid w:val="00056AA5"/>
    <w:rsid w:val="00056B13"/>
    <w:rsid w:val="000570E6"/>
    <w:rsid w:val="0005718F"/>
    <w:rsid w:val="00057393"/>
    <w:rsid w:val="00057937"/>
    <w:rsid w:val="00057A0B"/>
    <w:rsid w:val="00057AEF"/>
    <w:rsid w:val="00057EE8"/>
    <w:rsid w:val="00057F9A"/>
    <w:rsid w:val="0006006B"/>
    <w:rsid w:val="000601D5"/>
    <w:rsid w:val="000602F0"/>
    <w:rsid w:val="00060610"/>
    <w:rsid w:val="00060A5B"/>
    <w:rsid w:val="00060AA5"/>
    <w:rsid w:val="00060B09"/>
    <w:rsid w:val="0006124D"/>
    <w:rsid w:val="00061405"/>
    <w:rsid w:val="0006146C"/>
    <w:rsid w:val="000615DE"/>
    <w:rsid w:val="00061BFB"/>
    <w:rsid w:val="000622A9"/>
    <w:rsid w:val="0006236B"/>
    <w:rsid w:val="00062441"/>
    <w:rsid w:val="000625E6"/>
    <w:rsid w:val="00062B7D"/>
    <w:rsid w:val="00062D4C"/>
    <w:rsid w:val="00062DA2"/>
    <w:rsid w:val="000631D1"/>
    <w:rsid w:val="0006320B"/>
    <w:rsid w:val="0006361D"/>
    <w:rsid w:val="000636C8"/>
    <w:rsid w:val="00063D55"/>
    <w:rsid w:val="00064110"/>
    <w:rsid w:val="00064265"/>
    <w:rsid w:val="00064630"/>
    <w:rsid w:val="00064747"/>
    <w:rsid w:val="0006491E"/>
    <w:rsid w:val="00065056"/>
    <w:rsid w:val="0006571A"/>
    <w:rsid w:val="00065852"/>
    <w:rsid w:val="00065A31"/>
    <w:rsid w:val="00065C86"/>
    <w:rsid w:val="00065F32"/>
    <w:rsid w:val="000669A2"/>
    <w:rsid w:val="00066DD1"/>
    <w:rsid w:val="000672F2"/>
    <w:rsid w:val="000676E6"/>
    <w:rsid w:val="00067745"/>
    <w:rsid w:val="00067986"/>
    <w:rsid w:val="00067C81"/>
    <w:rsid w:val="00067D7F"/>
    <w:rsid w:val="00067E2C"/>
    <w:rsid w:val="00067FAE"/>
    <w:rsid w:val="00070A94"/>
    <w:rsid w:val="00070B54"/>
    <w:rsid w:val="00070D5A"/>
    <w:rsid w:val="00070D7A"/>
    <w:rsid w:val="00071087"/>
    <w:rsid w:val="000711E2"/>
    <w:rsid w:val="00071267"/>
    <w:rsid w:val="000712BE"/>
    <w:rsid w:val="000713B8"/>
    <w:rsid w:val="00071403"/>
    <w:rsid w:val="00071579"/>
    <w:rsid w:val="000717EE"/>
    <w:rsid w:val="00071B49"/>
    <w:rsid w:val="00071C84"/>
    <w:rsid w:val="00071D4D"/>
    <w:rsid w:val="00071F79"/>
    <w:rsid w:val="0007201F"/>
    <w:rsid w:val="0007203D"/>
    <w:rsid w:val="00072257"/>
    <w:rsid w:val="000722BE"/>
    <w:rsid w:val="00072711"/>
    <w:rsid w:val="0007276A"/>
    <w:rsid w:val="00072A62"/>
    <w:rsid w:val="00072B09"/>
    <w:rsid w:val="00072BE9"/>
    <w:rsid w:val="00072DCB"/>
    <w:rsid w:val="00072F75"/>
    <w:rsid w:val="000731F2"/>
    <w:rsid w:val="000733AF"/>
    <w:rsid w:val="000738B7"/>
    <w:rsid w:val="00074391"/>
    <w:rsid w:val="000744A4"/>
    <w:rsid w:val="0007490C"/>
    <w:rsid w:val="000749F4"/>
    <w:rsid w:val="00074A49"/>
    <w:rsid w:val="00074AEA"/>
    <w:rsid w:val="00075435"/>
    <w:rsid w:val="00075527"/>
    <w:rsid w:val="0007556F"/>
    <w:rsid w:val="00075A4D"/>
    <w:rsid w:val="00075B33"/>
    <w:rsid w:val="00075EA4"/>
    <w:rsid w:val="00076009"/>
    <w:rsid w:val="0007654A"/>
    <w:rsid w:val="00076870"/>
    <w:rsid w:val="00077375"/>
    <w:rsid w:val="000778E6"/>
    <w:rsid w:val="00077ECC"/>
    <w:rsid w:val="0008018D"/>
    <w:rsid w:val="0008022D"/>
    <w:rsid w:val="0008035A"/>
    <w:rsid w:val="000803E5"/>
    <w:rsid w:val="00080597"/>
    <w:rsid w:val="000805BD"/>
    <w:rsid w:val="0008072B"/>
    <w:rsid w:val="000809E7"/>
    <w:rsid w:val="0008110E"/>
    <w:rsid w:val="0008162F"/>
    <w:rsid w:val="0008165C"/>
    <w:rsid w:val="00081887"/>
    <w:rsid w:val="00081E43"/>
    <w:rsid w:val="0008248D"/>
    <w:rsid w:val="00082806"/>
    <w:rsid w:val="00082C95"/>
    <w:rsid w:val="00083355"/>
    <w:rsid w:val="000838FB"/>
    <w:rsid w:val="0008436F"/>
    <w:rsid w:val="000845F3"/>
    <w:rsid w:val="00084740"/>
    <w:rsid w:val="00085073"/>
    <w:rsid w:val="00085235"/>
    <w:rsid w:val="000854A8"/>
    <w:rsid w:val="000856AE"/>
    <w:rsid w:val="00085E10"/>
    <w:rsid w:val="00086869"/>
    <w:rsid w:val="00086940"/>
    <w:rsid w:val="00086D00"/>
    <w:rsid w:val="0008780D"/>
    <w:rsid w:val="00087AA0"/>
    <w:rsid w:val="00087AFE"/>
    <w:rsid w:val="00087FE3"/>
    <w:rsid w:val="0009023B"/>
    <w:rsid w:val="00090B42"/>
    <w:rsid w:val="00090E01"/>
    <w:rsid w:val="000917E5"/>
    <w:rsid w:val="00091C76"/>
    <w:rsid w:val="00091D1E"/>
    <w:rsid w:val="00091D8D"/>
    <w:rsid w:val="00091EB5"/>
    <w:rsid w:val="00092043"/>
    <w:rsid w:val="0009240D"/>
    <w:rsid w:val="000924D6"/>
    <w:rsid w:val="000929C0"/>
    <w:rsid w:val="00092D68"/>
    <w:rsid w:val="00092E40"/>
    <w:rsid w:val="000930CB"/>
    <w:rsid w:val="00093321"/>
    <w:rsid w:val="00093A1A"/>
    <w:rsid w:val="00094028"/>
    <w:rsid w:val="00094121"/>
    <w:rsid w:val="00094131"/>
    <w:rsid w:val="000943C7"/>
    <w:rsid w:val="000945AE"/>
    <w:rsid w:val="00094882"/>
    <w:rsid w:val="00094A68"/>
    <w:rsid w:val="00095051"/>
    <w:rsid w:val="000950C2"/>
    <w:rsid w:val="000953D1"/>
    <w:rsid w:val="00095526"/>
    <w:rsid w:val="00095830"/>
    <w:rsid w:val="00095A16"/>
    <w:rsid w:val="00095BAD"/>
    <w:rsid w:val="00095D16"/>
    <w:rsid w:val="000960A2"/>
    <w:rsid w:val="00096387"/>
    <w:rsid w:val="000963DF"/>
    <w:rsid w:val="00096699"/>
    <w:rsid w:val="00097034"/>
    <w:rsid w:val="0009705A"/>
    <w:rsid w:val="00097AD2"/>
    <w:rsid w:val="00097AE2"/>
    <w:rsid w:val="00097CD7"/>
    <w:rsid w:val="000A01C9"/>
    <w:rsid w:val="000A04E8"/>
    <w:rsid w:val="000A07FD"/>
    <w:rsid w:val="000A0884"/>
    <w:rsid w:val="000A0C75"/>
    <w:rsid w:val="000A17AE"/>
    <w:rsid w:val="000A1CC4"/>
    <w:rsid w:val="000A1E45"/>
    <w:rsid w:val="000A1F68"/>
    <w:rsid w:val="000A1F86"/>
    <w:rsid w:val="000A24C1"/>
    <w:rsid w:val="000A2786"/>
    <w:rsid w:val="000A2C08"/>
    <w:rsid w:val="000A30E1"/>
    <w:rsid w:val="000A354D"/>
    <w:rsid w:val="000A3998"/>
    <w:rsid w:val="000A43E0"/>
    <w:rsid w:val="000A4733"/>
    <w:rsid w:val="000A4AD6"/>
    <w:rsid w:val="000A4C61"/>
    <w:rsid w:val="000A5618"/>
    <w:rsid w:val="000A56A1"/>
    <w:rsid w:val="000A5789"/>
    <w:rsid w:val="000A5C01"/>
    <w:rsid w:val="000A5DE6"/>
    <w:rsid w:val="000A65AB"/>
    <w:rsid w:val="000A683F"/>
    <w:rsid w:val="000A6863"/>
    <w:rsid w:val="000A69B8"/>
    <w:rsid w:val="000A6C82"/>
    <w:rsid w:val="000A6E8B"/>
    <w:rsid w:val="000A7801"/>
    <w:rsid w:val="000A7909"/>
    <w:rsid w:val="000A7911"/>
    <w:rsid w:val="000A7AD5"/>
    <w:rsid w:val="000A7EFD"/>
    <w:rsid w:val="000B0265"/>
    <w:rsid w:val="000B02AD"/>
    <w:rsid w:val="000B0506"/>
    <w:rsid w:val="000B0ADF"/>
    <w:rsid w:val="000B0B38"/>
    <w:rsid w:val="000B0FC4"/>
    <w:rsid w:val="000B12DB"/>
    <w:rsid w:val="000B182C"/>
    <w:rsid w:val="000B2112"/>
    <w:rsid w:val="000B2DAF"/>
    <w:rsid w:val="000B2E88"/>
    <w:rsid w:val="000B3659"/>
    <w:rsid w:val="000B3766"/>
    <w:rsid w:val="000B38E3"/>
    <w:rsid w:val="000B3C08"/>
    <w:rsid w:val="000B3C2D"/>
    <w:rsid w:val="000B3C6D"/>
    <w:rsid w:val="000B3CC2"/>
    <w:rsid w:val="000B3DE1"/>
    <w:rsid w:val="000B4750"/>
    <w:rsid w:val="000B4759"/>
    <w:rsid w:val="000B4911"/>
    <w:rsid w:val="000B495E"/>
    <w:rsid w:val="000B4CA5"/>
    <w:rsid w:val="000B4EA7"/>
    <w:rsid w:val="000B5798"/>
    <w:rsid w:val="000B5CA4"/>
    <w:rsid w:val="000B5D90"/>
    <w:rsid w:val="000B665D"/>
    <w:rsid w:val="000B7051"/>
    <w:rsid w:val="000B79A7"/>
    <w:rsid w:val="000B7D1C"/>
    <w:rsid w:val="000B7E7E"/>
    <w:rsid w:val="000C0274"/>
    <w:rsid w:val="000C044B"/>
    <w:rsid w:val="000C0767"/>
    <w:rsid w:val="000C1076"/>
    <w:rsid w:val="000C10AB"/>
    <w:rsid w:val="000C138D"/>
    <w:rsid w:val="000C1835"/>
    <w:rsid w:val="000C1C44"/>
    <w:rsid w:val="000C1D0A"/>
    <w:rsid w:val="000C1E5D"/>
    <w:rsid w:val="000C1FAC"/>
    <w:rsid w:val="000C22DC"/>
    <w:rsid w:val="000C2318"/>
    <w:rsid w:val="000C2A83"/>
    <w:rsid w:val="000C383A"/>
    <w:rsid w:val="000C3848"/>
    <w:rsid w:val="000C3A9A"/>
    <w:rsid w:val="000C3C48"/>
    <w:rsid w:val="000C3E0D"/>
    <w:rsid w:val="000C3E25"/>
    <w:rsid w:val="000C406D"/>
    <w:rsid w:val="000C48D4"/>
    <w:rsid w:val="000C4D8F"/>
    <w:rsid w:val="000C5480"/>
    <w:rsid w:val="000C5A90"/>
    <w:rsid w:val="000C5C33"/>
    <w:rsid w:val="000C64F4"/>
    <w:rsid w:val="000C6696"/>
    <w:rsid w:val="000C689F"/>
    <w:rsid w:val="000C724E"/>
    <w:rsid w:val="000C72D3"/>
    <w:rsid w:val="000C7A77"/>
    <w:rsid w:val="000D03C3"/>
    <w:rsid w:val="000D0412"/>
    <w:rsid w:val="000D05E2"/>
    <w:rsid w:val="000D0A68"/>
    <w:rsid w:val="000D0E76"/>
    <w:rsid w:val="000D15D9"/>
    <w:rsid w:val="000D1AD7"/>
    <w:rsid w:val="000D1C9C"/>
    <w:rsid w:val="000D1FDF"/>
    <w:rsid w:val="000D2358"/>
    <w:rsid w:val="000D247D"/>
    <w:rsid w:val="000D2853"/>
    <w:rsid w:val="000D28A1"/>
    <w:rsid w:val="000D28DB"/>
    <w:rsid w:val="000D29CD"/>
    <w:rsid w:val="000D2DE9"/>
    <w:rsid w:val="000D309C"/>
    <w:rsid w:val="000D32B3"/>
    <w:rsid w:val="000D3997"/>
    <w:rsid w:val="000D3AE1"/>
    <w:rsid w:val="000D3BAB"/>
    <w:rsid w:val="000D3F08"/>
    <w:rsid w:val="000D4A84"/>
    <w:rsid w:val="000D4C1B"/>
    <w:rsid w:val="000D4C97"/>
    <w:rsid w:val="000D4CC3"/>
    <w:rsid w:val="000D50D3"/>
    <w:rsid w:val="000D589B"/>
    <w:rsid w:val="000D5FA9"/>
    <w:rsid w:val="000D6061"/>
    <w:rsid w:val="000D61F5"/>
    <w:rsid w:val="000D63D3"/>
    <w:rsid w:val="000D655D"/>
    <w:rsid w:val="000D6655"/>
    <w:rsid w:val="000D66E5"/>
    <w:rsid w:val="000D6CED"/>
    <w:rsid w:val="000D6FE9"/>
    <w:rsid w:val="000D71BE"/>
    <w:rsid w:val="000D72A5"/>
    <w:rsid w:val="000D738F"/>
    <w:rsid w:val="000D74E4"/>
    <w:rsid w:val="000D77E1"/>
    <w:rsid w:val="000D78AC"/>
    <w:rsid w:val="000D7DB6"/>
    <w:rsid w:val="000E03C5"/>
    <w:rsid w:val="000E052C"/>
    <w:rsid w:val="000E06A5"/>
    <w:rsid w:val="000E06D1"/>
    <w:rsid w:val="000E0771"/>
    <w:rsid w:val="000E079A"/>
    <w:rsid w:val="000E0887"/>
    <w:rsid w:val="000E0B4A"/>
    <w:rsid w:val="000E0DBD"/>
    <w:rsid w:val="000E0E21"/>
    <w:rsid w:val="000E175F"/>
    <w:rsid w:val="000E1F85"/>
    <w:rsid w:val="000E212F"/>
    <w:rsid w:val="000E25E9"/>
    <w:rsid w:val="000E28B1"/>
    <w:rsid w:val="000E2A5A"/>
    <w:rsid w:val="000E2C01"/>
    <w:rsid w:val="000E2D5C"/>
    <w:rsid w:val="000E2EF4"/>
    <w:rsid w:val="000E3641"/>
    <w:rsid w:val="000E36C2"/>
    <w:rsid w:val="000E3B7F"/>
    <w:rsid w:val="000E3D80"/>
    <w:rsid w:val="000E3EA3"/>
    <w:rsid w:val="000E431B"/>
    <w:rsid w:val="000E45BE"/>
    <w:rsid w:val="000E46F6"/>
    <w:rsid w:val="000E4781"/>
    <w:rsid w:val="000E4A64"/>
    <w:rsid w:val="000E4DF9"/>
    <w:rsid w:val="000E4F0D"/>
    <w:rsid w:val="000E4F72"/>
    <w:rsid w:val="000E4FDA"/>
    <w:rsid w:val="000E53A5"/>
    <w:rsid w:val="000E55A5"/>
    <w:rsid w:val="000E5733"/>
    <w:rsid w:val="000E5972"/>
    <w:rsid w:val="000E5B58"/>
    <w:rsid w:val="000E5E71"/>
    <w:rsid w:val="000E6074"/>
    <w:rsid w:val="000E64A7"/>
    <w:rsid w:val="000E6754"/>
    <w:rsid w:val="000E6A0F"/>
    <w:rsid w:val="000E6BEE"/>
    <w:rsid w:val="000E6D3F"/>
    <w:rsid w:val="000E7EDD"/>
    <w:rsid w:val="000F0436"/>
    <w:rsid w:val="000F05B4"/>
    <w:rsid w:val="000F063F"/>
    <w:rsid w:val="000F0EC0"/>
    <w:rsid w:val="000F156B"/>
    <w:rsid w:val="000F167A"/>
    <w:rsid w:val="000F16DB"/>
    <w:rsid w:val="000F17F5"/>
    <w:rsid w:val="000F1A48"/>
    <w:rsid w:val="000F1CE5"/>
    <w:rsid w:val="000F2117"/>
    <w:rsid w:val="000F25D1"/>
    <w:rsid w:val="000F2BE9"/>
    <w:rsid w:val="000F2E86"/>
    <w:rsid w:val="000F332D"/>
    <w:rsid w:val="000F37D7"/>
    <w:rsid w:val="000F381F"/>
    <w:rsid w:val="000F3BF5"/>
    <w:rsid w:val="000F3EB7"/>
    <w:rsid w:val="000F4283"/>
    <w:rsid w:val="000F42CA"/>
    <w:rsid w:val="000F430B"/>
    <w:rsid w:val="000F4371"/>
    <w:rsid w:val="000F50AB"/>
    <w:rsid w:val="000F50F5"/>
    <w:rsid w:val="000F537A"/>
    <w:rsid w:val="000F597D"/>
    <w:rsid w:val="000F5C6E"/>
    <w:rsid w:val="000F5E24"/>
    <w:rsid w:val="000F5F75"/>
    <w:rsid w:val="000F6116"/>
    <w:rsid w:val="000F6627"/>
    <w:rsid w:val="000F76E3"/>
    <w:rsid w:val="000F7875"/>
    <w:rsid w:val="001002FF"/>
    <w:rsid w:val="001003F5"/>
    <w:rsid w:val="00100530"/>
    <w:rsid w:val="0010098E"/>
    <w:rsid w:val="00100E5C"/>
    <w:rsid w:val="00100EE8"/>
    <w:rsid w:val="0010103D"/>
    <w:rsid w:val="00101323"/>
    <w:rsid w:val="0010191D"/>
    <w:rsid w:val="00101A06"/>
    <w:rsid w:val="00101A39"/>
    <w:rsid w:val="00101BA6"/>
    <w:rsid w:val="0010259D"/>
    <w:rsid w:val="0010299F"/>
    <w:rsid w:val="00102B53"/>
    <w:rsid w:val="00102BB0"/>
    <w:rsid w:val="00102BFF"/>
    <w:rsid w:val="00102CC6"/>
    <w:rsid w:val="00103162"/>
    <w:rsid w:val="0010329D"/>
    <w:rsid w:val="001036BF"/>
    <w:rsid w:val="00104255"/>
    <w:rsid w:val="0010467A"/>
    <w:rsid w:val="00104AC3"/>
    <w:rsid w:val="00104E1E"/>
    <w:rsid w:val="00105272"/>
    <w:rsid w:val="0010537E"/>
    <w:rsid w:val="0010546B"/>
    <w:rsid w:val="00105AF3"/>
    <w:rsid w:val="00105EC4"/>
    <w:rsid w:val="001060E8"/>
    <w:rsid w:val="001063AA"/>
    <w:rsid w:val="0010648B"/>
    <w:rsid w:val="00106540"/>
    <w:rsid w:val="00106619"/>
    <w:rsid w:val="00106871"/>
    <w:rsid w:val="00106937"/>
    <w:rsid w:val="00106A07"/>
    <w:rsid w:val="00106AFF"/>
    <w:rsid w:val="00106BA8"/>
    <w:rsid w:val="00107039"/>
    <w:rsid w:val="001072A2"/>
    <w:rsid w:val="00107C92"/>
    <w:rsid w:val="00107D6B"/>
    <w:rsid w:val="00107EF0"/>
    <w:rsid w:val="00107F3A"/>
    <w:rsid w:val="00107F45"/>
    <w:rsid w:val="00110ACF"/>
    <w:rsid w:val="00110EF0"/>
    <w:rsid w:val="00110F4B"/>
    <w:rsid w:val="00111353"/>
    <w:rsid w:val="00111A79"/>
    <w:rsid w:val="0011222B"/>
    <w:rsid w:val="0011258C"/>
    <w:rsid w:val="00112662"/>
    <w:rsid w:val="00112A70"/>
    <w:rsid w:val="00112BDE"/>
    <w:rsid w:val="00112E2C"/>
    <w:rsid w:val="00112E36"/>
    <w:rsid w:val="00113053"/>
    <w:rsid w:val="001130F0"/>
    <w:rsid w:val="00113262"/>
    <w:rsid w:val="00113BF0"/>
    <w:rsid w:val="001142AD"/>
    <w:rsid w:val="00114A69"/>
    <w:rsid w:val="00114ED9"/>
    <w:rsid w:val="00114F69"/>
    <w:rsid w:val="00115265"/>
    <w:rsid w:val="0011545B"/>
    <w:rsid w:val="001154A5"/>
    <w:rsid w:val="001155FD"/>
    <w:rsid w:val="00115AB1"/>
    <w:rsid w:val="00115C2F"/>
    <w:rsid w:val="00115C96"/>
    <w:rsid w:val="00115D7B"/>
    <w:rsid w:val="001162FC"/>
    <w:rsid w:val="0011698A"/>
    <w:rsid w:val="00116D20"/>
    <w:rsid w:val="001173DC"/>
    <w:rsid w:val="00117806"/>
    <w:rsid w:val="001179CF"/>
    <w:rsid w:val="00117A79"/>
    <w:rsid w:val="001203C6"/>
    <w:rsid w:val="0012119D"/>
    <w:rsid w:val="0012125A"/>
    <w:rsid w:val="00121366"/>
    <w:rsid w:val="00121741"/>
    <w:rsid w:val="0012177C"/>
    <w:rsid w:val="00121794"/>
    <w:rsid w:val="00121DD3"/>
    <w:rsid w:val="00121DE0"/>
    <w:rsid w:val="00121F61"/>
    <w:rsid w:val="0012200F"/>
    <w:rsid w:val="00122017"/>
    <w:rsid w:val="00122071"/>
    <w:rsid w:val="001221FD"/>
    <w:rsid w:val="0012237C"/>
    <w:rsid w:val="00122872"/>
    <w:rsid w:val="00122933"/>
    <w:rsid w:val="00122B3D"/>
    <w:rsid w:val="00122EC1"/>
    <w:rsid w:val="001230BD"/>
    <w:rsid w:val="00123306"/>
    <w:rsid w:val="00123A48"/>
    <w:rsid w:val="00123FC2"/>
    <w:rsid w:val="001244A1"/>
    <w:rsid w:val="0012471D"/>
    <w:rsid w:val="00124854"/>
    <w:rsid w:val="00124878"/>
    <w:rsid w:val="00124A2B"/>
    <w:rsid w:val="00124D46"/>
    <w:rsid w:val="00124E01"/>
    <w:rsid w:val="00124F91"/>
    <w:rsid w:val="00125335"/>
    <w:rsid w:val="001257A2"/>
    <w:rsid w:val="00125873"/>
    <w:rsid w:val="00125F49"/>
    <w:rsid w:val="00126145"/>
    <w:rsid w:val="0012623C"/>
    <w:rsid w:val="00126455"/>
    <w:rsid w:val="0012647A"/>
    <w:rsid w:val="001267F0"/>
    <w:rsid w:val="00126AB4"/>
    <w:rsid w:val="00126E52"/>
    <w:rsid w:val="00126F76"/>
    <w:rsid w:val="001270D7"/>
    <w:rsid w:val="0012726C"/>
    <w:rsid w:val="0012739C"/>
    <w:rsid w:val="00127F48"/>
    <w:rsid w:val="00127F7B"/>
    <w:rsid w:val="0013029D"/>
    <w:rsid w:val="00130368"/>
    <w:rsid w:val="00130442"/>
    <w:rsid w:val="00130632"/>
    <w:rsid w:val="001309CD"/>
    <w:rsid w:val="00130D56"/>
    <w:rsid w:val="00131467"/>
    <w:rsid w:val="00131B0F"/>
    <w:rsid w:val="00131BE0"/>
    <w:rsid w:val="0013237A"/>
    <w:rsid w:val="001324E6"/>
    <w:rsid w:val="0013251F"/>
    <w:rsid w:val="00132A9A"/>
    <w:rsid w:val="00132D46"/>
    <w:rsid w:val="00132E20"/>
    <w:rsid w:val="001334C1"/>
    <w:rsid w:val="001335F2"/>
    <w:rsid w:val="00133AAE"/>
    <w:rsid w:val="00133C5F"/>
    <w:rsid w:val="00133E9F"/>
    <w:rsid w:val="00134376"/>
    <w:rsid w:val="001347B6"/>
    <w:rsid w:val="00134981"/>
    <w:rsid w:val="001349A8"/>
    <w:rsid w:val="00134C19"/>
    <w:rsid w:val="00134EB5"/>
    <w:rsid w:val="00134EE1"/>
    <w:rsid w:val="00135190"/>
    <w:rsid w:val="001351DD"/>
    <w:rsid w:val="00135A5F"/>
    <w:rsid w:val="00136723"/>
    <w:rsid w:val="00136902"/>
    <w:rsid w:val="00136BFC"/>
    <w:rsid w:val="00136FAB"/>
    <w:rsid w:val="001376F9"/>
    <w:rsid w:val="001406B6"/>
    <w:rsid w:val="001406CE"/>
    <w:rsid w:val="00140D1F"/>
    <w:rsid w:val="00140D2E"/>
    <w:rsid w:val="00140D46"/>
    <w:rsid w:val="00140D5F"/>
    <w:rsid w:val="00140E1C"/>
    <w:rsid w:val="0014129F"/>
    <w:rsid w:val="001417AD"/>
    <w:rsid w:val="00141B0E"/>
    <w:rsid w:val="00141B85"/>
    <w:rsid w:val="00141D9C"/>
    <w:rsid w:val="00141E8B"/>
    <w:rsid w:val="00142061"/>
    <w:rsid w:val="001421BC"/>
    <w:rsid w:val="0014278B"/>
    <w:rsid w:val="001427E0"/>
    <w:rsid w:val="0014287A"/>
    <w:rsid w:val="00142A83"/>
    <w:rsid w:val="00142B7B"/>
    <w:rsid w:val="00142FF1"/>
    <w:rsid w:val="0014337A"/>
    <w:rsid w:val="001433C8"/>
    <w:rsid w:val="00143B05"/>
    <w:rsid w:val="00143F63"/>
    <w:rsid w:val="001446A5"/>
    <w:rsid w:val="00144738"/>
    <w:rsid w:val="001448EC"/>
    <w:rsid w:val="001453B8"/>
    <w:rsid w:val="001453E7"/>
    <w:rsid w:val="001455CF"/>
    <w:rsid w:val="00145746"/>
    <w:rsid w:val="00145934"/>
    <w:rsid w:val="00145B31"/>
    <w:rsid w:val="00145EB4"/>
    <w:rsid w:val="00146580"/>
    <w:rsid w:val="001466A0"/>
    <w:rsid w:val="00146912"/>
    <w:rsid w:val="001469DC"/>
    <w:rsid w:val="00146D03"/>
    <w:rsid w:val="00146E08"/>
    <w:rsid w:val="00146E78"/>
    <w:rsid w:val="001471D3"/>
    <w:rsid w:val="001474AB"/>
    <w:rsid w:val="001475CA"/>
    <w:rsid w:val="001478E6"/>
    <w:rsid w:val="00147A01"/>
    <w:rsid w:val="00147BA6"/>
    <w:rsid w:val="00147BEC"/>
    <w:rsid w:val="001503EC"/>
    <w:rsid w:val="001506B5"/>
    <w:rsid w:val="00151123"/>
    <w:rsid w:val="00151150"/>
    <w:rsid w:val="00151200"/>
    <w:rsid w:val="00151250"/>
    <w:rsid w:val="0015184A"/>
    <w:rsid w:val="001518A3"/>
    <w:rsid w:val="001518C2"/>
    <w:rsid w:val="00151ADC"/>
    <w:rsid w:val="00151C17"/>
    <w:rsid w:val="00151E2F"/>
    <w:rsid w:val="00152553"/>
    <w:rsid w:val="00152976"/>
    <w:rsid w:val="001529A4"/>
    <w:rsid w:val="00152ACF"/>
    <w:rsid w:val="00153000"/>
    <w:rsid w:val="00153149"/>
    <w:rsid w:val="00153286"/>
    <w:rsid w:val="0015347E"/>
    <w:rsid w:val="001534E3"/>
    <w:rsid w:val="001535BB"/>
    <w:rsid w:val="00153A0B"/>
    <w:rsid w:val="00153B2A"/>
    <w:rsid w:val="00153BB9"/>
    <w:rsid w:val="0015422E"/>
    <w:rsid w:val="0015427A"/>
    <w:rsid w:val="001543AA"/>
    <w:rsid w:val="0015440E"/>
    <w:rsid w:val="00154446"/>
    <w:rsid w:val="00154E18"/>
    <w:rsid w:val="00154F1B"/>
    <w:rsid w:val="00154F30"/>
    <w:rsid w:val="00155316"/>
    <w:rsid w:val="00155F38"/>
    <w:rsid w:val="00156059"/>
    <w:rsid w:val="00156184"/>
    <w:rsid w:val="0015645B"/>
    <w:rsid w:val="001567CE"/>
    <w:rsid w:val="001567F3"/>
    <w:rsid w:val="00156946"/>
    <w:rsid w:val="00156ACE"/>
    <w:rsid w:val="00156D0E"/>
    <w:rsid w:val="00156DF9"/>
    <w:rsid w:val="0015704C"/>
    <w:rsid w:val="0015733E"/>
    <w:rsid w:val="00157938"/>
    <w:rsid w:val="00160457"/>
    <w:rsid w:val="0016045C"/>
    <w:rsid w:val="00160573"/>
    <w:rsid w:val="00160663"/>
    <w:rsid w:val="00160A0A"/>
    <w:rsid w:val="00160AA3"/>
    <w:rsid w:val="00160F31"/>
    <w:rsid w:val="001610C8"/>
    <w:rsid w:val="00161318"/>
    <w:rsid w:val="00161791"/>
    <w:rsid w:val="00161A82"/>
    <w:rsid w:val="00161BC0"/>
    <w:rsid w:val="00161C85"/>
    <w:rsid w:val="00162248"/>
    <w:rsid w:val="00162C69"/>
    <w:rsid w:val="00162E12"/>
    <w:rsid w:val="00162E68"/>
    <w:rsid w:val="0016308E"/>
    <w:rsid w:val="001631A6"/>
    <w:rsid w:val="00163216"/>
    <w:rsid w:val="00163280"/>
    <w:rsid w:val="001636FD"/>
    <w:rsid w:val="001639A2"/>
    <w:rsid w:val="00163B55"/>
    <w:rsid w:val="00163C3D"/>
    <w:rsid w:val="00163D91"/>
    <w:rsid w:val="00163DB7"/>
    <w:rsid w:val="00164017"/>
    <w:rsid w:val="001643A3"/>
    <w:rsid w:val="00164632"/>
    <w:rsid w:val="001647FC"/>
    <w:rsid w:val="001649B9"/>
    <w:rsid w:val="00164C21"/>
    <w:rsid w:val="00165174"/>
    <w:rsid w:val="0016536F"/>
    <w:rsid w:val="00165553"/>
    <w:rsid w:val="00165688"/>
    <w:rsid w:val="00165713"/>
    <w:rsid w:val="00165944"/>
    <w:rsid w:val="00166020"/>
    <w:rsid w:val="001661E8"/>
    <w:rsid w:val="001662C4"/>
    <w:rsid w:val="00166853"/>
    <w:rsid w:val="00166E7A"/>
    <w:rsid w:val="00167487"/>
    <w:rsid w:val="0016761F"/>
    <w:rsid w:val="0016791F"/>
    <w:rsid w:val="00167DC8"/>
    <w:rsid w:val="00170B21"/>
    <w:rsid w:val="00170BBF"/>
    <w:rsid w:val="00171189"/>
    <w:rsid w:val="00171B3A"/>
    <w:rsid w:val="00171DDE"/>
    <w:rsid w:val="00171E9D"/>
    <w:rsid w:val="00172096"/>
    <w:rsid w:val="001721BB"/>
    <w:rsid w:val="00172361"/>
    <w:rsid w:val="00173324"/>
    <w:rsid w:val="00173412"/>
    <w:rsid w:val="0017341E"/>
    <w:rsid w:val="001734F1"/>
    <w:rsid w:val="00173772"/>
    <w:rsid w:val="00173A58"/>
    <w:rsid w:val="00174139"/>
    <w:rsid w:val="0017428C"/>
    <w:rsid w:val="001742DD"/>
    <w:rsid w:val="0017462C"/>
    <w:rsid w:val="00174759"/>
    <w:rsid w:val="001758F8"/>
    <w:rsid w:val="00175A49"/>
    <w:rsid w:val="00175A90"/>
    <w:rsid w:val="00175AA6"/>
    <w:rsid w:val="00176043"/>
    <w:rsid w:val="0017639B"/>
    <w:rsid w:val="001765C5"/>
    <w:rsid w:val="00176869"/>
    <w:rsid w:val="00177F3C"/>
    <w:rsid w:val="00177F88"/>
    <w:rsid w:val="0018015B"/>
    <w:rsid w:val="00180195"/>
    <w:rsid w:val="001803E9"/>
    <w:rsid w:val="00180663"/>
    <w:rsid w:val="00180863"/>
    <w:rsid w:val="001811FD"/>
    <w:rsid w:val="00181BDA"/>
    <w:rsid w:val="00181D42"/>
    <w:rsid w:val="00182462"/>
    <w:rsid w:val="00182604"/>
    <w:rsid w:val="00182E44"/>
    <w:rsid w:val="00182E67"/>
    <w:rsid w:val="00183122"/>
    <w:rsid w:val="0018357A"/>
    <w:rsid w:val="00183FB6"/>
    <w:rsid w:val="001841D2"/>
    <w:rsid w:val="001842D2"/>
    <w:rsid w:val="00184422"/>
    <w:rsid w:val="00184796"/>
    <w:rsid w:val="00184C51"/>
    <w:rsid w:val="00184FE0"/>
    <w:rsid w:val="00185332"/>
    <w:rsid w:val="001854C8"/>
    <w:rsid w:val="001854C9"/>
    <w:rsid w:val="00185726"/>
    <w:rsid w:val="0018572E"/>
    <w:rsid w:val="0018596C"/>
    <w:rsid w:val="00185B58"/>
    <w:rsid w:val="00185BA4"/>
    <w:rsid w:val="00185C81"/>
    <w:rsid w:val="00186470"/>
    <w:rsid w:val="001866C0"/>
    <w:rsid w:val="001869FE"/>
    <w:rsid w:val="00186A0D"/>
    <w:rsid w:val="00186C57"/>
    <w:rsid w:val="00186F14"/>
    <w:rsid w:val="00187A22"/>
    <w:rsid w:val="00190B35"/>
    <w:rsid w:val="00190BBC"/>
    <w:rsid w:val="00190C20"/>
    <w:rsid w:val="001910F4"/>
    <w:rsid w:val="001915C9"/>
    <w:rsid w:val="00192455"/>
    <w:rsid w:val="001924A1"/>
    <w:rsid w:val="001927CA"/>
    <w:rsid w:val="00192AF9"/>
    <w:rsid w:val="0019346D"/>
    <w:rsid w:val="00193658"/>
    <w:rsid w:val="001938FC"/>
    <w:rsid w:val="0019402C"/>
    <w:rsid w:val="00194821"/>
    <w:rsid w:val="00194A30"/>
    <w:rsid w:val="00195150"/>
    <w:rsid w:val="00195294"/>
    <w:rsid w:val="001955A1"/>
    <w:rsid w:val="001957B0"/>
    <w:rsid w:val="00195906"/>
    <w:rsid w:val="00195ADE"/>
    <w:rsid w:val="00195CBB"/>
    <w:rsid w:val="00195FDF"/>
    <w:rsid w:val="001961E0"/>
    <w:rsid w:val="00196261"/>
    <w:rsid w:val="001964A8"/>
    <w:rsid w:val="0019688F"/>
    <w:rsid w:val="00196C86"/>
    <w:rsid w:val="00196D0B"/>
    <w:rsid w:val="00197030"/>
    <w:rsid w:val="00197900"/>
    <w:rsid w:val="00197B25"/>
    <w:rsid w:val="00197B38"/>
    <w:rsid w:val="00197B87"/>
    <w:rsid w:val="00197D95"/>
    <w:rsid w:val="001A010C"/>
    <w:rsid w:val="001A0A0E"/>
    <w:rsid w:val="001A1662"/>
    <w:rsid w:val="001A166B"/>
    <w:rsid w:val="001A1B36"/>
    <w:rsid w:val="001A1B4E"/>
    <w:rsid w:val="001A1DBF"/>
    <w:rsid w:val="001A1FB8"/>
    <w:rsid w:val="001A1FEF"/>
    <w:rsid w:val="001A2109"/>
    <w:rsid w:val="001A2408"/>
    <w:rsid w:val="001A24E1"/>
    <w:rsid w:val="001A25AC"/>
    <w:rsid w:val="001A2B95"/>
    <w:rsid w:val="001A2CF4"/>
    <w:rsid w:val="001A2D23"/>
    <w:rsid w:val="001A2F55"/>
    <w:rsid w:val="001A3380"/>
    <w:rsid w:val="001A3744"/>
    <w:rsid w:val="001A38FE"/>
    <w:rsid w:val="001A3D6E"/>
    <w:rsid w:val="001A3DCA"/>
    <w:rsid w:val="001A46C9"/>
    <w:rsid w:val="001A4FC1"/>
    <w:rsid w:val="001A5066"/>
    <w:rsid w:val="001A53A7"/>
    <w:rsid w:val="001A5469"/>
    <w:rsid w:val="001A5475"/>
    <w:rsid w:val="001A55FA"/>
    <w:rsid w:val="001A5605"/>
    <w:rsid w:val="001A5B4C"/>
    <w:rsid w:val="001A613C"/>
    <w:rsid w:val="001A629E"/>
    <w:rsid w:val="001A64FF"/>
    <w:rsid w:val="001A67C7"/>
    <w:rsid w:val="001A69A5"/>
    <w:rsid w:val="001A70F3"/>
    <w:rsid w:val="001A744C"/>
    <w:rsid w:val="001A77BF"/>
    <w:rsid w:val="001B03B1"/>
    <w:rsid w:val="001B04D1"/>
    <w:rsid w:val="001B081E"/>
    <w:rsid w:val="001B0A48"/>
    <w:rsid w:val="001B0C0D"/>
    <w:rsid w:val="001B0C14"/>
    <w:rsid w:val="001B0C74"/>
    <w:rsid w:val="001B1224"/>
    <w:rsid w:val="001B1332"/>
    <w:rsid w:val="001B166B"/>
    <w:rsid w:val="001B1691"/>
    <w:rsid w:val="001B1740"/>
    <w:rsid w:val="001B1898"/>
    <w:rsid w:val="001B18A8"/>
    <w:rsid w:val="001B197E"/>
    <w:rsid w:val="001B1A72"/>
    <w:rsid w:val="001B1EE5"/>
    <w:rsid w:val="001B1F56"/>
    <w:rsid w:val="001B24AC"/>
    <w:rsid w:val="001B2B26"/>
    <w:rsid w:val="001B307A"/>
    <w:rsid w:val="001B38E9"/>
    <w:rsid w:val="001B47CE"/>
    <w:rsid w:val="001B486A"/>
    <w:rsid w:val="001B48F4"/>
    <w:rsid w:val="001B4F4A"/>
    <w:rsid w:val="001B4FA6"/>
    <w:rsid w:val="001B5070"/>
    <w:rsid w:val="001B5499"/>
    <w:rsid w:val="001B5811"/>
    <w:rsid w:val="001B5A95"/>
    <w:rsid w:val="001B5B1C"/>
    <w:rsid w:val="001B5BDD"/>
    <w:rsid w:val="001B5E0A"/>
    <w:rsid w:val="001B6224"/>
    <w:rsid w:val="001B662D"/>
    <w:rsid w:val="001B6BC5"/>
    <w:rsid w:val="001B6CEB"/>
    <w:rsid w:val="001B7044"/>
    <w:rsid w:val="001B77F1"/>
    <w:rsid w:val="001B7878"/>
    <w:rsid w:val="001B7DE6"/>
    <w:rsid w:val="001C0153"/>
    <w:rsid w:val="001C051C"/>
    <w:rsid w:val="001C0F40"/>
    <w:rsid w:val="001C1133"/>
    <w:rsid w:val="001C13BB"/>
    <w:rsid w:val="001C15D0"/>
    <w:rsid w:val="001C19FD"/>
    <w:rsid w:val="001C27C9"/>
    <w:rsid w:val="001C288B"/>
    <w:rsid w:val="001C2FBB"/>
    <w:rsid w:val="001C3897"/>
    <w:rsid w:val="001C3A23"/>
    <w:rsid w:val="001C3FFE"/>
    <w:rsid w:val="001C4570"/>
    <w:rsid w:val="001C4598"/>
    <w:rsid w:val="001C509D"/>
    <w:rsid w:val="001C560E"/>
    <w:rsid w:val="001C589B"/>
    <w:rsid w:val="001C5A4A"/>
    <w:rsid w:val="001C669D"/>
    <w:rsid w:val="001C6DAD"/>
    <w:rsid w:val="001C6F6B"/>
    <w:rsid w:val="001C74B0"/>
    <w:rsid w:val="001C77AD"/>
    <w:rsid w:val="001C7E13"/>
    <w:rsid w:val="001D02AE"/>
    <w:rsid w:val="001D0C19"/>
    <w:rsid w:val="001D1153"/>
    <w:rsid w:val="001D13C0"/>
    <w:rsid w:val="001D163B"/>
    <w:rsid w:val="001D1CE8"/>
    <w:rsid w:val="001D1ED3"/>
    <w:rsid w:val="001D2271"/>
    <w:rsid w:val="001D27D7"/>
    <w:rsid w:val="001D2B1D"/>
    <w:rsid w:val="001D2CAA"/>
    <w:rsid w:val="001D330C"/>
    <w:rsid w:val="001D3416"/>
    <w:rsid w:val="001D409D"/>
    <w:rsid w:val="001D42FE"/>
    <w:rsid w:val="001D4441"/>
    <w:rsid w:val="001D4CCC"/>
    <w:rsid w:val="001D517E"/>
    <w:rsid w:val="001D5464"/>
    <w:rsid w:val="001D5489"/>
    <w:rsid w:val="001D56F1"/>
    <w:rsid w:val="001D5717"/>
    <w:rsid w:val="001D5A22"/>
    <w:rsid w:val="001D5ACC"/>
    <w:rsid w:val="001D5CEA"/>
    <w:rsid w:val="001D5D86"/>
    <w:rsid w:val="001D5F0D"/>
    <w:rsid w:val="001D6508"/>
    <w:rsid w:val="001D65CE"/>
    <w:rsid w:val="001D6B67"/>
    <w:rsid w:val="001D734D"/>
    <w:rsid w:val="001D74F6"/>
    <w:rsid w:val="001D7754"/>
    <w:rsid w:val="001D79BB"/>
    <w:rsid w:val="001E0382"/>
    <w:rsid w:val="001E0505"/>
    <w:rsid w:val="001E05C0"/>
    <w:rsid w:val="001E073B"/>
    <w:rsid w:val="001E08C9"/>
    <w:rsid w:val="001E09B0"/>
    <w:rsid w:val="001E0BD9"/>
    <w:rsid w:val="001E0F63"/>
    <w:rsid w:val="001E11CB"/>
    <w:rsid w:val="001E1269"/>
    <w:rsid w:val="001E154C"/>
    <w:rsid w:val="001E1666"/>
    <w:rsid w:val="001E1669"/>
    <w:rsid w:val="001E1992"/>
    <w:rsid w:val="001E1A4C"/>
    <w:rsid w:val="001E1BFE"/>
    <w:rsid w:val="001E2456"/>
    <w:rsid w:val="001E26FD"/>
    <w:rsid w:val="001E2977"/>
    <w:rsid w:val="001E2ACF"/>
    <w:rsid w:val="001E2E70"/>
    <w:rsid w:val="001E38B4"/>
    <w:rsid w:val="001E399C"/>
    <w:rsid w:val="001E3D9B"/>
    <w:rsid w:val="001E3EF7"/>
    <w:rsid w:val="001E428C"/>
    <w:rsid w:val="001E44A7"/>
    <w:rsid w:val="001E44D6"/>
    <w:rsid w:val="001E5320"/>
    <w:rsid w:val="001E5420"/>
    <w:rsid w:val="001E5502"/>
    <w:rsid w:val="001E554A"/>
    <w:rsid w:val="001E5AED"/>
    <w:rsid w:val="001E63E9"/>
    <w:rsid w:val="001E6897"/>
    <w:rsid w:val="001E6CEB"/>
    <w:rsid w:val="001E6DF3"/>
    <w:rsid w:val="001E6E67"/>
    <w:rsid w:val="001E7501"/>
    <w:rsid w:val="001E7514"/>
    <w:rsid w:val="001E75A4"/>
    <w:rsid w:val="001E76BA"/>
    <w:rsid w:val="001E7D8D"/>
    <w:rsid w:val="001E7F87"/>
    <w:rsid w:val="001F0002"/>
    <w:rsid w:val="001F051E"/>
    <w:rsid w:val="001F0BA7"/>
    <w:rsid w:val="001F0FC5"/>
    <w:rsid w:val="001F1115"/>
    <w:rsid w:val="001F1250"/>
    <w:rsid w:val="001F1253"/>
    <w:rsid w:val="001F163E"/>
    <w:rsid w:val="001F1B22"/>
    <w:rsid w:val="001F1D8C"/>
    <w:rsid w:val="001F2170"/>
    <w:rsid w:val="001F239D"/>
    <w:rsid w:val="001F335F"/>
    <w:rsid w:val="001F338A"/>
    <w:rsid w:val="001F35E3"/>
    <w:rsid w:val="001F3619"/>
    <w:rsid w:val="001F402E"/>
    <w:rsid w:val="001F4138"/>
    <w:rsid w:val="001F41A8"/>
    <w:rsid w:val="001F428F"/>
    <w:rsid w:val="001F4326"/>
    <w:rsid w:val="001F4C76"/>
    <w:rsid w:val="001F4E08"/>
    <w:rsid w:val="001F5458"/>
    <w:rsid w:val="001F5743"/>
    <w:rsid w:val="001F582F"/>
    <w:rsid w:val="001F599A"/>
    <w:rsid w:val="001F5B9B"/>
    <w:rsid w:val="001F5CFD"/>
    <w:rsid w:val="001F5DDD"/>
    <w:rsid w:val="001F5DEB"/>
    <w:rsid w:val="001F6036"/>
    <w:rsid w:val="001F60DB"/>
    <w:rsid w:val="001F610F"/>
    <w:rsid w:val="001F66AB"/>
    <w:rsid w:val="001F6901"/>
    <w:rsid w:val="001F6E7D"/>
    <w:rsid w:val="001F71F5"/>
    <w:rsid w:val="001F7580"/>
    <w:rsid w:val="001F796C"/>
    <w:rsid w:val="001F7DEA"/>
    <w:rsid w:val="0020025A"/>
    <w:rsid w:val="002002FE"/>
    <w:rsid w:val="0020046B"/>
    <w:rsid w:val="002005A2"/>
    <w:rsid w:val="0020069E"/>
    <w:rsid w:val="00200703"/>
    <w:rsid w:val="0020073F"/>
    <w:rsid w:val="00200861"/>
    <w:rsid w:val="00200C15"/>
    <w:rsid w:val="00200FE1"/>
    <w:rsid w:val="002010A9"/>
    <w:rsid w:val="0020119C"/>
    <w:rsid w:val="00201227"/>
    <w:rsid w:val="00201341"/>
    <w:rsid w:val="002015ED"/>
    <w:rsid w:val="002018B1"/>
    <w:rsid w:val="0020238B"/>
    <w:rsid w:val="002023E8"/>
    <w:rsid w:val="00202647"/>
    <w:rsid w:val="00202C25"/>
    <w:rsid w:val="00202DF0"/>
    <w:rsid w:val="00203174"/>
    <w:rsid w:val="0020330F"/>
    <w:rsid w:val="00203336"/>
    <w:rsid w:val="00203608"/>
    <w:rsid w:val="00203751"/>
    <w:rsid w:val="00203B01"/>
    <w:rsid w:val="00203F79"/>
    <w:rsid w:val="002047AA"/>
    <w:rsid w:val="00204AF7"/>
    <w:rsid w:val="00204B47"/>
    <w:rsid w:val="00204CAB"/>
    <w:rsid w:val="002050EC"/>
    <w:rsid w:val="0020543F"/>
    <w:rsid w:val="00205698"/>
    <w:rsid w:val="00205C03"/>
    <w:rsid w:val="00205CB2"/>
    <w:rsid w:val="00205DB3"/>
    <w:rsid w:val="00205F5B"/>
    <w:rsid w:val="0020609F"/>
    <w:rsid w:val="00206854"/>
    <w:rsid w:val="00206946"/>
    <w:rsid w:val="00206A26"/>
    <w:rsid w:val="00206CFF"/>
    <w:rsid w:val="00206F88"/>
    <w:rsid w:val="00206FE4"/>
    <w:rsid w:val="002070CA"/>
    <w:rsid w:val="00207316"/>
    <w:rsid w:val="002073C7"/>
    <w:rsid w:val="00207C15"/>
    <w:rsid w:val="00207D79"/>
    <w:rsid w:val="0021002A"/>
    <w:rsid w:val="0021018C"/>
    <w:rsid w:val="00210685"/>
    <w:rsid w:val="002106CD"/>
    <w:rsid w:val="00210C4E"/>
    <w:rsid w:val="00210EB4"/>
    <w:rsid w:val="002111E4"/>
    <w:rsid w:val="00211290"/>
    <w:rsid w:val="00211757"/>
    <w:rsid w:val="0021217D"/>
    <w:rsid w:val="00212228"/>
    <w:rsid w:val="002123CC"/>
    <w:rsid w:val="0021279D"/>
    <w:rsid w:val="00212831"/>
    <w:rsid w:val="00212F17"/>
    <w:rsid w:val="00212FF5"/>
    <w:rsid w:val="002132D4"/>
    <w:rsid w:val="00213404"/>
    <w:rsid w:val="002134CE"/>
    <w:rsid w:val="00213558"/>
    <w:rsid w:val="0021397D"/>
    <w:rsid w:val="00213AFB"/>
    <w:rsid w:val="00213D42"/>
    <w:rsid w:val="00213E37"/>
    <w:rsid w:val="00213EAC"/>
    <w:rsid w:val="00213F2D"/>
    <w:rsid w:val="00213F8D"/>
    <w:rsid w:val="002141CD"/>
    <w:rsid w:val="00214D4E"/>
    <w:rsid w:val="0021505C"/>
    <w:rsid w:val="0021517A"/>
    <w:rsid w:val="002151B0"/>
    <w:rsid w:val="002154EC"/>
    <w:rsid w:val="00216FF7"/>
    <w:rsid w:val="00217581"/>
    <w:rsid w:val="002177FE"/>
    <w:rsid w:val="00217C86"/>
    <w:rsid w:val="00217F62"/>
    <w:rsid w:val="00217FBE"/>
    <w:rsid w:val="002203A1"/>
    <w:rsid w:val="002204AD"/>
    <w:rsid w:val="00220885"/>
    <w:rsid w:val="00220B51"/>
    <w:rsid w:val="00220FE9"/>
    <w:rsid w:val="00221040"/>
    <w:rsid w:val="00221156"/>
    <w:rsid w:val="0022195A"/>
    <w:rsid w:val="00222028"/>
    <w:rsid w:val="0022226A"/>
    <w:rsid w:val="00222E82"/>
    <w:rsid w:val="00222F8E"/>
    <w:rsid w:val="0022319F"/>
    <w:rsid w:val="002235DE"/>
    <w:rsid w:val="0022471B"/>
    <w:rsid w:val="0022482F"/>
    <w:rsid w:val="00224B12"/>
    <w:rsid w:val="00224DB4"/>
    <w:rsid w:val="00224EED"/>
    <w:rsid w:val="00225DB4"/>
    <w:rsid w:val="002261A6"/>
    <w:rsid w:val="002262A6"/>
    <w:rsid w:val="00226960"/>
    <w:rsid w:val="00226E6C"/>
    <w:rsid w:val="0022767D"/>
    <w:rsid w:val="00227EFC"/>
    <w:rsid w:val="00230877"/>
    <w:rsid w:val="00230F8D"/>
    <w:rsid w:val="002310E7"/>
    <w:rsid w:val="00231201"/>
    <w:rsid w:val="002318B7"/>
    <w:rsid w:val="0023275D"/>
    <w:rsid w:val="00232ADB"/>
    <w:rsid w:val="00232D89"/>
    <w:rsid w:val="00233000"/>
    <w:rsid w:val="002331D6"/>
    <w:rsid w:val="00233675"/>
    <w:rsid w:val="00233691"/>
    <w:rsid w:val="0023375E"/>
    <w:rsid w:val="0023394F"/>
    <w:rsid w:val="002340A2"/>
    <w:rsid w:val="002340D0"/>
    <w:rsid w:val="00234221"/>
    <w:rsid w:val="002347B8"/>
    <w:rsid w:val="002347CE"/>
    <w:rsid w:val="00234D44"/>
    <w:rsid w:val="00234E20"/>
    <w:rsid w:val="0023532B"/>
    <w:rsid w:val="0023546B"/>
    <w:rsid w:val="00235706"/>
    <w:rsid w:val="00235721"/>
    <w:rsid w:val="00235BC1"/>
    <w:rsid w:val="00235CB2"/>
    <w:rsid w:val="00235EB2"/>
    <w:rsid w:val="002367B0"/>
    <w:rsid w:val="002368A2"/>
    <w:rsid w:val="00236C04"/>
    <w:rsid w:val="00236D96"/>
    <w:rsid w:val="0023703B"/>
    <w:rsid w:val="002373CA"/>
    <w:rsid w:val="00237512"/>
    <w:rsid w:val="00237921"/>
    <w:rsid w:val="002405DE"/>
    <w:rsid w:val="002409B1"/>
    <w:rsid w:val="00240A3E"/>
    <w:rsid w:val="00240A54"/>
    <w:rsid w:val="00240B79"/>
    <w:rsid w:val="00240DF2"/>
    <w:rsid w:val="00240FF7"/>
    <w:rsid w:val="00241114"/>
    <w:rsid w:val="00241264"/>
    <w:rsid w:val="002413F9"/>
    <w:rsid w:val="002418D6"/>
    <w:rsid w:val="00241CFE"/>
    <w:rsid w:val="00242398"/>
    <w:rsid w:val="002425A4"/>
    <w:rsid w:val="00242884"/>
    <w:rsid w:val="00242D8E"/>
    <w:rsid w:val="00243594"/>
    <w:rsid w:val="00243600"/>
    <w:rsid w:val="00243956"/>
    <w:rsid w:val="00243AAA"/>
    <w:rsid w:val="00243D9E"/>
    <w:rsid w:val="00243E4C"/>
    <w:rsid w:val="0024415F"/>
    <w:rsid w:val="002443D5"/>
    <w:rsid w:val="0024480E"/>
    <w:rsid w:val="00244C73"/>
    <w:rsid w:val="00244D10"/>
    <w:rsid w:val="00244D80"/>
    <w:rsid w:val="00244EBC"/>
    <w:rsid w:val="002453F8"/>
    <w:rsid w:val="0024589A"/>
    <w:rsid w:val="002459F1"/>
    <w:rsid w:val="00245D00"/>
    <w:rsid w:val="00245D7C"/>
    <w:rsid w:val="00245FC1"/>
    <w:rsid w:val="00246552"/>
    <w:rsid w:val="0024700C"/>
    <w:rsid w:val="0025019C"/>
    <w:rsid w:val="0025058B"/>
    <w:rsid w:val="002505B0"/>
    <w:rsid w:val="002505B1"/>
    <w:rsid w:val="0025066D"/>
    <w:rsid w:val="00250793"/>
    <w:rsid w:val="002508D3"/>
    <w:rsid w:val="00250B99"/>
    <w:rsid w:val="00250F20"/>
    <w:rsid w:val="00250F2D"/>
    <w:rsid w:val="0025190A"/>
    <w:rsid w:val="00251BFB"/>
    <w:rsid w:val="00251CA8"/>
    <w:rsid w:val="00252028"/>
    <w:rsid w:val="00252197"/>
    <w:rsid w:val="002521D6"/>
    <w:rsid w:val="00252496"/>
    <w:rsid w:val="00252AFE"/>
    <w:rsid w:val="00252CC3"/>
    <w:rsid w:val="00253174"/>
    <w:rsid w:val="00253511"/>
    <w:rsid w:val="00253899"/>
    <w:rsid w:val="00253990"/>
    <w:rsid w:val="002539AC"/>
    <w:rsid w:val="00253BA7"/>
    <w:rsid w:val="00254168"/>
    <w:rsid w:val="00254377"/>
    <w:rsid w:val="002543EE"/>
    <w:rsid w:val="00254549"/>
    <w:rsid w:val="0025463C"/>
    <w:rsid w:val="00254AA6"/>
    <w:rsid w:val="00254AC4"/>
    <w:rsid w:val="00254D4E"/>
    <w:rsid w:val="00254DDB"/>
    <w:rsid w:val="00254E27"/>
    <w:rsid w:val="002550F5"/>
    <w:rsid w:val="0025522E"/>
    <w:rsid w:val="002552DF"/>
    <w:rsid w:val="00255442"/>
    <w:rsid w:val="00255709"/>
    <w:rsid w:val="0025583E"/>
    <w:rsid w:val="00255B8F"/>
    <w:rsid w:val="00255D8E"/>
    <w:rsid w:val="00255EC8"/>
    <w:rsid w:val="002560C6"/>
    <w:rsid w:val="00256157"/>
    <w:rsid w:val="002561FC"/>
    <w:rsid w:val="00256478"/>
    <w:rsid w:val="002564C3"/>
    <w:rsid w:val="00256E1E"/>
    <w:rsid w:val="00257747"/>
    <w:rsid w:val="00257A33"/>
    <w:rsid w:val="00257CEF"/>
    <w:rsid w:val="00260864"/>
    <w:rsid w:val="002608BE"/>
    <w:rsid w:val="0026116B"/>
    <w:rsid w:val="002621CC"/>
    <w:rsid w:val="0026246E"/>
    <w:rsid w:val="00262809"/>
    <w:rsid w:val="00263161"/>
    <w:rsid w:val="00263539"/>
    <w:rsid w:val="00263984"/>
    <w:rsid w:val="00263CAD"/>
    <w:rsid w:val="0026447A"/>
    <w:rsid w:val="00264525"/>
    <w:rsid w:val="00264632"/>
    <w:rsid w:val="0026495C"/>
    <w:rsid w:val="00264B42"/>
    <w:rsid w:val="00264C8E"/>
    <w:rsid w:val="0026501C"/>
    <w:rsid w:val="00265844"/>
    <w:rsid w:val="00266243"/>
    <w:rsid w:val="00266297"/>
    <w:rsid w:val="002667D0"/>
    <w:rsid w:val="002667DC"/>
    <w:rsid w:val="00266964"/>
    <w:rsid w:val="00266BA2"/>
    <w:rsid w:val="00267501"/>
    <w:rsid w:val="002679BB"/>
    <w:rsid w:val="00267CBB"/>
    <w:rsid w:val="00267D09"/>
    <w:rsid w:val="00267D43"/>
    <w:rsid w:val="002700FA"/>
    <w:rsid w:val="002702F2"/>
    <w:rsid w:val="00270687"/>
    <w:rsid w:val="00270A9D"/>
    <w:rsid w:val="002710E5"/>
    <w:rsid w:val="00271318"/>
    <w:rsid w:val="002716EC"/>
    <w:rsid w:val="0027198D"/>
    <w:rsid w:val="00271992"/>
    <w:rsid w:val="00272630"/>
    <w:rsid w:val="0027263B"/>
    <w:rsid w:val="002730BD"/>
    <w:rsid w:val="002731A8"/>
    <w:rsid w:val="002733CE"/>
    <w:rsid w:val="0027346A"/>
    <w:rsid w:val="0027392E"/>
    <w:rsid w:val="002742F7"/>
    <w:rsid w:val="002745CA"/>
    <w:rsid w:val="002747A7"/>
    <w:rsid w:val="00274AD9"/>
    <w:rsid w:val="00275454"/>
    <w:rsid w:val="00275484"/>
    <w:rsid w:val="00275568"/>
    <w:rsid w:val="002758B1"/>
    <w:rsid w:val="002759AA"/>
    <w:rsid w:val="00275B3B"/>
    <w:rsid w:val="00275E0E"/>
    <w:rsid w:val="00275F76"/>
    <w:rsid w:val="00276059"/>
    <w:rsid w:val="00276226"/>
    <w:rsid w:val="0027665E"/>
    <w:rsid w:val="0027683D"/>
    <w:rsid w:val="002768A2"/>
    <w:rsid w:val="00276B9F"/>
    <w:rsid w:val="00276E46"/>
    <w:rsid w:val="002775D3"/>
    <w:rsid w:val="002777E7"/>
    <w:rsid w:val="00277922"/>
    <w:rsid w:val="002779C6"/>
    <w:rsid w:val="00277D09"/>
    <w:rsid w:val="00280273"/>
    <w:rsid w:val="00280481"/>
    <w:rsid w:val="002807FE"/>
    <w:rsid w:val="00280B7C"/>
    <w:rsid w:val="002811F9"/>
    <w:rsid w:val="0028143C"/>
    <w:rsid w:val="00281853"/>
    <w:rsid w:val="00281A73"/>
    <w:rsid w:val="00281C61"/>
    <w:rsid w:val="00281D46"/>
    <w:rsid w:val="002822B9"/>
    <w:rsid w:val="002823D6"/>
    <w:rsid w:val="00282669"/>
    <w:rsid w:val="00282678"/>
    <w:rsid w:val="00282941"/>
    <w:rsid w:val="00282B1F"/>
    <w:rsid w:val="00282CC8"/>
    <w:rsid w:val="00282D31"/>
    <w:rsid w:val="00282DDD"/>
    <w:rsid w:val="00282EF8"/>
    <w:rsid w:val="00282FEA"/>
    <w:rsid w:val="002833D5"/>
    <w:rsid w:val="0028381E"/>
    <w:rsid w:val="00283957"/>
    <w:rsid w:val="00283D49"/>
    <w:rsid w:val="00283F72"/>
    <w:rsid w:val="0028416A"/>
    <w:rsid w:val="002841A8"/>
    <w:rsid w:val="0028428A"/>
    <w:rsid w:val="002843C8"/>
    <w:rsid w:val="0028454F"/>
    <w:rsid w:val="002845E8"/>
    <w:rsid w:val="002848EB"/>
    <w:rsid w:val="00284B52"/>
    <w:rsid w:val="00284C34"/>
    <w:rsid w:val="00285237"/>
    <w:rsid w:val="00285740"/>
    <w:rsid w:val="00285A00"/>
    <w:rsid w:val="00285F5C"/>
    <w:rsid w:val="002864BF"/>
    <w:rsid w:val="00286560"/>
    <w:rsid w:val="0028672D"/>
    <w:rsid w:val="00286B03"/>
    <w:rsid w:val="00286E58"/>
    <w:rsid w:val="00287446"/>
    <w:rsid w:val="00287634"/>
    <w:rsid w:val="00287790"/>
    <w:rsid w:val="00287F20"/>
    <w:rsid w:val="00290BAC"/>
    <w:rsid w:val="00291699"/>
    <w:rsid w:val="002917BE"/>
    <w:rsid w:val="00291B24"/>
    <w:rsid w:val="00291EA2"/>
    <w:rsid w:val="0029208D"/>
    <w:rsid w:val="00292339"/>
    <w:rsid w:val="00292796"/>
    <w:rsid w:val="00292B9B"/>
    <w:rsid w:val="00292E76"/>
    <w:rsid w:val="0029334F"/>
    <w:rsid w:val="002935EA"/>
    <w:rsid w:val="00293B6D"/>
    <w:rsid w:val="00293C1F"/>
    <w:rsid w:val="00293DD8"/>
    <w:rsid w:val="00294180"/>
    <w:rsid w:val="00294B21"/>
    <w:rsid w:val="00294C08"/>
    <w:rsid w:val="00294CC5"/>
    <w:rsid w:val="00294D80"/>
    <w:rsid w:val="002958EA"/>
    <w:rsid w:val="00295ACD"/>
    <w:rsid w:val="00295CE9"/>
    <w:rsid w:val="002965E4"/>
    <w:rsid w:val="002966F2"/>
    <w:rsid w:val="002967CC"/>
    <w:rsid w:val="00296809"/>
    <w:rsid w:val="00296D22"/>
    <w:rsid w:val="00296F3B"/>
    <w:rsid w:val="002975C1"/>
    <w:rsid w:val="002978B1"/>
    <w:rsid w:val="00297EEE"/>
    <w:rsid w:val="002A010C"/>
    <w:rsid w:val="002A01D9"/>
    <w:rsid w:val="002A0C31"/>
    <w:rsid w:val="002A148F"/>
    <w:rsid w:val="002A1C32"/>
    <w:rsid w:val="002A2522"/>
    <w:rsid w:val="002A254C"/>
    <w:rsid w:val="002A2C32"/>
    <w:rsid w:val="002A2E16"/>
    <w:rsid w:val="002A2F3A"/>
    <w:rsid w:val="002A3166"/>
    <w:rsid w:val="002A32C1"/>
    <w:rsid w:val="002A3339"/>
    <w:rsid w:val="002A34FF"/>
    <w:rsid w:val="002A3584"/>
    <w:rsid w:val="002A392A"/>
    <w:rsid w:val="002A3B5C"/>
    <w:rsid w:val="002A3D06"/>
    <w:rsid w:val="002A3E38"/>
    <w:rsid w:val="002A415A"/>
    <w:rsid w:val="002A47C9"/>
    <w:rsid w:val="002A480D"/>
    <w:rsid w:val="002A4CD4"/>
    <w:rsid w:val="002A4D21"/>
    <w:rsid w:val="002A4F60"/>
    <w:rsid w:val="002A51AE"/>
    <w:rsid w:val="002A56EF"/>
    <w:rsid w:val="002A585E"/>
    <w:rsid w:val="002A5BEF"/>
    <w:rsid w:val="002A5D87"/>
    <w:rsid w:val="002A6590"/>
    <w:rsid w:val="002A65BA"/>
    <w:rsid w:val="002A6737"/>
    <w:rsid w:val="002A71F3"/>
    <w:rsid w:val="002A7497"/>
    <w:rsid w:val="002A7838"/>
    <w:rsid w:val="002A7973"/>
    <w:rsid w:val="002B000F"/>
    <w:rsid w:val="002B027B"/>
    <w:rsid w:val="002B0284"/>
    <w:rsid w:val="002B033C"/>
    <w:rsid w:val="002B0482"/>
    <w:rsid w:val="002B0661"/>
    <w:rsid w:val="002B0D1A"/>
    <w:rsid w:val="002B122F"/>
    <w:rsid w:val="002B190A"/>
    <w:rsid w:val="002B21C9"/>
    <w:rsid w:val="002B24EB"/>
    <w:rsid w:val="002B254F"/>
    <w:rsid w:val="002B25AD"/>
    <w:rsid w:val="002B2A00"/>
    <w:rsid w:val="002B2A43"/>
    <w:rsid w:val="002B2A64"/>
    <w:rsid w:val="002B2A6F"/>
    <w:rsid w:val="002B3535"/>
    <w:rsid w:val="002B3680"/>
    <w:rsid w:val="002B382A"/>
    <w:rsid w:val="002B3AD5"/>
    <w:rsid w:val="002B3DF6"/>
    <w:rsid w:val="002B4145"/>
    <w:rsid w:val="002B4174"/>
    <w:rsid w:val="002B4180"/>
    <w:rsid w:val="002B44BF"/>
    <w:rsid w:val="002B44D9"/>
    <w:rsid w:val="002B468E"/>
    <w:rsid w:val="002B49D7"/>
    <w:rsid w:val="002B5325"/>
    <w:rsid w:val="002B5907"/>
    <w:rsid w:val="002B6009"/>
    <w:rsid w:val="002B6062"/>
    <w:rsid w:val="002B6231"/>
    <w:rsid w:val="002B64EA"/>
    <w:rsid w:val="002B651E"/>
    <w:rsid w:val="002B6913"/>
    <w:rsid w:val="002B7238"/>
    <w:rsid w:val="002B752C"/>
    <w:rsid w:val="002B7596"/>
    <w:rsid w:val="002B76C0"/>
    <w:rsid w:val="002B76E1"/>
    <w:rsid w:val="002C053E"/>
    <w:rsid w:val="002C083E"/>
    <w:rsid w:val="002C0A21"/>
    <w:rsid w:val="002C0A5B"/>
    <w:rsid w:val="002C0A8E"/>
    <w:rsid w:val="002C15EF"/>
    <w:rsid w:val="002C16EE"/>
    <w:rsid w:val="002C1744"/>
    <w:rsid w:val="002C1917"/>
    <w:rsid w:val="002C1940"/>
    <w:rsid w:val="002C29A3"/>
    <w:rsid w:val="002C2CC6"/>
    <w:rsid w:val="002C317D"/>
    <w:rsid w:val="002C36AA"/>
    <w:rsid w:val="002C482D"/>
    <w:rsid w:val="002C4895"/>
    <w:rsid w:val="002C49AF"/>
    <w:rsid w:val="002C4ABC"/>
    <w:rsid w:val="002C4E18"/>
    <w:rsid w:val="002C4E51"/>
    <w:rsid w:val="002C5098"/>
    <w:rsid w:val="002C515E"/>
    <w:rsid w:val="002C51E4"/>
    <w:rsid w:val="002C55C5"/>
    <w:rsid w:val="002C5695"/>
    <w:rsid w:val="002C6AF4"/>
    <w:rsid w:val="002C7161"/>
    <w:rsid w:val="002C7F3F"/>
    <w:rsid w:val="002D05EB"/>
    <w:rsid w:val="002D060F"/>
    <w:rsid w:val="002D0E52"/>
    <w:rsid w:val="002D1011"/>
    <w:rsid w:val="002D1903"/>
    <w:rsid w:val="002D1936"/>
    <w:rsid w:val="002D1E09"/>
    <w:rsid w:val="002D1ED0"/>
    <w:rsid w:val="002D1FCA"/>
    <w:rsid w:val="002D2458"/>
    <w:rsid w:val="002D25F0"/>
    <w:rsid w:val="002D267E"/>
    <w:rsid w:val="002D2B05"/>
    <w:rsid w:val="002D2CC6"/>
    <w:rsid w:val="002D2F51"/>
    <w:rsid w:val="002D3639"/>
    <w:rsid w:val="002D3BE8"/>
    <w:rsid w:val="002D3C14"/>
    <w:rsid w:val="002D3EEA"/>
    <w:rsid w:val="002D3FD8"/>
    <w:rsid w:val="002D40CE"/>
    <w:rsid w:val="002D446D"/>
    <w:rsid w:val="002D44C8"/>
    <w:rsid w:val="002D4597"/>
    <w:rsid w:val="002D466A"/>
    <w:rsid w:val="002D4751"/>
    <w:rsid w:val="002D4FC8"/>
    <w:rsid w:val="002D51B5"/>
    <w:rsid w:val="002D52A8"/>
    <w:rsid w:val="002D539C"/>
    <w:rsid w:val="002D5713"/>
    <w:rsid w:val="002D5A75"/>
    <w:rsid w:val="002D5D12"/>
    <w:rsid w:val="002D5D6B"/>
    <w:rsid w:val="002D5FA0"/>
    <w:rsid w:val="002D6064"/>
    <w:rsid w:val="002D68FC"/>
    <w:rsid w:val="002D6B6F"/>
    <w:rsid w:val="002D6C3A"/>
    <w:rsid w:val="002D6C7B"/>
    <w:rsid w:val="002D70F9"/>
    <w:rsid w:val="002D7256"/>
    <w:rsid w:val="002D7BDB"/>
    <w:rsid w:val="002D7E91"/>
    <w:rsid w:val="002E021C"/>
    <w:rsid w:val="002E07B0"/>
    <w:rsid w:val="002E08FA"/>
    <w:rsid w:val="002E0B44"/>
    <w:rsid w:val="002E0F58"/>
    <w:rsid w:val="002E1319"/>
    <w:rsid w:val="002E132B"/>
    <w:rsid w:val="002E161B"/>
    <w:rsid w:val="002E165B"/>
    <w:rsid w:val="002E17F6"/>
    <w:rsid w:val="002E198C"/>
    <w:rsid w:val="002E2124"/>
    <w:rsid w:val="002E2222"/>
    <w:rsid w:val="002E3736"/>
    <w:rsid w:val="002E385A"/>
    <w:rsid w:val="002E3A68"/>
    <w:rsid w:val="002E416A"/>
    <w:rsid w:val="002E41F0"/>
    <w:rsid w:val="002E4273"/>
    <w:rsid w:val="002E4485"/>
    <w:rsid w:val="002E45F6"/>
    <w:rsid w:val="002E4D81"/>
    <w:rsid w:val="002E4EDC"/>
    <w:rsid w:val="002E4EFB"/>
    <w:rsid w:val="002E5654"/>
    <w:rsid w:val="002E5AB4"/>
    <w:rsid w:val="002E5E97"/>
    <w:rsid w:val="002E607B"/>
    <w:rsid w:val="002E649E"/>
    <w:rsid w:val="002E64F2"/>
    <w:rsid w:val="002E6511"/>
    <w:rsid w:val="002E6512"/>
    <w:rsid w:val="002E6773"/>
    <w:rsid w:val="002E6DB6"/>
    <w:rsid w:val="002E6DF8"/>
    <w:rsid w:val="002E6E46"/>
    <w:rsid w:val="002E6F8D"/>
    <w:rsid w:val="002E70EE"/>
    <w:rsid w:val="002E73B9"/>
    <w:rsid w:val="002E73EA"/>
    <w:rsid w:val="002E7517"/>
    <w:rsid w:val="002E770E"/>
    <w:rsid w:val="002E7C3F"/>
    <w:rsid w:val="002E7DBF"/>
    <w:rsid w:val="002F0008"/>
    <w:rsid w:val="002F02F5"/>
    <w:rsid w:val="002F05CA"/>
    <w:rsid w:val="002F1114"/>
    <w:rsid w:val="002F15B7"/>
    <w:rsid w:val="002F168C"/>
    <w:rsid w:val="002F1DF3"/>
    <w:rsid w:val="002F1F04"/>
    <w:rsid w:val="002F2214"/>
    <w:rsid w:val="002F2260"/>
    <w:rsid w:val="002F2496"/>
    <w:rsid w:val="002F24B3"/>
    <w:rsid w:val="002F28D7"/>
    <w:rsid w:val="002F2A43"/>
    <w:rsid w:val="002F33DD"/>
    <w:rsid w:val="002F369A"/>
    <w:rsid w:val="002F3C90"/>
    <w:rsid w:val="002F4366"/>
    <w:rsid w:val="002F493F"/>
    <w:rsid w:val="002F4B1B"/>
    <w:rsid w:val="002F4EE9"/>
    <w:rsid w:val="002F4F79"/>
    <w:rsid w:val="002F504F"/>
    <w:rsid w:val="002F512C"/>
    <w:rsid w:val="002F54C7"/>
    <w:rsid w:val="002F5523"/>
    <w:rsid w:val="002F5661"/>
    <w:rsid w:val="002F5771"/>
    <w:rsid w:val="002F5BD8"/>
    <w:rsid w:val="002F60C3"/>
    <w:rsid w:val="002F63ED"/>
    <w:rsid w:val="002F6883"/>
    <w:rsid w:val="002F69D7"/>
    <w:rsid w:val="002F6D3A"/>
    <w:rsid w:val="002F71DC"/>
    <w:rsid w:val="002F72A1"/>
    <w:rsid w:val="002F72EB"/>
    <w:rsid w:val="002F792C"/>
    <w:rsid w:val="002F792F"/>
    <w:rsid w:val="002F7998"/>
    <w:rsid w:val="002F7B2A"/>
    <w:rsid w:val="002F7C7A"/>
    <w:rsid w:val="0030030B"/>
    <w:rsid w:val="003003E4"/>
    <w:rsid w:val="00300464"/>
    <w:rsid w:val="003011CC"/>
    <w:rsid w:val="0030138D"/>
    <w:rsid w:val="00301425"/>
    <w:rsid w:val="00301579"/>
    <w:rsid w:val="003015F7"/>
    <w:rsid w:val="0030171D"/>
    <w:rsid w:val="00301FC3"/>
    <w:rsid w:val="00301FF9"/>
    <w:rsid w:val="00302374"/>
    <w:rsid w:val="0030274D"/>
    <w:rsid w:val="00302784"/>
    <w:rsid w:val="003028EC"/>
    <w:rsid w:val="00303101"/>
    <w:rsid w:val="0030342D"/>
    <w:rsid w:val="00303AA2"/>
    <w:rsid w:val="00303DEE"/>
    <w:rsid w:val="00304544"/>
    <w:rsid w:val="00304CA4"/>
    <w:rsid w:val="00304E7D"/>
    <w:rsid w:val="00304F7E"/>
    <w:rsid w:val="003050CC"/>
    <w:rsid w:val="00305601"/>
    <w:rsid w:val="00305640"/>
    <w:rsid w:val="0030567F"/>
    <w:rsid w:val="00305710"/>
    <w:rsid w:val="00305FCB"/>
    <w:rsid w:val="00306B84"/>
    <w:rsid w:val="00306C8A"/>
    <w:rsid w:val="00306DB8"/>
    <w:rsid w:val="003071C5"/>
    <w:rsid w:val="0030764F"/>
    <w:rsid w:val="00307707"/>
    <w:rsid w:val="0030779B"/>
    <w:rsid w:val="003079A9"/>
    <w:rsid w:val="00307E36"/>
    <w:rsid w:val="00311367"/>
    <w:rsid w:val="00311369"/>
    <w:rsid w:val="00311517"/>
    <w:rsid w:val="003117DA"/>
    <w:rsid w:val="00311814"/>
    <w:rsid w:val="00311AFB"/>
    <w:rsid w:val="0031244D"/>
    <w:rsid w:val="00312DF7"/>
    <w:rsid w:val="00313220"/>
    <w:rsid w:val="00313339"/>
    <w:rsid w:val="003133BD"/>
    <w:rsid w:val="00313558"/>
    <w:rsid w:val="003139D8"/>
    <w:rsid w:val="00313C74"/>
    <w:rsid w:val="003140E6"/>
    <w:rsid w:val="0031492C"/>
    <w:rsid w:val="00314B16"/>
    <w:rsid w:val="00314C1B"/>
    <w:rsid w:val="00314EC4"/>
    <w:rsid w:val="0031529F"/>
    <w:rsid w:val="003156A3"/>
    <w:rsid w:val="00315825"/>
    <w:rsid w:val="0031606D"/>
    <w:rsid w:val="003163E5"/>
    <w:rsid w:val="003167EE"/>
    <w:rsid w:val="0031695E"/>
    <w:rsid w:val="003169D2"/>
    <w:rsid w:val="00316C33"/>
    <w:rsid w:val="003170D2"/>
    <w:rsid w:val="003175DC"/>
    <w:rsid w:val="0031785F"/>
    <w:rsid w:val="00317BDA"/>
    <w:rsid w:val="00320429"/>
    <w:rsid w:val="003208AB"/>
    <w:rsid w:val="00320CE8"/>
    <w:rsid w:val="003217F4"/>
    <w:rsid w:val="0032216A"/>
    <w:rsid w:val="00322DA6"/>
    <w:rsid w:val="00322E1A"/>
    <w:rsid w:val="00322ED0"/>
    <w:rsid w:val="00322F62"/>
    <w:rsid w:val="00323110"/>
    <w:rsid w:val="00323364"/>
    <w:rsid w:val="00323773"/>
    <w:rsid w:val="00323939"/>
    <w:rsid w:val="00323A28"/>
    <w:rsid w:val="00323DF0"/>
    <w:rsid w:val="00323FA0"/>
    <w:rsid w:val="003243C3"/>
    <w:rsid w:val="00324955"/>
    <w:rsid w:val="00324AA1"/>
    <w:rsid w:val="00324DA2"/>
    <w:rsid w:val="00325026"/>
    <w:rsid w:val="00325396"/>
    <w:rsid w:val="003254FB"/>
    <w:rsid w:val="003255B7"/>
    <w:rsid w:val="00325961"/>
    <w:rsid w:val="00325A43"/>
    <w:rsid w:val="00325DB4"/>
    <w:rsid w:val="0032675B"/>
    <w:rsid w:val="00326E2F"/>
    <w:rsid w:val="00326FAF"/>
    <w:rsid w:val="0032725C"/>
    <w:rsid w:val="00327275"/>
    <w:rsid w:val="0032743F"/>
    <w:rsid w:val="00327600"/>
    <w:rsid w:val="003278B9"/>
    <w:rsid w:val="003300A6"/>
    <w:rsid w:val="0033032D"/>
    <w:rsid w:val="003303DC"/>
    <w:rsid w:val="0033066B"/>
    <w:rsid w:val="003309BE"/>
    <w:rsid w:val="00330D3B"/>
    <w:rsid w:val="003314B4"/>
    <w:rsid w:val="00331E51"/>
    <w:rsid w:val="00332B9D"/>
    <w:rsid w:val="00332C30"/>
    <w:rsid w:val="00332C7B"/>
    <w:rsid w:val="00332F28"/>
    <w:rsid w:val="003331F3"/>
    <w:rsid w:val="003337BD"/>
    <w:rsid w:val="00333BB2"/>
    <w:rsid w:val="00333E5D"/>
    <w:rsid w:val="00334701"/>
    <w:rsid w:val="0033471B"/>
    <w:rsid w:val="00334978"/>
    <w:rsid w:val="00334ADC"/>
    <w:rsid w:val="00334C7E"/>
    <w:rsid w:val="00334D78"/>
    <w:rsid w:val="00334F3A"/>
    <w:rsid w:val="003355C5"/>
    <w:rsid w:val="00335825"/>
    <w:rsid w:val="00335A05"/>
    <w:rsid w:val="00335AE2"/>
    <w:rsid w:val="00335DB3"/>
    <w:rsid w:val="00335EE8"/>
    <w:rsid w:val="00336831"/>
    <w:rsid w:val="00336961"/>
    <w:rsid w:val="00336D4E"/>
    <w:rsid w:val="00337772"/>
    <w:rsid w:val="003379FE"/>
    <w:rsid w:val="00337A52"/>
    <w:rsid w:val="00337B0F"/>
    <w:rsid w:val="00337E0C"/>
    <w:rsid w:val="00337E98"/>
    <w:rsid w:val="00337F83"/>
    <w:rsid w:val="0034022B"/>
    <w:rsid w:val="00340559"/>
    <w:rsid w:val="00340562"/>
    <w:rsid w:val="00340E7B"/>
    <w:rsid w:val="00341603"/>
    <w:rsid w:val="003416E7"/>
    <w:rsid w:val="00341B48"/>
    <w:rsid w:val="00341D07"/>
    <w:rsid w:val="00341E38"/>
    <w:rsid w:val="00342385"/>
    <w:rsid w:val="003423EA"/>
    <w:rsid w:val="003428E7"/>
    <w:rsid w:val="003428EB"/>
    <w:rsid w:val="00342977"/>
    <w:rsid w:val="00343305"/>
    <w:rsid w:val="003435E1"/>
    <w:rsid w:val="0034363B"/>
    <w:rsid w:val="00343900"/>
    <w:rsid w:val="003441C6"/>
    <w:rsid w:val="00344368"/>
    <w:rsid w:val="003446AB"/>
    <w:rsid w:val="003447BF"/>
    <w:rsid w:val="00344E07"/>
    <w:rsid w:val="0034557E"/>
    <w:rsid w:val="0034563E"/>
    <w:rsid w:val="00346000"/>
    <w:rsid w:val="0034655A"/>
    <w:rsid w:val="00346AC9"/>
    <w:rsid w:val="00346DE5"/>
    <w:rsid w:val="00346DEE"/>
    <w:rsid w:val="00346EA2"/>
    <w:rsid w:val="00346F09"/>
    <w:rsid w:val="003473FE"/>
    <w:rsid w:val="00347657"/>
    <w:rsid w:val="00350158"/>
    <w:rsid w:val="00350222"/>
    <w:rsid w:val="00350381"/>
    <w:rsid w:val="00350A41"/>
    <w:rsid w:val="00350E7D"/>
    <w:rsid w:val="00351330"/>
    <w:rsid w:val="00351505"/>
    <w:rsid w:val="00351703"/>
    <w:rsid w:val="00351F53"/>
    <w:rsid w:val="00352574"/>
    <w:rsid w:val="00352830"/>
    <w:rsid w:val="00352CB1"/>
    <w:rsid w:val="00352FEE"/>
    <w:rsid w:val="00353832"/>
    <w:rsid w:val="00353B96"/>
    <w:rsid w:val="00353C14"/>
    <w:rsid w:val="00353C26"/>
    <w:rsid w:val="00353C9D"/>
    <w:rsid w:val="00353EA7"/>
    <w:rsid w:val="0035408F"/>
    <w:rsid w:val="00354660"/>
    <w:rsid w:val="0035487E"/>
    <w:rsid w:val="003548ED"/>
    <w:rsid w:val="00354B5B"/>
    <w:rsid w:val="00354C5F"/>
    <w:rsid w:val="00354EFE"/>
    <w:rsid w:val="00355280"/>
    <w:rsid w:val="00355540"/>
    <w:rsid w:val="00355DC3"/>
    <w:rsid w:val="0035608C"/>
    <w:rsid w:val="003564B0"/>
    <w:rsid w:val="003565AE"/>
    <w:rsid w:val="003567E6"/>
    <w:rsid w:val="00356EAC"/>
    <w:rsid w:val="00356EF2"/>
    <w:rsid w:val="00357028"/>
    <w:rsid w:val="0035703D"/>
    <w:rsid w:val="003572DA"/>
    <w:rsid w:val="003572F2"/>
    <w:rsid w:val="003576E7"/>
    <w:rsid w:val="0035780A"/>
    <w:rsid w:val="0036037A"/>
    <w:rsid w:val="00360390"/>
    <w:rsid w:val="0036055B"/>
    <w:rsid w:val="00360829"/>
    <w:rsid w:val="00360AA1"/>
    <w:rsid w:val="00360C03"/>
    <w:rsid w:val="00360FE3"/>
    <w:rsid w:val="003612EC"/>
    <w:rsid w:val="0036159D"/>
    <w:rsid w:val="00361D6E"/>
    <w:rsid w:val="00361F51"/>
    <w:rsid w:val="003620F4"/>
    <w:rsid w:val="00362D24"/>
    <w:rsid w:val="0036330B"/>
    <w:rsid w:val="00363371"/>
    <w:rsid w:val="00363782"/>
    <w:rsid w:val="003637F9"/>
    <w:rsid w:val="00363BF7"/>
    <w:rsid w:val="00363CAC"/>
    <w:rsid w:val="00363FEE"/>
    <w:rsid w:val="003641A3"/>
    <w:rsid w:val="0036424E"/>
    <w:rsid w:val="00364B23"/>
    <w:rsid w:val="00364B96"/>
    <w:rsid w:val="0036511D"/>
    <w:rsid w:val="00365287"/>
    <w:rsid w:val="003653FF"/>
    <w:rsid w:val="00366128"/>
    <w:rsid w:val="00366C6E"/>
    <w:rsid w:val="00367586"/>
    <w:rsid w:val="003676C1"/>
    <w:rsid w:val="00367742"/>
    <w:rsid w:val="003677AF"/>
    <w:rsid w:val="0036784B"/>
    <w:rsid w:val="00367C2B"/>
    <w:rsid w:val="00367CA2"/>
    <w:rsid w:val="00367CA3"/>
    <w:rsid w:val="00367CAA"/>
    <w:rsid w:val="00367D15"/>
    <w:rsid w:val="00367E9A"/>
    <w:rsid w:val="00370012"/>
    <w:rsid w:val="003701D7"/>
    <w:rsid w:val="00370246"/>
    <w:rsid w:val="00370DBC"/>
    <w:rsid w:val="00370E0E"/>
    <w:rsid w:val="003710DA"/>
    <w:rsid w:val="003713F3"/>
    <w:rsid w:val="0037194D"/>
    <w:rsid w:val="003719B2"/>
    <w:rsid w:val="00371E5F"/>
    <w:rsid w:val="00372461"/>
    <w:rsid w:val="003726BD"/>
    <w:rsid w:val="003727D2"/>
    <w:rsid w:val="0037291D"/>
    <w:rsid w:val="00372BC2"/>
    <w:rsid w:val="00372E1E"/>
    <w:rsid w:val="00372EE6"/>
    <w:rsid w:val="0037325E"/>
    <w:rsid w:val="0037345C"/>
    <w:rsid w:val="0037382F"/>
    <w:rsid w:val="00373849"/>
    <w:rsid w:val="0037399A"/>
    <w:rsid w:val="00373A93"/>
    <w:rsid w:val="00373AC3"/>
    <w:rsid w:val="00373C0F"/>
    <w:rsid w:val="0037401D"/>
    <w:rsid w:val="00374680"/>
    <w:rsid w:val="0037488A"/>
    <w:rsid w:val="00374A0F"/>
    <w:rsid w:val="00374AFD"/>
    <w:rsid w:val="00375131"/>
    <w:rsid w:val="003759E3"/>
    <w:rsid w:val="00375AD0"/>
    <w:rsid w:val="00375B2F"/>
    <w:rsid w:val="0037612B"/>
    <w:rsid w:val="003761BF"/>
    <w:rsid w:val="00376255"/>
    <w:rsid w:val="003763A2"/>
    <w:rsid w:val="003763E0"/>
    <w:rsid w:val="0037644B"/>
    <w:rsid w:val="00376C67"/>
    <w:rsid w:val="00376CFA"/>
    <w:rsid w:val="00376EDF"/>
    <w:rsid w:val="003778A4"/>
    <w:rsid w:val="00377916"/>
    <w:rsid w:val="00377D97"/>
    <w:rsid w:val="00380017"/>
    <w:rsid w:val="00380AAC"/>
    <w:rsid w:val="00380F21"/>
    <w:rsid w:val="00381063"/>
    <w:rsid w:val="00381204"/>
    <w:rsid w:val="003812BE"/>
    <w:rsid w:val="003813F0"/>
    <w:rsid w:val="003814E8"/>
    <w:rsid w:val="00381A35"/>
    <w:rsid w:val="00381CF4"/>
    <w:rsid w:val="00381D97"/>
    <w:rsid w:val="00381DDB"/>
    <w:rsid w:val="00381EFA"/>
    <w:rsid w:val="003823B7"/>
    <w:rsid w:val="003834C0"/>
    <w:rsid w:val="0038352B"/>
    <w:rsid w:val="00383564"/>
    <w:rsid w:val="00383B9A"/>
    <w:rsid w:val="00383D66"/>
    <w:rsid w:val="00384288"/>
    <w:rsid w:val="003842A2"/>
    <w:rsid w:val="003842ED"/>
    <w:rsid w:val="003845AB"/>
    <w:rsid w:val="00384C21"/>
    <w:rsid w:val="003850D1"/>
    <w:rsid w:val="00385181"/>
    <w:rsid w:val="0038565B"/>
    <w:rsid w:val="0038579D"/>
    <w:rsid w:val="0038598B"/>
    <w:rsid w:val="00385A3D"/>
    <w:rsid w:val="00385E5E"/>
    <w:rsid w:val="00385E81"/>
    <w:rsid w:val="00386725"/>
    <w:rsid w:val="00386982"/>
    <w:rsid w:val="00386BFF"/>
    <w:rsid w:val="0038723B"/>
    <w:rsid w:val="00387CF1"/>
    <w:rsid w:val="00387EE5"/>
    <w:rsid w:val="00387F12"/>
    <w:rsid w:val="00387F7F"/>
    <w:rsid w:val="00390A95"/>
    <w:rsid w:val="00391148"/>
    <w:rsid w:val="0039117F"/>
    <w:rsid w:val="0039125D"/>
    <w:rsid w:val="0039192C"/>
    <w:rsid w:val="00392120"/>
    <w:rsid w:val="00392482"/>
    <w:rsid w:val="00392A45"/>
    <w:rsid w:val="00392B18"/>
    <w:rsid w:val="00392CD0"/>
    <w:rsid w:val="00392E71"/>
    <w:rsid w:val="00392F98"/>
    <w:rsid w:val="00392FCC"/>
    <w:rsid w:val="00393403"/>
    <w:rsid w:val="00393477"/>
    <w:rsid w:val="0039347B"/>
    <w:rsid w:val="00393669"/>
    <w:rsid w:val="00393691"/>
    <w:rsid w:val="003939D9"/>
    <w:rsid w:val="00393D0D"/>
    <w:rsid w:val="00394065"/>
    <w:rsid w:val="003948BF"/>
    <w:rsid w:val="0039525A"/>
    <w:rsid w:val="00395711"/>
    <w:rsid w:val="00395840"/>
    <w:rsid w:val="00395C79"/>
    <w:rsid w:val="00395F7A"/>
    <w:rsid w:val="00396379"/>
    <w:rsid w:val="0039658C"/>
    <w:rsid w:val="00396970"/>
    <w:rsid w:val="00396E28"/>
    <w:rsid w:val="00396F13"/>
    <w:rsid w:val="00396F56"/>
    <w:rsid w:val="003972CA"/>
    <w:rsid w:val="00397424"/>
    <w:rsid w:val="00397B75"/>
    <w:rsid w:val="003A0209"/>
    <w:rsid w:val="003A036C"/>
    <w:rsid w:val="003A0379"/>
    <w:rsid w:val="003A07B2"/>
    <w:rsid w:val="003A0BEE"/>
    <w:rsid w:val="003A1507"/>
    <w:rsid w:val="003A1730"/>
    <w:rsid w:val="003A1D20"/>
    <w:rsid w:val="003A1E3E"/>
    <w:rsid w:val="003A1EF1"/>
    <w:rsid w:val="003A2075"/>
    <w:rsid w:val="003A2229"/>
    <w:rsid w:val="003A2318"/>
    <w:rsid w:val="003A23F0"/>
    <w:rsid w:val="003A3BBE"/>
    <w:rsid w:val="003A4B49"/>
    <w:rsid w:val="003A4BCE"/>
    <w:rsid w:val="003A4D97"/>
    <w:rsid w:val="003A5084"/>
    <w:rsid w:val="003A548B"/>
    <w:rsid w:val="003A5A8C"/>
    <w:rsid w:val="003A5AE4"/>
    <w:rsid w:val="003A5CC7"/>
    <w:rsid w:val="003A6022"/>
    <w:rsid w:val="003A6038"/>
    <w:rsid w:val="003A65A5"/>
    <w:rsid w:val="003A6735"/>
    <w:rsid w:val="003A6A28"/>
    <w:rsid w:val="003A6EC3"/>
    <w:rsid w:val="003A714E"/>
    <w:rsid w:val="003A72D2"/>
    <w:rsid w:val="003A7943"/>
    <w:rsid w:val="003A7B86"/>
    <w:rsid w:val="003A7D13"/>
    <w:rsid w:val="003A7D14"/>
    <w:rsid w:val="003A7DA6"/>
    <w:rsid w:val="003B086A"/>
    <w:rsid w:val="003B08EB"/>
    <w:rsid w:val="003B0A35"/>
    <w:rsid w:val="003B102F"/>
    <w:rsid w:val="003B1567"/>
    <w:rsid w:val="003B1793"/>
    <w:rsid w:val="003B1B69"/>
    <w:rsid w:val="003B1C7D"/>
    <w:rsid w:val="003B24CE"/>
    <w:rsid w:val="003B24D1"/>
    <w:rsid w:val="003B256D"/>
    <w:rsid w:val="003B25C9"/>
    <w:rsid w:val="003B25E0"/>
    <w:rsid w:val="003B2652"/>
    <w:rsid w:val="003B2954"/>
    <w:rsid w:val="003B29D3"/>
    <w:rsid w:val="003B2A46"/>
    <w:rsid w:val="003B42B9"/>
    <w:rsid w:val="003B4984"/>
    <w:rsid w:val="003B4E35"/>
    <w:rsid w:val="003B4F39"/>
    <w:rsid w:val="003B539E"/>
    <w:rsid w:val="003B5566"/>
    <w:rsid w:val="003B59FF"/>
    <w:rsid w:val="003B5F2B"/>
    <w:rsid w:val="003B646A"/>
    <w:rsid w:val="003B6716"/>
    <w:rsid w:val="003B67DF"/>
    <w:rsid w:val="003B6C4B"/>
    <w:rsid w:val="003B6F99"/>
    <w:rsid w:val="003B7207"/>
    <w:rsid w:val="003B725D"/>
    <w:rsid w:val="003B7757"/>
    <w:rsid w:val="003B7D55"/>
    <w:rsid w:val="003B7F20"/>
    <w:rsid w:val="003C076C"/>
    <w:rsid w:val="003C093A"/>
    <w:rsid w:val="003C0CCA"/>
    <w:rsid w:val="003C1269"/>
    <w:rsid w:val="003C138A"/>
    <w:rsid w:val="003C1458"/>
    <w:rsid w:val="003C1820"/>
    <w:rsid w:val="003C20F4"/>
    <w:rsid w:val="003C2A7C"/>
    <w:rsid w:val="003C2A80"/>
    <w:rsid w:val="003C2DA5"/>
    <w:rsid w:val="003C32FB"/>
    <w:rsid w:val="003C34B2"/>
    <w:rsid w:val="003C36DC"/>
    <w:rsid w:val="003C3E4F"/>
    <w:rsid w:val="003C4797"/>
    <w:rsid w:val="003C4AB5"/>
    <w:rsid w:val="003C4E90"/>
    <w:rsid w:val="003C5087"/>
    <w:rsid w:val="003C5264"/>
    <w:rsid w:val="003C52A1"/>
    <w:rsid w:val="003C55C6"/>
    <w:rsid w:val="003C577B"/>
    <w:rsid w:val="003C5836"/>
    <w:rsid w:val="003C5DB7"/>
    <w:rsid w:val="003C628D"/>
    <w:rsid w:val="003C650D"/>
    <w:rsid w:val="003C6C0E"/>
    <w:rsid w:val="003C6ED1"/>
    <w:rsid w:val="003C6FBA"/>
    <w:rsid w:val="003C7140"/>
    <w:rsid w:val="003C7310"/>
    <w:rsid w:val="003C738E"/>
    <w:rsid w:val="003D0081"/>
    <w:rsid w:val="003D03F9"/>
    <w:rsid w:val="003D0403"/>
    <w:rsid w:val="003D057F"/>
    <w:rsid w:val="003D099A"/>
    <w:rsid w:val="003D0A3B"/>
    <w:rsid w:val="003D0FD5"/>
    <w:rsid w:val="003D1393"/>
    <w:rsid w:val="003D1B92"/>
    <w:rsid w:val="003D2443"/>
    <w:rsid w:val="003D2FD0"/>
    <w:rsid w:val="003D3575"/>
    <w:rsid w:val="003D3595"/>
    <w:rsid w:val="003D3997"/>
    <w:rsid w:val="003D3B0C"/>
    <w:rsid w:val="003D3E6C"/>
    <w:rsid w:val="003D4130"/>
    <w:rsid w:val="003D48D2"/>
    <w:rsid w:val="003D4B38"/>
    <w:rsid w:val="003D5CC5"/>
    <w:rsid w:val="003D656C"/>
    <w:rsid w:val="003D6B4C"/>
    <w:rsid w:val="003D6BB3"/>
    <w:rsid w:val="003D6BF6"/>
    <w:rsid w:val="003D6C20"/>
    <w:rsid w:val="003D6C72"/>
    <w:rsid w:val="003D6D44"/>
    <w:rsid w:val="003D704B"/>
    <w:rsid w:val="003D70A2"/>
    <w:rsid w:val="003D777D"/>
    <w:rsid w:val="003D79A4"/>
    <w:rsid w:val="003D7A03"/>
    <w:rsid w:val="003D7C3A"/>
    <w:rsid w:val="003D7CD0"/>
    <w:rsid w:val="003D7D78"/>
    <w:rsid w:val="003E016B"/>
    <w:rsid w:val="003E0520"/>
    <w:rsid w:val="003E0678"/>
    <w:rsid w:val="003E0992"/>
    <w:rsid w:val="003E09F5"/>
    <w:rsid w:val="003E0A02"/>
    <w:rsid w:val="003E0A84"/>
    <w:rsid w:val="003E0B43"/>
    <w:rsid w:val="003E0E62"/>
    <w:rsid w:val="003E107E"/>
    <w:rsid w:val="003E18AF"/>
    <w:rsid w:val="003E1920"/>
    <w:rsid w:val="003E20A0"/>
    <w:rsid w:val="003E20E1"/>
    <w:rsid w:val="003E217D"/>
    <w:rsid w:val="003E21CA"/>
    <w:rsid w:val="003E23D7"/>
    <w:rsid w:val="003E2482"/>
    <w:rsid w:val="003E2EFD"/>
    <w:rsid w:val="003E30D4"/>
    <w:rsid w:val="003E31C0"/>
    <w:rsid w:val="003E39A9"/>
    <w:rsid w:val="003E4450"/>
    <w:rsid w:val="003E4C4B"/>
    <w:rsid w:val="003E57A2"/>
    <w:rsid w:val="003E59ED"/>
    <w:rsid w:val="003E5BFB"/>
    <w:rsid w:val="003E6097"/>
    <w:rsid w:val="003E609D"/>
    <w:rsid w:val="003E6126"/>
    <w:rsid w:val="003E6433"/>
    <w:rsid w:val="003E6B52"/>
    <w:rsid w:val="003E7239"/>
    <w:rsid w:val="003E73FD"/>
    <w:rsid w:val="003E75E1"/>
    <w:rsid w:val="003E7D0F"/>
    <w:rsid w:val="003E7DAB"/>
    <w:rsid w:val="003F06A8"/>
    <w:rsid w:val="003F08BE"/>
    <w:rsid w:val="003F0AA7"/>
    <w:rsid w:val="003F0C4D"/>
    <w:rsid w:val="003F0DE2"/>
    <w:rsid w:val="003F1516"/>
    <w:rsid w:val="003F1A32"/>
    <w:rsid w:val="003F1BA2"/>
    <w:rsid w:val="003F1CA5"/>
    <w:rsid w:val="003F1DF7"/>
    <w:rsid w:val="003F22C4"/>
    <w:rsid w:val="003F24F3"/>
    <w:rsid w:val="003F27E2"/>
    <w:rsid w:val="003F2FF0"/>
    <w:rsid w:val="003F3154"/>
    <w:rsid w:val="003F3156"/>
    <w:rsid w:val="003F35A8"/>
    <w:rsid w:val="003F369E"/>
    <w:rsid w:val="003F3907"/>
    <w:rsid w:val="003F3920"/>
    <w:rsid w:val="003F4684"/>
    <w:rsid w:val="003F4E07"/>
    <w:rsid w:val="003F5199"/>
    <w:rsid w:val="003F542B"/>
    <w:rsid w:val="003F63C1"/>
    <w:rsid w:val="003F64A7"/>
    <w:rsid w:val="003F6763"/>
    <w:rsid w:val="003F6BE6"/>
    <w:rsid w:val="003F6F17"/>
    <w:rsid w:val="003F753E"/>
    <w:rsid w:val="003F7683"/>
    <w:rsid w:val="003F772A"/>
    <w:rsid w:val="003F7B8A"/>
    <w:rsid w:val="004001D8"/>
    <w:rsid w:val="004009B2"/>
    <w:rsid w:val="00400FD9"/>
    <w:rsid w:val="0040108F"/>
    <w:rsid w:val="00401334"/>
    <w:rsid w:val="0040187E"/>
    <w:rsid w:val="00402143"/>
    <w:rsid w:val="004023DC"/>
    <w:rsid w:val="004025DE"/>
    <w:rsid w:val="004026A8"/>
    <w:rsid w:val="00402789"/>
    <w:rsid w:val="0040287A"/>
    <w:rsid w:val="00403122"/>
    <w:rsid w:val="00403233"/>
    <w:rsid w:val="00403256"/>
    <w:rsid w:val="00403A11"/>
    <w:rsid w:val="004043ED"/>
    <w:rsid w:val="0040471E"/>
    <w:rsid w:val="00404910"/>
    <w:rsid w:val="004049F9"/>
    <w:rsid w:val="00404B90"/>
    <w:rsid w:val="00404F14"/>
    <w:rsid w:val="00404F53"/>
    <w:rsid w:val="0040529C"/>
    <w:rsid w:val="004059B5"/>
    <w:rsid w:val="00405E09"/>
    <w:rsid w:val="00405F2F"/>
    <w:rsid w:val="00405F79"/>
    <w:rsid w:val="004065E4"/>
    <w:rsid w:val="00406916"/>
    <w:rsid w:val="00406ADE"/>
    <w:rsid w:val="00406D15"/>
    <w:rsid w:val="00406F79"/>
    <w:rsid w:val="004072EC"/>
    <w:rsid w:val="00407345"/>
    <w:rsid w:val="0040772B"/>
    <w:rsid w:val="00407862"/>
    <w:rsid w:val="004078AC"/>
    <w:rsid w:val="004100AE"/>
    <w:rsid w:val="00410493"/>
    <w:rsid w:val="004104AE"/>
    <w:rsid w:val="00410C6A"/>
    <w:rsid w:val="00411275"/>
    <w:rsid w:val="004116C4"/>
    <w:rsid w:val="0041173A"/>
    <w:rsid w:val="00411F2F"/>
    <w:rsid w:val="0041224B"/>
    <w:rsid w:val="00412423"/>
    <w:rsid w:val="0041256A"/>
    <w:rsid w:val="00412A29"/>
    <w:rsid w:val="00412B78"/>
    <w:rsid w:val="00412C7C"/>
    <w:rsid w:val="0041334F"/>
    <w:rsid w:val="004137A3"/>
    <w:rsid w:val="004139DD"/>
    <w:rsid w:val="00413BFA"/>
    <w:rsid w:val="0041423A"/>
    <w:rsid w:val="00414348"/>
    <w:rsid w:val="004144D1"/>
    <w:rsid w:val="004145D9"/>
    <w:rsid w:val="00414D55"/>
    <w:rsid w:val="00414F1E"/>
    <w:rsid w:val="0041513E"/>
    <w:rsid w:val="0041564F"/>
    <w:rsid w:val="0041592B"/>
    <w:rsid w:val="00415934"/>
    <w:rsid w:val="00415CA9"/>
    <w:rsid w:val="004164FA"/>
    <w:rsid w:val="00416765"/>
    <w:rsid w:val="004167AC"/>
    <w:rsid w:val="00416830"/>
    <w:rsid w:val="00416F6D"/>
    <w:rsid w:val="00416FB9"/>
    <w:rsid w:val="0041705E"/>
    <w:rsid w:val="004175F7"/>
    <w:rsid w:val="004177AE"/>
    <w:rsid w:val="00417854"/>
    <w:rsid w:val="004200AA"/>
    <w:rsid w:val="004200D7"/>
    <w:rsid w:val="0042034B"/>
    <w:rsid w:val="0042050E"/>
    <w:rsid w:val="004206AC"/>
    <w:rsid w:val="004206B5"/>
    <w:rsid w:val="00421471"/>
    <w:rsid w:val="0042161D"/>
    <w:rsid w:val="00421AB5"/>
    <w:rsid w:val="004226EC"/>
    <w:rsid w:val="00422834"/>
    <w:rsid w:val="0042294E"/>
    <w:rsid w:val="00422A28"/>
    <w:rsid w:val="00422BB3"/>
    <w:rsid w:val="00422BD6"/>
    <w:rsid w:val="00422BE4"/>
    <w:rsid w:val="00422D68"/>
    <w:rsid w:val="00422F2B"/>
    <w:rsid w:val="004230E8"/>
    <w:rsid w:val="004235DD"/>
    <w:rsid w:val="00423E0F"/>
    <w:rsid w:val="00423E28"/>
    <w:rsid w:val="00424334"/>
    <w:rsid w:val="00424720"/>
    <w:rsid w:val="004247DA"/>
    <w:rsid w:val="0042499E"/>
    <w:rsid w:val="00424EE7"/>
    <w:rsid w:val="00425763"/>
    <w:rsid w:val="0042598A"/>
    <w:rsid w:val="00425A90"/>
    <w:rsid w:val="00425D6E"/>
    <w:rsid w:val="00426933"/>
    <w:rsid w:val="0042697E"/>
    <w:rsid w:val="00426B73"/>
    <w:rsid w:val="00426C8F"/>
    <w:rsid w:val="004272D4"/>
    <w:rsid w:val="00427367"/>
    <w:rsid w:val="0042793A"/>
    <w:rsid w:val="004300D9"/>
    <w:rsid w:val="004301C6"/>
    <w:rsid w:val="004301EB"/>
    <w:rsid w:val="00430273"/>
    <w:rsid w:val="004307D6"/>
    <w:rsid w:val="0043081C"/>
    <w:rsid w:val="00430D62"/>
    <w:rsid w:val="00430E89"/>
    <w:rsid w:val="004311D2"/>
    <w:rsid w:val="00431508"/>
    <w:rsid w:val="00431993"/>
    <w:rsid w:val="004321F7"/>
    <w:rsid w:val="004322D7"/>
    <w:rsid w:val="00432320"/>
    <w:rsid w:val="00432641"/>
    <w:rsid w:val="004326C5"/>
    <w:rsid w:val="004327C3"/>
    <w:rsid w:val="0043289C"/>
    <w:rsid w:val="00432F83"/>
    <w:rsid w:val="00433056"/>
    <w:rsid w:val="00433921"/>
    <w:rsid w:val="00433A08"/>
    <w:rsid w:val="00433A5C"/>
    <w:rsid w:val="00433C9A"/>
    <w:rsid w:val="00434053"/>
    <w:rsid w:val="00434531"/>
    <w:rsid w:val="004351D1"/>
    <w:rsid w:val="00435264"/>
    <w:rsid w:val="0043538D"/>
    <w:rsid w:val="004353E2"/>
    <w:rsid w:val="004355C3"/>
    <w:rsid w:val="004355C8"/>
    <w:rsid w:val="004357B8"/>
    <w:rsid w:val="00435B2C"/>
    <w:rsid w:val="00435C9F"/>
    <w:rsid w:val="00435F80"/>
    <w:rsid w:val="0043607C"/>
    <w:rsid w:val="004361E9"/>
    <w:rsid w:val="00436267"/>
    <w:rsid w:val="004362AC"/>
    <w:rsid w:val="004367B6"/>
    <w:rsid w:val="00436902"/>
    <w:rsid w:val="004372FA"/>
    <w:rsid w:val="00437392"/>
    <w:rsid w:val="004373A0"/>
    <w:rsid w:val="00437693"/>
    <w:rsid w:val="00440063"/>
    <w:rsid w:val="004402C8"/>
    <w:rsid w:val="004407FF"/>
    <w:rsid w:val="00440826"/>
    <w:rsid w:val="0044088D"/>
    <w:rsid w:val="004408A8"/>
    <w:rsid w:val="00440AF6"/>
    <w:rsid w:val="00440B97"/>
    <w:rsid w:val="00440D67"/>
    <w:rsid w:val="00440E4F"/>
    <w:rsid w:val="00441329"/>
    <w:rsid w:val="00441504"/>
    <w:rsid w:val="00441998"/>
    <w:rsid w:val="00441AFF"/>
    <w:rsid w:val="00441CB6"/>
    <w:rsid w:val="00441F8C"/>
    <w:rsid w:val="004424FB"/>
    <w:rsid w:val="004425FF"/>
    <w:rsid w:val="004429DF"/>
    <w:rsid w:val="004430AE"/>
    <w:rsid w:val="00443286"/>
    <w:rsid w:val="004435D9"/>
    <w:rsid w:val="004435DD"/>
    <w:rsid w:val="00443B0E"/>
    <w:rsid w:val="00443D7A"/>
    <w:rsid w:val="00443D94"/>
    <w:rsid w:val="00444240"/>
    <w:rsid w:val="0044429A"/>
    <w:rsid w:val="004442A3"/>
    <w:rsid w:val="0044452B"/>
    <w:rsid w:val="0044483C"/>
    <w:rsid w:val="004452BC"/>
    <w:rsid w:val="004452F0"/>
    <w:rsid w:val="004454A4"/>
    <w:rsid w:val="004455BE"/>
    <w:rsid w:val="0044571C"/>
    <w:rsid w:val="00446AA2"/>
    <w:rsid w:val="00446B7A"/>
    <w:rsid w:val="00446BED"/>
    <w:rsid w:val="00446BFA"/>
    <w:rsid w:val="0044700B"/>
    <w:rsid w:val="00447015"/>
    <w:rsid w:val="004472B5"/>
    <w:rsid w:val="004474BD"/>
    <w:rsid w:val="0044787B"/>
    <w:rsid w:val="00447C28"/>
    <w:rsid w:val="00447C5C"/>
    <w:rsid w:val="00447E55"/>
    <w:rsid w:val="004500F5"/>
    <w:rsid w:val="004501BA"/>
    <w:rsid w:val="0045045C"/>
    <w:rsid w:val="004506A7"/>
    <w:rsid w:val="00450768"/>
    <w:rsid w:val="004507C3"/>
    <w:rsid w:val="004509AF"/>
    <w:rsid w:val="00450C28"/>
    <w:rsid w:val="0045184A"/>
    <w:rsid w:val="00451C27"/>
    <w:rsid w:val="00451EA7"/>
    <w:rsid w:val="00452901"/>
    <w:rsid w:val="00452CAB"/>
    <w:rsid w:val="00453453"/>
    <w:rsid w:val="00453524"/>
    <w:rsid w:val="0045456F"/>
    <w:rsid w:val="004547AC"/>
    <w:rsid w:val="00454A40"/>
    <w:rsid w:val="00455427"/>
    <w:rsid w:val="00455565"/>
    <w:rsid w:val="004555F2"/>
    <w:rsid w:val="0045584D"/>
    <w:rsid w:val="00455E17"/>
    <w:rsid w:val="00455E4A"/>
    <w:rsid w:val="00455EBB"/>
    <w:rsid w:val="00455FD7"/>
    <w:rsid w:val="00456218"/>
    <w:rsid w:val="00456978"/>
    <w:rsid w:val="00457005"/>
    <w:rsid w:val="0045707F"/>
    <w:rsid w:val="0045765A"/>
    <w:rsid w:val="004578C1"/>
    <w:rsid w:val="00457D8D"/>
    <w:rsid w:val="00457F93"/>
    <w:rsid w:val="0046001D"/>
    <w:rsid w:val="004600B1"/>
    <w:rsid w:val="0046015A"/>
    <w:rsid w:val="00460424"/>
    <w:rsid w:val="00460F90"/>
    <w:rsid w:val="00461102"/>
    <w:rsid w:val="004616EF"/>
    <w:rsid w:val="0046188F"/>
    <w:rsid w:val="00461ADC"/>
    <w:rsid w:val="00461E33"/>
    <w:rsid w:val="00462184"/>
    <w:rsid w:val="004623C3"/>
    <w:rsid w:val="00462698"/>
    <w:rsid w:val="00462881"/>
    <w:rsid w:val="00462A47"/>
    <w:rsid w:val="00462EBF"/>
    <w:rsid w:val="00463060"/>
    <w:rsid w:val="004630A5"/>
    <w:rsid w:val="004632A0"/>
    <w:rsid w:val="0046346C"/>
    <w:rsid w:val="00463597"/>
    <w:rsid w:val="00463961"/>
    <w:rsid w:val="00463ECB"/>
    <w:rsid w:val="00463F50"/>
    <w:rsid w:val="00464534"/>
    <w:rsid w:val="00464DC9"/>
    <w:rsid w:val="00464F21"/>
    <w:rsid w:val="00465018"/>
    <w:rsid w:val="004653E8"/>
    <w:rsid w:val="00465DD7"/>
    <w:rsid w:val="00465E68"/>
    <w:rsid w:val="00465F32"/>
    <w:rsid w:val="00466001"/>
    <w:rsid w:val="004660D4"/>
    <w:rsid w:val="00466AE9"/>
    <w:rsid w:val="00466E13"/>
    <w:rsid w:val="00466FEA"/>
    <w:rsid w:val="0046748D"/>
    <w:rsid w:val="00467986"/>
    <w:rsid w:val="00467B9C"/>
    <w:rsid w:val="00470090"/>
    <w:rsid w:val="00470130"/>
    <w:rsid w:val="00470602"/>
    <w:rsid w:val="004707BB"/>
    <w:rsid w:val="004712D0"/>
    <w:rsid w:val="00471363"/>
    <w:rsid w:val="004713FE"/>
    <w:rsid w:val="004717D1"/>
    <w:rsid w:val="0047186A"/>
    <w:rsid w:val="00472314"/>
    <w:rsid w:val="00472860"/>
    <w:rsid w:val="00472868"/>
    <w:rsid w:val="00472884"/>
    <w:rsid w:val="00472909"/>
    <w:rsid w:val="0047382C"/>
    <w:rsid w:val="00473884"/>
    <w:rsid w:val="00473B50"/>
    <w:rsid w:val="00473FDA"/>
    <w:rsid w:val="00474B09"/>
    <w:rsid w:val="00474E34"/>
    <w:rsid w:val="00474F7E"/>
    <w:rsid w:val="00475068"/>
    <w:rsid w:val="00475263"/>
    <w:rsid w:val="00475360"/>
    <w:rsid w:val="00475595"/>
    <w:rsid w:val="0047562E"/>
    <w:rsid w:val="0047570D"/>
    <w:rsid w:val="00475BFA"/>
    <w:rsid w:val="0047620D"/>
    <w:rsid w:val="00476211"/>
    <w:rsid w:val="00476505"/>
    <w:rsid w:val="00476684"/>
    <w:rsid w:val="004770C4"/>
    <w:rsid w:val="004772F9"/>
    <w:rsid w:val="004775E4"/>
    <w:rsid w:val="004776DD"/>
    <w:rsid w:val="00477805"/>
    <w:rsid w:val="004778BF"/>
    <w:rsid w:val="00477964"/>
    <w:rsid w:val="004779CD"/>
    <w:rsid w:val="00477D1E"/>
    <w:rsid w:val="004801BF"/>
    <w:rsid w:val="004801FF"/>
    <w:rsid w:val="0048095C"/>
    <w:rsid w:val="00480AC4"/>
    <w:rsid w:val="00480BC9"/>
    <w:rsid w:val="00480E2D"/>
    <w:rsid w:val="00480EFD"/>
    <w:rsid w:val="00480F73"/>
    <w:rsid w:val="004810B5"/>
    <w:rsid w:val="004813B0"/>
    <w:rsid w:val="0048196C"/>
    <w:rsid w:val="00481D21"/>
    <w:rsid w:val="00481DB0"/>
    <w:rsid w:val="004822FE"/>
    <w:rsid w:val="0048246F"/>
    <w:rsid w:val="004828B8"/>
    <w:rsid w:val="00482AE3"/>
    <w:rsid w:val="00482B3D"/>
    <w:rsid w:val="004835DB"/>
    <w:rsid w:val="00483A60"/>
    <w:rsid w:val="00483C1B"/>
    <w:rsid w:val="004840D4"/>
    <w:rsid w:val="004845DC"/>
    <w:rsid w:val="0048524D"/>
    <w:rsid w:val="0048541D"/>
    <w:rsid w:val="00485749"/>
    <w:rsid w:val="00485E5D"/>
    <w:rsid w:val="0048617A"/>
    <w:rsid w:val="0048636C"/>
    <w:rsid w:val="00487689"/>
    <w:rsid w:val="004876EB"/>
    <w:rsid w:val="00487D68"/>
    <w:rsid w:val="004903D3"/>
    <w:rsid w:val="0049162C"/>
    <w:rsid w:val="004918EF"/>
    <w:rsid w:val="00491959"/>
    <w:rsid w:val="004919DD"/>
    <w:rsid w:val="0049211B"/>
    <w:rsid w:val="0049213F"/>
    <w:rsid w:val="00492E50"/>
    <w:rsid w:val="00493101"/>
    <w:rsid w:val="00493248"/>
    <w:rsid w:val="004935AE"/>
    <w:rsid w:val="004935C2"/>
    <w:rsid w:val="00493808"/>
    <w:rsid w:val="00493D91"/>
    <w:rsid w:val="0049401C"/>
    <w:rsid w:val="00494080"/>
    <w:rsid w:val="0049413F"/>
    <w:rsid w:val="004944D3"/>
    <w:rsid w:val="00494536"/>
    <w:rsid w:val="00494823"/>
    <w:rsid w:val="00494E2C"/>
    <w:rsid w:val="00494E2D"/>
    <w:rsid w:val="00494E4E"/>
    <w:rsid w:val="0049525E"/>
    <w:rsid w:val="0049528B"/>
    <w:rsid w:val="0049587E"/>
    <w:rsid w:val="0049633D"/>
    <w:rsid w:val="00496380"/>
    <w:rsid w:val="0049714C"/>
    <w:rsid w:val="00497289"/>
    <w:rsid w:val="0049752E"/>
    <w:rsid w:val="00497679"/>
    <w:rsid w:val="00497819"/>
    <w:rsid w:val="00497B13"/>
    <w:rsid w:val="00497B14"/>
    <w:rsid w:val="00497DCD"/>
    <w:rsid w:val="00497F71"/>
    <w:rsid w:val="004A04B0"/>
    <w:rsid w:val="004A05C0"/>
    <w:rsid w:val="004A0868"/>
    <w:rsid w:val="004A0A4B"/>
    <w:rsid w:val="004A0D4B"/>
    <w:rsid w:val="004A0E65"/>
    <w:rsid w:val="004A1074"/>
    <w:rsid w:val="004A165E"/>
    <w:rsid w:val="004A1B9C"/>
    <w:rsid w:val="004A1BC3"/>
    <w:rsid w:val="004A2FD5"/>
    <w:rsid w:val="004A3749"/>
    <w:rsid w:val="004A3E8F"/>
    <w:rsid w:val="004A3F01"/>
    <w:rsid w:val="004A4507"/>
    <w:rsid w:val="004A4760"/>
    <w:rsid w:val="004A47D3"/>
    <w:rsid w:val="004A491E"/>
    <w:rsid w:val="004A4B36"/>
    <w:rsid w:val="004A4B88"/>
    <w:rsid w:val="004A4D81"/>
    <w:rsid w:val="004A4F7A"/>
    <w:rsid w:val="004A553D"/>
    <w:rsid w:val="004A56DE"/>
    <w:rsid w:val="004A57AB"/>
    <w:rsid w:val="004A5CAD"/>
    <w:rsid w:val="004A601B"/>
    <w:rsid w:val="004A6036"/>
    <w:rsid w:val="004A619A"/>
    <w:rsid w:val="004A61FC"/>
    <w:rsid w:val="004A6673"/>
    <w:rsid w:val="004A690A"/>
    <w:rsid w:val="004A6B78"/>
    <w:rsid w:val="004A6CAA"/>
    <w:rsid w:val="004A6DDF"/>
    <w:rsid w:val="004A6F3D"/>
    <w:rsid w:val="004A75A7"/>
    <w:rsid w:val="004A7669"/>
    <w:rsid w:val="004A77A6"/>
    <w:rsid w:val="004A77F1"/>
    <w:rsid w:val="004A790A"/>
    <w:rsid w:val="004A7966"/>
    <w:rsid w:val="004A7D23"/>
    <w:rsid w:val="004B0083"/>
    <w:rsid w:val="004B009A"/>
    <w:rsid w:val="004B0352"/>
    <w:rsid w:val="004B04BB"/>
    <w:rsid w:val="004B0515"/>
    <w:rsid w:val="004B0C21"/>
    <w:rsid w:val="004B0DE4"/>
    <w:rsid w:val="004B1A52"/>
    <w:rsid w:val="004B209D"/>
    <w:rsid w:val="004B20FF"/>
    <w:rsid w:val="004B22D9"/>
    <w:rsid w:val="004B2316"/>
    <w:rsid w:val="004B23C4"/>
    <w:rsid w:val="004B275D"/>
    <w:rsid w:val="004B299D"/>
    <w:rsid w:val="004B2B07"/>
    <w:rsid w:val="004B2B7D"/>
    <w:rsid w:val="004B2FA8"/>
    <w:rsid w:val="004B3157"/>
    <w:rsid w:val="004B336F"/>
    <w:rsid w:val="004B35A6"/>
    <w:rsid w:val="004B3A71"/>
    <w:rsid w:val="004B3CC0"/>
    <w:rsid w:val="004B4113"/>
    <w:rsid w:val="004B4351"/>
    <w:rsid w:val="004B43C3"/>
    <w:rsid w:val="004B4CBD"/>
    <w:rsid w:val="004B4CCB"/>
    <w:rsid w:val="004B5234"/>
    <w:rsid w:val="004B54BB"/>
    <w:rsid w:val="004B574B"/>
    <w:rsid w:val="004B5C59"/>
    <w:rsid w:val="004B5C64"/>
    <w:rsid w:val="004B5DE4"/>
    <w:rsid w:val="004B5F1D"/>
    <w:rsid w:val="004B6836"/>
    <w:rsid w:val="004B6D94"/>
    <w:rsid w:val="004B6EB0"/>
    <w:rsid w:val="004B7836"/>
    <w:rsid w:val="004B78B8"/>
    <w:rsid w:val="004B7A31"/>
    <w:rsid w:val="004C07E2"/>
    <w:rsid w:val="004C08CC"/>
    <w:rsid w:val="004C0AA6"/>
    <w:rsid w:val="004C0B01"/>
    <w:rsid w:val="004C12FB"/>
    <w:rsid w:val="004C13B8"/>
    <w:rsid w:val="004C1C25"/>
    <w:rsid w:val="004C1D5B"/>
    <w:rsid w:val="004C1E6E"/>
    <w:rsid w:val="004C2138"/>
    <w:rsid w:val="004C25E6"/>
    <w:rsid w:val="004C268F"/>
    <w:rsid w:val="004C27F1"/>
    <w:rsid w:val="004C29D7"/>
    <w:rsid w:val="004C2CC0"/>
    <w:rsid w:val="004C2D74"/>
    <w:rsid w:val="004C2EF7"/>
    <w:rsid w:val="004C36B0"/>
    <w:rsid w:val="004C40A2"/>
    <w:rsid w:val="004C4187"/>
    <w:rsid w:val="004C4192"/>
    <w:rsid w:val="004C449C"/>
    <w:rsid w:val="004C4523"/>
    <w:rsid w:val="004C455E"/>
    <w:rsid w:val="004C4686"/>
    <w:rsid w:val="004C4704"/>
    <w:rsid w:val="004C49F7"/>
    <w:rsid w:val="004C4D7D"/>
    <w:rsid w:val="004C4D97"/>
    <w:rsid w:val="004C4E7B"/>
    <w:rsid w:val="004C51C4"/>
    <w:rsid w:val="004C552E"/>
    <w:rsid w:val="004C57CD"/>
    <w:rsid w:val="004C59F2"/>
    <w:rsid w:val="004C5AC9"/>
    <w:rsid w:val="004C6073"/>
    <w:rsid w:val="004C6901"/>
    <w:rsid w:val="004C69F7"/>
    <w:rsid w:val="004C6F7E"/>
    <w:rsid w:val="004C6FB7"/>
    <w:rsid w:val="004C71B2"/>
    <w:rsid w:val="004C7577"/>
    <w:rsid w:val="004C778C"/>
    <w:rsid w:val="004C7933"/>
    <w:rsid w:val="004C79FF"/>
    <w:rsid w:val="004C7A23"/>
    <w:rsid w:val="004C7BA8"/>
    <w:rsid w:val="004D0348"/>
    <w:rsid w:val="004D098F"/>
    <w:rsid w:val="004D0ADD"/>
    <w:rsid w:val="004D0C58"/>
    <w:rsid w:val="004D160C"/>
    <w:rsid w:val="004D1DFF"/>
    <w:rsid w:val="004D209D"/>
    <w:rsid w:val="004D20EA"/>
    <w:rsid w:val="004D2A10"/>
    <w:rsid w:val="004D2EC8"/>
    <w:rsid w:val="004D34C3"/>
    <w:rsid w:val="004D384B"/>
    <w:rsid w:val="004D39E5"/>
    <w:rsid w:val="004D3E67"/>
    <w:rsid w:val="004D41CC"/>
    <w:rsid w:val="004D4387"/>
    <w:rsid w:val="004D51DF"/>
    <w:rsid w:val="004D59F8"/>
    <w:rsid w:val="004D5D40"/>
    <w:rsid w:val="004D5E98"/>
    <w:rsid w:val="004D7156"/>
    <w:rsid w:val="004D794A"/>
    <w:rsid w:val="004D7B93"/>
    <w:rsid w:val="004D7CEA"/>
    <w:rsid w:val="004E0316"/>
    <w:rsid w:val="004E0C8D"/>
    <w:rsid w:val="004E0CE9"/>
    <w:rsid w:val="004E13CF"/>
    <w:rsid w:val="004E13DE"/>
    <w:rsid w:val="004E1595"/>
    <w:rsid w:val="004E17E5"/>
    <w:rsid w:val="004E184B"/>
    <w:rsid w:val="004E1FBB"/>
    <w:rsid w:val="004E2435"/>
    <w:rsid w:val="004E2C95"/>
    <w:rsid w:val="004E3190"/>
    <w:rsid w:val="004E356D"/>
    <w:rsid w:val="004E3778"/>
    <w:rsid w:val="004E37D1"/>
    <w:rsid w:val="004E3AE0"/>
    <w:rsid w:val="004E3E66"/>
    <w:rsid w:val="004E4048"/>
    <w:rsid w:val="004E42BB"/>
    <w:rsid w:val="004E4643"/>
    <w:rsid w:val="004E4A71"/>
    <w:rsid w:val="004E4E06"/>
    <w:rsid w:val="004E4E38"/>
    <w:rsid w:val="004E5384"/>
    <w:rsid w:val="004E56C8"/>
    <w:rsid w:val="004E5884"/>
    <w:rsid w:val="004E5F78"/>
    <w:rsid w:val="004E60FA"/>
    <w:rsid w:val="004E6203"/>
    <w:rsid w:val="004E63C8"/>
    <w:rsid w:val="004E6896"/>
    <w:rsid w:val="004E6A9A"/>
    <w:rsid w:val="004E6D11"/>
    <w:rsid w:val="004E6D1D"/>
    <w:rsid w:val="004E7108"/>
    <w:rsid w:val="004E72B3"/>
    <w:rsid w:val="004E752A"/>
    <w:rsid w:val="004E7530"/>
    <w:rsid w:val="004E75C2"/>
    <w:rsid w:val="004E76C5"/>
    <w:rsid w:val="004E78AF"/>
    <w:rsid w:val="004E7DAB"/>
    <w:rsid w:val="004E7DAE"/>
    <w:rsid w:val="004E7FCD"/>
    <w:rsid w:val="004F00A9"/>
    <w:rsid w:val="004F00C5"/>
    <w:rsid w:val="004F09CF"/>
    <w:rsid w:val="004F0A15"/>
    <w:rsid w:val="004F1202"/>
    <w:rsid w:val="004F16CC"/>
    <w:rsid w:val="004F183A"/>
    <w:rsid w:val="004F1D17"/>
    <w:rsid w:val="004F238A"/>
    <w:rsid w:val="004F2E2F"/>
    <w:rsid w:val="004F2FD2"/>
    <w:rsid w:val="004F3132"/>
    <w:rsid w:val="004F3741"/>
    <w:rsid w:val="004F390A"/>
    <w:rsid w:val="004F3ABC"/>
    <w:rsid w:val="004F3B71"/>
    <w:rsid w:val="004F4579"/>
    <w:rsid w:val="004F4C95"/>
    <w:rsid w:val="004F53AB"/>
    <w:rsid w:val="004F540F"/>
    <w:rsid w:val="004F5992"/>
    <w:rsid w:val="004F5C44"/>
    <w:rsid w:val="004F67C2"/>
    <w:rsid w:val="004F6834"/>
    <w:rsid w:val="004F6BF5"/>
    <w:rsid w:val="004F6E74"/>
    <w:rsid w:val="004F73F3"/>
    <w:rsid w:val="004F73F6"/>
    <w:rsid w:val="004F7CF6"/>
    <w:rsid w:val="0050012D"/>
    <w:rsid w:val="0050020B"/>
    <w:rsid w:val="005009A7"/>
    <w:rsid w:val="00500BA2"/>
    <w:rsid w:val="00500CFD"/>
    <w:rsid w:val="00501310"/>
    <w:rsid w:val="0050141A"/>
    <w:rsid w:val="005014AB"/>
    <w:rsid w:val="005016FD"/>
    <w:rsid w:val="0050178E"/>
    <w:rsid w:val="00501799"/>
    <w:rsid w:val="00501A80"/>
    <w:rsid w:val="00501B77"/>
    <w:rsid w:val="00501F5E"/>
    <w:rsid w:val="005022D6"/>
    <w:rsid w:val="005024B8"/>
    <w:rsid w:val="0050261D"/>
    <w:rsid w:val="0050296D"/>
    <w:rsid w:val="00502C08"/>
    <w:rsid w:val="00502C09"/>
    <w:rsid w:val="00502C80"/>
    <w:rsid w:val="00502D58"/>
    <w:rsid w:val="00503A6B"/>
    <w:rsid w:val="0050424A"/>
    <w:rsid w:val="0050482B"/>
    <w:rsid w:val="005048E8"/>
    <w:rsid w:val="00505110"/>
    <w:rsid w:val="0050512E"/>
    <w:rsid w:val="005060C9"/>
    <w:rsid w:val="00506130"/>
    <w:rsid w:val="0050613D"/>
    <w:rsid w:val="0050691C"/>
    <w:rsid w:val="005070A2"/>
    <w:rsid w:val="005070E7"/>
    <w:rsid w:val="0050743A"/>
    <w:rsid w:val="00507A34"/>
    <w:rsid w:val="00507B41"/>
    <w:rsid w:val="00507BCA"/>
    <w:rsid w:val="00507E46"/>
    <w:rsid w:val="00507FDD"/>
    <w:rsid w:val="0051034D"/>
    <w:rsid w:val="00510405"/>
    <w:rsid w:val="0051091E"/>
    <w:rsid w:val="00510B19"/>
    <w:rsid w:val="00510B32"/>
    <w:rsid w:val="00510C14"/>
    <w:rsid w:val="00510DCC"/>
    <w:rsid w:val="00510F32"/>
    <w:rsid w:val="00511030"/>
    <w:rsid w:val="00511208"/>
    <w:rsid w:val="005112B3"/>
    <w:rsid w:val="005115AD"/>
    <w:rsid w:val="00511AF2"/>
    <w:rsid w:val="00511CBD"/>
    <w:rsid w:val="005120A3"/>
    <w:rsid w:val="00512328"/>
    <w:rsid w:val="005126B5"/>
    <w:rsid w:val="00512ACC"/>
    <w:rsid w:val="00512C5C"/>
    <w:rsid w:val="005131CD"/>
    <w:rsid w:val="0051394A"/>
    <w:rsid w:val="00513980"/>
    <w:rsid w:val="00513F36"/>
    <w:rsid w:val="0051417F"/>
    <w:rsid w:val="00514666"/>
    <w:rsid w:val="005149FB"/>
    <w:rsid w:val="00514AA2"/>
    <w:rsid w:val="00514DA7"/>
    <w:rsid w:val="00514F9E"/>
    <w:rsid w:val="0051520A"/>
    <w:rsid w:val="005152CD"/>
    <w:rsid w:val="00515545"/>
    <w:rsid w:val="00515616"/>
    <w:rsid w:val="0051561E"/>
    <w:rsid w:val="0051577E"/>
    <w:rsid w:val="00515C96"/>
    <w:rsid w:val="00515DC1"/>
    <w:rsid w:val="00515DCF"/>
    <w:rsid w:val="0051622D"/>
    <w:rsid w:val="005162B5"/>
    <w:rsid w:val="005162BD"/>
    <w:rsid w:val="005163F9"/>
    <w:rsid w:val="00516440"/>
    <w:rsid w:val="00516624"/>
    <w:rsid w:val="00516AD2"/>
    <w:rsid w:val="00516EA7"/>
    <w:rsid w:val="00516F91"/>
    <w:rsid w:val="005173C5"/>
    <w:rsid w:val="00517676"/>
    <w:rsid w:val="005178FF"/>
    <w:rsid w:val="00517AF6"/>
    <w:rsid w:val="00517F16"/>
    <w:rsid w:val="0052006B"/>
    <w:rsid w:val="0052034A"/>
    <w:rsid w:val="00520522"/>
    <w:rsid w:val="005205F2"/>
    <w:rsid w:val="005206D5"/>
    <w:rsid w:val="005206E1"/>
    <w:rsid w:val="005217B7"/>
    <w:rsid w:val="005218EB"/>
    <w:rsid w:val="005218FE"/>
    <w:rsid w:val="00521B1A"/>
    <w:rsid w:val="00521D41"/>
    <w:rsid w:val="005223B2"/>
    <w:rsid w:val="005224DC"/>
    <w:rsid w:val="00522740"/>
    <w:rsid w:val="0052321D"/>
    <w:rsid w:val="005239BF"/>
    <w:rsid w:val="00523D7B"/>
    <w:rsid w:val="00523F74"/>
    <w:rsid w:val="005241FA"/>
    <w:rsid w:val="00524803"/>
    <w:rsid w:val="00524831"/>
    <w:rsid w:val="00524C9C"/>
    <w:rsid w:val="00524CE9"/>
    <w:rsid w:val="0052501C"/>
    <w:rsid w:val="0052569A"/>
    <w:rsid w:val="005256CE"/>
    <w:rsid w:val="005265F7"/>
    <w:rsid w:val="005267F7"/>
    <w:rsid w:val="00526BFC"/>
    <w:rsid w:val="005270F3"/>
    <w:rsid w:val="00527989"/>
    <w:rsid w:val="00527A23"/>
    <w:rsid w:val="00527AC1"/>
    <w:rsid w:val="00527D34"/>
    <w:rsid w:val="00527E51"/>
    <w:rsid w:val="0053021D"/>
    <w:rsid w:val="0053039A"/>
    <w:rsid w:val="005308F5"/>
    <w:rsid w:val="00530ABF"/>
    <w:rsid w:val="00530C63"/>
    <w:rsid w:val="00530D91"/>
    <w:rsid w:val="0053140F"/>
    <w:rsid w:val="00531B1C"/>
    <w:rsid w:val="00531D64"/>
    <w:rsid w:val="00532009"/>
    <w:rsid w:val="005321D7"/>
    <w:rsid w:val="00532A0B"/>
    <w:rsid w:val="0053330C"/>
    <w:rsid w:val="005334A3"/>
    <w:rsid w:val="00533701"/>
    <w:rsid w:val="00533877"/>
    <w:rsid w:val="00533E19"/>
    <w:rsid w:val="00533F64"/>
    <w:rsid w:val="005340A1"/>
    <w:rsid w:val="0053462C"/>
    <w:rsid w:val="005346EF"/>
    <w:rsid w:val="0053490E"/>
    <w:rsid w:val="0053500C"/>
    <w:rsid w:val="00535336"/>
    <w:rsid w:val="0053550F"/>
    <w:rsid w:val="0053565F"/>
    <w:rsid w:val="00535864"/>
    <w:rsid w:val="005358AC"/>
    <w:rsid w:val="00535A82"/>
    <w:rsid w:val="00535BE8"/>
    <w:rsid w:val="00535E05"/>
    <w:rsid w:val="005362C3"/>
    <w:rsid w:val="00536804"/>
    <w:rsid w:val="00536826"/>
    <w:rsid w:val="0053687B"/>
    <w:rsid w:val="00536C23"/>
    <w:rsid w:val="00537444"/>
    <w:rsid w:val="00537518"/>
    <w:rsid w:val="00537569"/>
    <w:rsid w:val="00537999"/>
    <w:rsid w:val="00537D92"/>
    <w:rsid w:val="005401E3"/>
    <w:rsid w:val="005402E0"/>
    <w:rsid w:val="0054032D"/>
    <w:rsid w:val="00540987"/>
    <w:rsid w:val="00540C1D"/>
    <w:rsid w:val="00540D83"/>
    <w:rsid w:val="00540E09"/>
    <w:rsid w:val="00540E8D"/>
    <w:rsid w:val="00541133"/>
    <w:rsid w:val="005412C1"/>
    <w:rsid w:val="00541BA5"/>
    <w:rsid w:val="00541C60"/>
    <w:rsid w:val="00541CBA"/>
    <w:rsid w:val="005427BA"/>
    <w:rsid w:val="005429FA"/>
    <w:rsid w:val="00542AE7"/>
    <w:rsid w:val="00542E44"/>
    <w:rsid w:val="00543532"/>
    <w:rsid w:val="00543603"/>
    <w:rsid w:val="005436BD"/>
    <w:rsid w:val="0054406C"/>
    <w:rsid w:val="00544212"/>
    <w:rsid w:val="0054433F"/>
    <w:rsid w:val="005443EE"/>
    <w:rsid w:val="0054487C"/>
    <w:rsid w:val="00544940"/>
    <w:rsid w:val="00544D10"/>
    <w:rsid w:val="00544DC2"/>
    <w:rsid w:val="00545199"/>
    <w:rsid w:val="00545642"/>
    <w:rsid w:val="00545643"/>
    <w:rsid w:val="00545741"/>
    <w:rsid w:val="00545AB3"/>
    <w:rsid w:val="005460D4"/>
    <w:rsid w:val="005467B5"/>
    <w:rsid w:val="00546BB9"/>
    <w:rsid w:val="00546BCD"/>
    <w:rsid w:val="005471E4"/>
    <w:rsid w:val="005471FE"/>
    <w:rsid w:val="00547231"/>
    <w:rsid w:val="0054757D"/>
    <w:rsid w:val="005477EA"/>
    <w:rsid w:val="00547A99"/>
    <w:rsid w:val="00550070"/>
    <w:rsid w:val="0055021C"/>
    <w:rsid w:val="00550319"/>
    <w:rsid w:val="005503F7"/>
    <w:rsid w:val="00550750"/>
    <w:rsid w:val="0055096D"/>
    <w:rsid w:val="00550AE3"/>
    <w:rsid w:val="00550DB4"/>
    <w:rsid w:val="00550F66"/>
    <w:rsid w:val="005518B8"/>
    <w:rsid w:val="00551B64"/>
    <w:rsid w:val="00551D7F"/>
    <w:rsid w:val="005523AB"/>
    <w:rsid w:val="00552ABE"/>
    <w:rsid w:val="0055320B"/>
    <w:rsid w:val="00553586"/>
    <w:rsid w:val="0055381C"/>
    <w:rsid w:val="005543AF"/>
    <w:rsid w:val="0055449E"/>
    <w:rsid w:val="005548D8"/>
    <w:rsid w:val="005550E6"/>
    <w:rsid w:val="005558D1"/>
    <w:rsid w:val="00555933"/>
    <w:rsid w:val="005559BA"/>
    <w:rsid w:val="00555E56"/>
    <w:rsid w:val="00555F5C"/>
    <w:rsid w:val="0055611B"/>
    <w:rsid w:val="005562BD"/>
    <w:rsid w:val="0055666D"/>
    <w:rsid w:val="0055676C"/>
    <w:rsid w:val="005570A3"/>
    <w:rsid w:val="005572FC"/>
    <w:rsid w:val="00557E2F"/>
    <w:rsid w:val="005603CD"/>
    <w:rsid w:val="005605F2"/>
    <w:rsid w:val="00560B77"/>
    <w:rsid w:val="00560BEA"/>
    <w:rsid w:val="00561052"/>
    <w:rsid w:val="00561530"/>
    <w:rsid w:val="00561559"/>
    <w:rsid w:val="00561B2A"/>
    <w:rsid w:val="00561C38"/>
    <w:rsid w:val="00561D87"/>
    <w:rsid w:val="00561DDE"/>
    <w:rsid w:val="0056202B"/>
    <w:rsid w:val="005620F5"/>
    <w:rsid w:val="00562C6C"/>
    <w:rsid w:val="00563359"/>
    <w:rsid w:val="005637BE"/>
    <w:rsid w:val="00563994"/>
    <w:rsid w:val="00563A63"/>
    <w:rsid w:val="00563AED"/>
    <w:rsid w:val="00563C77"/>
    <w:rsid w:val="0056449B"/>
    <w:rsid w:val="00564B5B"/>
    <w:rsid w:val="00564BFC"/>
    <w:rsid w:val="00564E0F"/>
    <w:rsid w:val="005651CA"/>
    <w:rsid w:val="005654A8"/>
    <w:rsid w:val="005654F1"/>
    <w:rsid w:val="005656C2"/>
    <w:rsid w:val="0056575B"/>
    <w:rsid w:val="005657A4"/>
    <w:rsid w:val="00565AFF"/>
    <w:rsid w:val="00565DAC"/>
    <w:rsid w:val="00565F2F"/>
    <w:rsid w:val="00566757"/>
    <w:rsid w:val="0056698A"/>
    <w:rsid w:val="00567083"/>
    <w:rsid w:val="005672C2"/>
    <w:rsid w:val="00567350"/>
    <w:rsid w:val="0056763B"/>
    <w:rsid w:val="00567A7F"/>
    <w:rsid w:val="00567B43"/>
    <w:rsid w:val="00567DA9"/>
    <w:rsid w:val="00570172"/>
    <w:rsid w:val="005701CA"/>
    <w:rsid w:val="005703ED"/>
    <w:rsid w:val="00570576"/>
    <w:rsid w:val="0057085D"/>
    <w:rsid w:val="005708BD"/>
    <w:rsid w:val="00570C50"/>
    <w:rsid w:val="00570F25"/>
    <w:rsid w:val="00570FFF"/>
    <w:rsid w:val="005711AB"/>
    <w:rsid w:val="005718FC"/>
    <w:rsid w:val="00571A33"/>
    <w:rsid w:val="005721B0"/>
    <w:rsid w:val="00572367"/>
    <w:rsid w:val="005726E9"/>
    <w:rsid w:val="00572CA6"/>
    <w:rsid w:val="00572D9C"/>
    <w:rsid w:val="005730C9"/>
    <w:rsid w:val="00573A68"/>
    <w:rsid w:val="00574723"/>
    <w:rsid w:val="0057479C"/>
    <w:rsid w:val="00574F4A"/>
    <w:rsid w:val="00575553"/>
    <w:rsid w:val="005757C9"/>
    <w:rsid w:val="00575C07"/>
    <w:rsid w:val="00575DF6"/>
    <w:rsid w:val="0057601C"/>
    <w:rsid w:val="005766A4"/>
    <w:rsid w:val="00577883"/>
    <w:rsid w:val="00577CBF"/>
    <w:rsid w:val="0058005F"/>
    <w:rsid w:val="005804C8"/>
    <w:rsid w:val="005806C6"/>
    <w:rsid w:val="005807FE"/>
    <w:rsid w:val="00580810"/>
    <w:rsid w:val="00580974"/>
    <w:rsid w:val="00581441"/>
    <w:rsid w:val="0058148C"/>
    <w:rsid w:val="00581F34"/>
    <w:rsid w:val="0058236A"/>
    <w:rsid w:val="0058276A"/>
    <w:rsid w:val="0058297B"/>
    <w:rsid w:val="005829C9"/>
    <w:rsid w:val="00582DD6"/>
    <w:rsid w:val="00582E04"/>
    <w:rsid w:val="00583A05"/>
    <w:rsid w:val="00583BEE"/>
    <w:rsid w:val="00583D6C"/>
    <w:rsid w:val="005846BF"/>
    <w:rsid w:val="00584794"/>
    <w:rsid w:val="00584A38"/>
    <w:rsid w:val="00584A8F"/>
    <w:rsid w:val="00584D86"/>
    <w:rsid w:val="00584DF3"/>
    <w:rsid w:val="00585816"/>
    <w:rsid w:val="00585878"/>
    <w:rsid w:val="00585975"/>
    <w:rsid w:val="00585A60"/>
    <w:rsid w:val="00585DB8"/>
    <w:rsid w:val="00585E83"/>
    <w:rsid w:val="005860DE"/>
    <w:rsid w:val="0058615E"/>
    <w:rsid w:val="00586805"/>
    <w:rsid w:val="00586982"/>
    <w:rsid w:val="00586D98"/>
    <w:rsid w:val="005872F2"/>
    <w:rsid w:val="0058771E"/>
    <w:rsid w:val="0058798F"/>
    <w:rsid w:val="00587AD4"/>
    <w:rsid w:val="00587ADC"/>
    <w:rsid w:val="00587B88"/>
    <w:rsid w:val="005900FD"/>
    <w:rsid w:val="00590553"/>
    <w:rsid w:val="00590625"/>
    <w:rsid w:val="0059077E"/>
    <w:rsid w:val="00590A0F"/>
    <w:rsid w:val="00590AAA"/>
    <w:rsid w:val="00590BAA"/>
    <w:rsid w:val="00590C64"/>
    <w:rsid w:val="00590F1F"/>
    <w:rsid w:val="00591117"/>
    <w:rsid w:val="00591988"/>
    <w:rsid w:val="00592119"/>
    <w:rsid w:val="00592471"/>
    <w:rsid w:val="005927E8"/>
    <w:rsid w:val="0059280D"/>
    <w:rsid w:val="00592B76"/>
    <w:rsid w:val="00592C1D"/>
    <w:rsid w:val="00593120"/>
    <w:rsid w:val="005931DB"/>
    <w:rsid w:val="00593427"/>
    <w:rsid w:val="00593631"/>
    <w:rsid w:val="00593CB9"/>
    <w:rsid w:val="0059482B"/>
    <w:rsid w:val="00594DB6"/>
    <w:rsid w:val="005951DA"/>
    <w:rsid w:val="00595702"/>
    <w:rsid w:val="0059578F"/>
    <w:rsid w:val="0059593E"/>
    <w:rsid w:val="00595C27"/>
    <w:rsid w:val="00595C6F"/>
    <w:rsid w:val="00595D20"/>
    <w:rsid w:val="0059611C"/>
    <w:rsid w:val="00596142"/>
    <w:rsid w:val="0059675B"/>
    <w:rsid w:val="00596A19"/>
    <w:rsid w:val="00596A30"/>
    <w:rsid w:val="00596A8D"/>
    <w:rsid w:val="00596DC7"/>
    <w:rsid w:val="00596DF6"/>
    <w:rsid w:val="00597795"/>
    <w:rsid w:val="0059779F"/>
    <w:rsid w:val="00597A15"/>
    <w:rsid w:val="00597E7E"/>
    <w:rsid w:val="005A0F1C"/>
    <w:rsid w:val="005A10FC"/>
    <w:rsid w:val="005A1187"/>
    <w:rsid w:val="005A11DE"/>
    <w:rsid w:val="005A122A"/>
    <w:rsid w:val="005A12BD"/>
    <w:rsid w:val="005A1398"/>
    <w:rsid w:val="005A146C"/>
    <w:rsid w:val="005A189A"/>
    <w:rsid w:val="005A1C7A"/>
    <w:rsid w:val="005A1CFB"/>
    <w:rsid w:val="005A2902"/>
    <w:rsid w:val="005A2A77"/>
    <w:rsid w:val="005A32D2"/>
    <w:rsid w:val="005A384F"/>
    <w:rsid w:val="005A3A6D"/>
    <w:rsid w:val="005A3F41"/>
    <w:rsid w:val="005A4767"/>
    <w:rsid w:val="005A48A4"/>
    <w:rsid w:val="005A4B24"/>
    <w:rsid w:val="005A4C5E"/>
    <w:rsid w:val="005A5A5C"/>
    <w:rsid w:val="005A5BFF"/>
    <w:rsid w:val="005A6101"/>
    <w:rsid w:val="005A66A8"/>
    <w:rsid w:val="005A67D0"/>
    <w:rsid w:val="005A6A9F"/>
    <w:rsid w:val="005A6F24"/>
    <w:rsid w:val="005A71C6"/>
    <w:rsid w:val="005A7213"/>
    <w:rsid w:val="005A731E"/>
    <w:rsid w:val="005A7495"/>
    <w:rsid w:val="005A7A02"/>
    <w:rsid w:val="005B03D2"/>
    <w:rsid w:val="005B03FB"/>
    <w:rsid w:val="005B06BC"/>
    <w:rsid w:val="005B07AE"/>
    <w:rsid w:val="005B0DA0"/>
    <w:rsid w:val="005B10BA"/>
    <w:rsid w:val="005B1226"/>
    <w:rsid w:val="005B1259"/>
    <w:rsid w:val="005B14D7"/>
    <w:rsid w:val="005B1701"/>
    <w:rsid w:val="005B1CB3"/>
    <w:rsid w:val="005B1FD4"/>
    <w:rsid w:val="005B203A"/>
    <w:rsid w:val="005B2A8F"/>
    <w:rsid w:val="005B323B"/>
    <w:rsid w:val="005B3308"/>
    <w:rsid w:val="005B3BD8"/>
    <w:rsid w:val="005B3CB8"/>
    <w:rsid w:val="005B3ECD"/>
    <w:rsid w:val="005B40B2"/>
    <w:rsid w:val="005B451D"/>
    <w:rsid w:val="005B4C42"/>
    <w:rsid w:val="005B4D6E"/>
    <w:rsid w:val="005B4E1C"/>
    <w:rsid w:val="005B5023"/>
    <w:rsid w:val="005B50C8"/>
    <w:rsid w:val="005B517B"/>
    <w:rsid w:val="005B564F"/>
    <w:rsid w:val="005B575F"/>
    <w:rsid w:val="005B5C8D"/>
    <w:rsid w:val="005B5F10"/>
    <w:rsid w:val="005B63A7"/>
    <w:rsid w:val="005B66E5"/>
    <w:rsid w:val="005B68FD"/>
    <w:rsid w:val="005B73BD"/>
    <w:rsid w:val="005B7AED"/>
    <w:rsid w:val="005C00C8"/>
    <w:rsid w:val="005C026D"/>
    <w:rsid w:val="005C02BE"/>
    <w:rsid w:val="005C047D"/>
    <w:rsid w:val="005C055B"/>
    <w:rsid w:val="005C0764"/>
    <w:rsid w:val="005C07BC"/>
    <w:rsid w:val="005C098C"/>
    <w:rsid w:val="005C0B4B"/>
    <w:rsid w:val="005C0CA1"/>
    <w:rsid w:val="005C0DB1"/>
    <w:rsid w:val="005C1213"/>
    <w:rsid w:val="005C1AF0"/>
    <w:rsid w:val="005C1B30"/>
    <w:rsid w:val="005C1E53"/>
    <w:rsid w:val="005C2030"/>
    <w:rsid w:val="005C20A8"/>
    <w:rsid w:val="005C2141"/>
    <w:rsid w:val="005C2539"/>
    <w:rsid w:val="005C2886"/>
    <w:rsid w:val="005C2D7D"/>
    <w:rsid w:val="005C30D4"/>
    <w:rsid w:val="005C32A2"/>
    <w:rsid w:val="005C32E5"/>
    <w:rsid w:val="005C349C"/>
    <w:rsid w:val="005C3860"/>
    <w:rsid w:val="005C38E3"/>
    <w:rsid w:val="005C3A1E"/>
    <w:rsid w:val="005C3B01"/>
    <w:rsid w:val="005C3D7B"/>
    <w:rsid w:val="005C3FDD"/>
    <w:rsid w:val="005C3FFC"/>
    <w:rsid w:val="005C3FFE"/>
    <w:rsid w:val="005C405A"/>
    <w:rsid w:val="005C44AF"/>
    <w:rsid w:val="005C48C5"/>
    <w:rsid w:val="005C4A32"/>
    <w:rsid w:val="005C4B0B"/>
    <w:rsid w:val="005C4DD3"/>
    <w:rsid w:val="005C4DE8"/>
    <w:rsid w:val="005C4EB5"/>
    <w:rsid w:val="005C4F28"/>
    <w:rsid w:val="005C4F3B"/>
    <w:rsid w:val="005C511A"/>
    <w:rsid w:val="005C5290"/>
    <w:rsid w:val="005C5ADD"/>
    <w:rsid w:val="005C651E"/>
    <w:rsid w:val="005C6631"/>
    <w:rsid w:val="005C6C38"/>
    <w:rsid w:val="005C6DA3"/>
    <w:rsid w:val="005C6F74"/>
    <w:rsid w:val="005C6F90"/>
    <w:rsid w:val="005C70F4"/>
    <w:rsid w:val="005C7224"/>
    <w:rsid w:val="005C7278"/>
    <w:rsid w:val="005C73F2"/>
    <w:rsid w:val="005C752C"/>
    <w:rsid w:val="005C771F"/>
    <w:rsid w:val="005C7BDB"/>
    <w:rsid w:val="005C7C01"/>
    <w:rsid w:val="005C7F4D"/>
    <w:rsid w:val="005C7F6D"/>
    <w:rsid w:val="005D0283"/>
    <w:rsid w:val="005D0312"/>
    <w:rsid w:val="005D0CB2"/>
    <w:rsid w:val="005D0D66"/>
    <w:rsid w:val="005D1335"/>
    <w:rsid w:val="005D1397"/>
    <w:rsid w:val="005D16FE"/>
    <w:rsid w:val="005D18DF"/>
    <w:rsid w:val="005D1968"/>
    <w:rsid w:val="005D1F72"/>
    <w:rsid w:val="005D21EC"/>
    <w:rsid w:val="005D2206"/>
    <w:rsid w:val="005D2409"/>
    <w:rsid w:val="005D2595"/>
    <w:rsid w:val="005D279C"/>
    <w:rsid w:val="005D27A8"/>
    <w:rsid w:val="005D2AA2"/>
    <w:rsid w:val="005D3398"/>
    <w:rsid w:val="005D3A13"/>
    <w:rsid w:val="005D3B0C"/>
    <w:rsid w:val="005D3E6E"/>
    <w:rsid w:val="005D468D"/>
    <w:rsid w:val="005D49C1"/>
    <w:rsid w:val="005D4E63"/>
    <w:rsid w:val="005D54E1"/>
    <w:rsid w:val="005D5B90"/>
    <w:rsid w:val="005D5BD4"/>
    <w:rsid w:val="005D5FB5"/>
    <w:rsid w:val="005D61AA"/>
    <w:rsid w:val="005D6432"/>
    <w:rsid w:val="005D682C"/>
    <w:rsid w:val="005D6BBA"/>
    <w:rsid w:val="005D6EFC"/>
    <w:rsid w:val="005D75B2"/>
    <w:rsid w:val="005D7900"/>
    <w:rsid w:val="005D7CE0"/>
    <w:rsid w:val="005D7D2A"/>
    <w:rsid w:val="005D7E03"/>
    <w:rsid w:val="005D7EFE"/>
    <w:rsid w:val="005E01A7"/>
    <w:rsid w:val="005E097C"/>
    <w:rsid w:val="005E1051"/>
    <w:rsid w:val="005E10B6"/>
    <w:rsid w:val="005E146B"/>
    <w:rsid w:val="005E175C"/>
    <w:rsid w:val="005E1CEB"/>
    <w:rsid w:val="005E1E06"/>
    <w:rsid w:val="005E2434"/>
    <w:rsid w:val="005E2A6D"/>
    <w:rsid w:val="005E2D42"/>
    <w:rsid w:val="005E2EB0"/>
    <w:rsid w:val="005E320B"/>
    <w:rsid w:val="005E3823"/>
    <w:rsid w:val="005E3A27"/>
    <w:rsid w:val="005E3DE2"/>
    <w:rsid w:val="005E41A6"/>
    <w:rsid w:val="005E428E"/>
    <w:rsid w:val="005E42E9"/>
    <w:rsid w:val="005E476F"/>
    <w:rsid w:val="005E4B6C"/>
    <w:rsid w:val="005E4BA4"/>
    <w:rsid w:val="005E4DD7"/>
    <w:rsid w:val="005E4F84"/>
    <w:rsid w:val="005E5102"/>
    <w:rsid w:val="005E519A"/>
    <w:rsid w:val="005E5962"/>
    <w:rsid w:val="005E59DE"/>
    <w:rsid w:val="005E6C04"/>
    <w:rsid w:val="005E6C38"/>
    <w:rsid w:val="005E6D30"/>
    <w:rsid w:val="005E752D"/>
    <w:rsid w:val="005E7A24"/>
    <w:rsid w:val="005E7B05"/>
    <w:rsid w:val="005E7F77"/>
    <w:rsid w:val="005F02BC"/>
    <w:rsid w:val="005F0465"/>
    <w:rsid w:val="005F052D"/>
    <w:rsid w:val="005F0570"/>
    <w:rsid w:val="005F09BC"/>
    <w:rsid w:val="005F0C94"/>
    <w:rsid w:val="005F1018"/>
    <w:rsid w:val="005F1057"/>
    <w:rsid w:val="005F114C"/>
    <w:rsid w:val="005F1EE2"/>
    <w:rsid w:val="005F1F71"/>
    <w:rsid w:val="005F2212"/>
    <w:rsid w:val="005F221F"/>
    <w:rsid w:val="005F277D"/>
    <w:rsid w:val="005F2B1E"/>
    <w:rsid w:val="005F3113"/>
    <w:rsid w:val="005F384E"/>
    <w:rsid w:val="005F3CB7"/>
    <w:rsid w:val="005F4027"/>
    <w:rsid w:val="005F4176"/>
    <w:rsid w:val="005F4759"/>
    <w:rsid w:val="005F4900"/>
    <w:rsid w:val="005F4AB2"/>
    <w:rsid w:val="005F4D09"/>
    <w:rsid w:val="005F50A7"/>
    <w:rsid w:val="005F550D"/>
    <w:rsid w:val="005F57B8"/>
    <w:rsid w:val="005F5875"/>
    <w:rsid w:val="005F5AE6"/>
    <w:rsid w:val="005F5AF9"/>
    <w:rsid w:val="005F6259"/>
    <w:rsid w:val="005F69B5"/>
    <w:rsid w:val="005F6EB1"/>
    <w:rsid w:val="005F6EB3"/>
    <w:rsid w:val="005F6F9A"/>
    <w:rsid w:val="005F6FB7"/>
    <w:rsid w:val="005F73E7"/>
    <w:rsid w:val="005F7472"/>
    <w:rsid w:val="005F7925"/>
    <w:rsid w:val="005F7990"/>
    <w:rsid w:val="006004A4"/>
    <w:rsid w:val="0060058A"/>
    <w:rsid w:val="00600695"/>
    <w:rsid w:val="0060098A"/>
    <w:rsid w:val="0060119E"/>
    <w:rsid w:val="006015F4"/>
    <w:rsid w:val="006016A7"/>
    <w:rsid w:val="0060170F"/>
    <w:rsid w:val="00601B16"/>
    <w:rsid w:val="0060252A"/>
    <w:rsid w:val="00602538"/>
    <w:rsid w:val="006026F5"/>
    <w:rsid w:val="00602776"/>
    <w:rsid w:val="00602A39"/>
    <w:rsid w:val="00602FBE"/>
    <w:rsid w:val="0060342A"/>
    <w:rsid w:val="0060399A"/>
    <w:rsid w:val="00603E5A"/>
    <w:rsid w:val="00604226"/>
    <w:rsid w:val="00604333"/>
    <w:rsid w:val="006043F4"/>
    <w:rsid w:val="006048CC"/>
    <w:rsid w:val="00605341"/>
    <w:rsid w:val="006054AD"/>
    <w:rsid w:val="006056D9"/>
    <w:rsid w:val="006057C7"/>
    <w:rsid w:val="00605FA1"/>
    <w:rsid w:val="00606437"/>
    <w:rsid w:val="006066F2"/>
    <w:rsid w:val="00606A26"/>
    <w:rsid w:val="00606A77"/>
    <w:rsid w:val="00606E92"/>
    <w:rsid w:val="0060716B"/>
    <w:rsid w:val="00607C24"/>
    <w:rsid w:val="0061018E"/>
    <w:rsid w:val="006106B4"/>
    <w:rsid w:val="00611049"/>
    <w:rsid w:val="00611059"/>
    <w:rsid w:val="006110EF"/>
    <w:rsid w:val="00611226"/>
    <w:rsid w:val="00611243"/>
    <w:rsid w:val="006112DD"/>
    <w:rsid w:val="0061137D"/>
    <w:rsid w:val="0061153B"/>
    <w:rsid w:val="006118C9"/>
    <w:rsid w:val="00612052"/>
    <w:rsid w:val="00612116"/>
    <w:rsid w:val="00612613"/>
    <w:rsid w:val="00613005"/>
    <w:rsid w:val="00613271"/>
    <w:rsid w:val="00613418"/>
    <w:rsid w:val="0061355A"/>
    <w:rsid w:val="006135DE"/>
    <w:rsid w:val="0061370F"/>
    <w:rsid w:val="0061396A"/>
    <w:rsid w:val="00613A61"/>
    <w:rsid w:val="0061429F"/>
    <w:rsid w:val="0061430A"/>
    <w:rsid w:val="00614534"/>
    <w:rsid w:val="006148B5"/>
    <w:rsid w:val="0061497B"/>
    <w:rsid w:val="00614993"/>
    <w:rsid w:val="00614AF7"/>
    <w:rsid w:val="00614B9E"/>
    <w:rsid w:val="00614C94"/>
    <w:rsid w:val="00615A2F"/>
    <w:rsid w:val="00615A5E"/>
    <w:rsid w:val="00615B0F"/>
    <w:rsid w:val="00615FD6"/>
    <w:rsid w:val="00616362"/>
    <w:rsid w:val="006163B4"/>
    <w:rsid w:val="006164AA"/>
    <w:rsid w:val="00616600"/>
    <w:rsid w:val="00616CF1"/>
    <w:rsid w:val="00616FAB"/>
    <w:rsid w:val="006175FA"/>
    <w:rsid w:val="00617707"/>
    <w:rsid w:val="00617C8A"/>
    <w:rsid w:val="00617FE0"/>
    <w:rsid w:val="00620AA2"/>
    <w:rsid w:val="00620F9B"/>
    <w:rsid w:val="0062132D"/>
    <w:rsid w:val="00621A6C"/>
    <w:rsid w:val="006220D7"/>
    <w:rsid w:val="00622149"/>
    <w:rsid w:val="006223F0"/>
    <w:rsid w:val="0062290D"/>
    <w:rsid w:val="00622ACA"/>
    <w:rsid w:val="00622ED5"/>
    <w:rsid w:val="006233B1"/>
    <w:rsid w:val="00623939"/>
    <w:rsid w:val="00623B3E"/>
    <w:rsid w:val="00623D61"/>
    <w:rsid w:val="00623E97"/>
    <w:rsid w:val="00623F13"/>
    <w:rsid w:val="0062436B"/>
    <w:rsid w:val="00624402"/>
    <w:rsid w:val="0062446D"/>
    <w:rsid w:val="00624901"/>
    <w:rsid w:val="006254F6"/>
    <w:rsid w:val="006257BB"/>
    <w:rsid w:val="00625BA1"/>
    <w:rsid w:val="00625C41"/>
    <w:rsid w:val="00625C4B"/>
    <w:rsid w:val="00625D4E"/>
    <w:rsid w:val="006261FD"/>
    <w:rsid w:val="0062628B"/>
    <w:rsid w:val="00626C40"/>
    <w:rsid w:val="00626F82"/>
    <w:rsid w:val="0062710F"/>
    <w:rsid w:val="00627275"/>
    <w:rsid w:val="00627476"/>
    <w:rsid w:val="00627628"/>
    <w:rsid w:val="00627759"/>
    <w:rsid w:val="006277CD"/>
    <w:rsid w:val="00627EFE"/>
    <w:rsid w:val="006301B1"/>
    <w:rsid w:val="0063034F"/>
    <w:rsid w:val="0063067F"/>
    <w:rsid w:val="0063088C"/>
    <w:rsid w:val="006308F6"/>
    <w:rsid w:val="0063094D"/>
    <w:rsid w:val="00630B8E"/>
    <w:rsid w:val="00630FB3"/>
    <w:rsid w:val="0063116D"/>
    <w:rsid w:val="0063178D"/>
    <w:rsid w:val="00631A8E"/>
    <w:rsid w:val="00631F9D"/>
    <w:rsid w:val="0063202D"/>
    <w:rsid w:val="006322AB"/>
    <w:rsid w:val="006324AC"/>
    <w:rsid w:val="00632AEE"/>
    <w:rsid w:val="00632F80"/>
    <w:rsid w:val="0063349A"/>
    <w:rsid w:val="00633642"/>
    <w:rsid w:val="00634C56"/>
    <w:rsid w:val="00634E8B"/>
    <w:rsid w:val="00635257"/>
    <w:rsid w:val="006353C5"/>
    <w:rsid w:val="00635482"/>
    <w:rsid w:val="0063582C"/>
    <w:rsid w:val="00635987"/>
    <w:rsid w:val="0063609C"/>
    <w:rsid w:val="00636109"/>
    <w:rsid w:val="006363F9"/>
    <w:rsid w:val="00636E9A"/>
    <w:rsid w:val="006372E1"/>
    <w:rsid w:val="006373B6"/>
    <w:rsid w:val="0063751A"/>
    <w:rsid w:val="00637527"/>
    <w:rsid w:val="0063784C"/>
    <w:rsid w:val="0063797A"/>
    <w:rsid w:val="00637B3A"/>
    <w:rsid w:val="00637E98"/>
    <w:rsid w:val="00640413"/>
    <w:rsid w:val="00640868"/>
    <w:rsid w:val="00640DBA"/>
    <w:rsid w:val="00640FEA"/>
    <w:rsid w:val="00641154"/>
    <w:rsid w:val="0064120B"/>
    <w:rsid w:val="0064165C"/>
    <w:rsid w:val="00641A31"/>
    <w:rsid w:val="006424A1"/>
    <w:rsid w:val="00642535"/>
    <w:rsid w:val="006425CC"/>
    <w:rsid w:val="00642745"/>
    <w:rsid w:val="00642CD3"/>
    <w:rsid w:val="0064301B"/>
    <w:rsid w:val="00643451"/>
    <w:rsid w:val="00643627"/>
    <w:rsid w:val="00643652"/>
    <w:rsid w:val="00643A9C"/>
    <w:rsid w:val="00643C41"/>
    <w:rsid w:val="00643EB3"/>
    <w:rsid w:val="006442D9"/>
    <w:rsid w:val="00644B55"/>
    <w:rsid w:val="00644C63"/>
    <w:rsid w:val="00644C6D"/>
    <w:rsid w:val="00644EC3"/>
    <w:rsid w:val="0064533A"/>
    <w:rsid w:val="00645683"/>
    <w:rsid w:val="00645AC0"/>
    <w:rsid w:val="00645E87"/>
    <w:rsid w:val="006465D2"/>
    <w:rsid w:val="00646988"/>
    <w:rsid w:val="00646BE3"/>
    <w:rsid w:val="00646CCC"/>
    <w:rsid w:val="006470CC"/>
    <w:rsid w:val="006475DD"/>
    <w:rsid w:val="0064798E"/>
    <w:rsid w:val="00647AE6"/>
    <w:rsid w:val="00647EAA"/>
    <w:rsid w:val="00650535"/>
    <w:rsid w:val="0065072B"/>
    <w:rsid w:val="00650866"/>
    <w:rsid w:val="00650B3B"/>
    <w:rsid w:val="00651161"/>
    <w:rsid w:val="00651295"/>
    <w:rsid w:val="00651358"/>
    <w:rsid w:val="00651690"/>
    <w:rsid w:val="00651710"/>
    <w:rsid w:val="00651D97"/>
    <w:rsid w:val="00652057"/>
    <w:rsid w:val="00652B50"/>
    <w:rsid w:val="00652CF3"/>
    <w:rsid w:val="00652D9C"/>
    <w:rsid w:val="00653203"/>
    <w:rsid w:val="006532A5"/>
    <w:rsid w:val="00653432"/>
    <w:rsid w:val="00653BC9"/>
    <w:rsid w:val="00653CFF"/>
    <w:rsid w:val="00653EFB"/>
    <w:rsid w:val="00653F16"/>
    <w:rsid w:val="00654529"/>
    <w:rsid w:val="00654D7A"/>
    <w:rsid w:val="006550A5"/>
    <w:rsid w:val="00655522"/>
    <w:rsid w:val="006555C7"/>
    <w:rsid w:val="006556C4"/>
    <w:rsid w:val="006559AA"/>
    <w:rsid w:val="00655D1B"/>
    <w:rsid w:val="006560A3"/>
    <w:rsid w:val="00656668"/>
    <w:rsid w:val="00656A11"/>
    <w:rsid w:val="00656F7B"/>
    <w:rsid w:val="006570A1"/>
    <w:rsid w:val="00657334"/>
    <w:rsid w:val="0065758C"/>
    <w:rsid w:val="00657724"/>
    <w:rsid w:val="00657C56"/>
    <w:rsid w:val="00657D4C"/>
    <w:rsid w:val="00660002"/>
    <w:rsid w:val="00660104"/>
    <w:rsid w:val="0066017E"/>
    <w:rsid w:val="0066035B"/>
    <w:rsid w:val="006604F8"/>
    <w:rsid w:val="0066063A"/>
    <w:rsid w:val="00660C80"/>
    <w:rsid w:val="00661601"/>
    <w:rsid w:val="006617BA"/>
    <w:rsid w:val="00661A1F"/>
    <w:rsid w:val="00662365"/>
    <w:rsid w:val="00662457"/>
    <w:rsid w:val="00662B7E"/>
    <w:rsid w:val="00662C61"/>
    <w:rsid w:val="00662E25"/>
    <w:rsid w:val="00662F06"/>
    <w:rsid w:val="00662F1B"/>
    <w:rsid w:val="00663004"/>
    <w:rsid w:val="00663525"/>
    <w:rsid w:val="00663B6A"/>
    <w:rsid w:val="00663B9B"/>
    <w:rsid w:val="00663F0A"/>
    <w:rsid w:val="006640A3"/>
    <w:rsid w:val="00664142"/>
    <w:rsid w:val="0066425C"/>
    <w:rsid w:val="00664305"/>
    <w:rsid w:val="006643A0"/>
    <w:rsid w:val="00664665"/>
    <w:rsid w:val="00664D38"/>
    <w:rsid w:val="00664DED"/>
    <w:rsid w:val="0066524C"/>
    <w:rsid w:val="00665440"/>
    <w:rsid w:val="0066574E"/>
    <w:rsid w:val="00665F86"/>
    <w:rsid w:val="006662AB"/>
    <w:rsid w:val="0066638C"/>
    <w:rsid w:val="006663CC"/>
    <w:rsid w:val="006663D8"/>
    <w:rsid w:val="006665D4"/>
    <w:rsid w:val="006671F2"/>
    <w:rsid w:val="00667274"/>
    <w:rsid w:val="0066727A"/>
    <w:rsid w:val="006674E4"/>
    <w:rsid w:val="0066775A"/>
    <w:rsid w:val="00667FE5"/>
    <w:rsid w:val="006707A0"/>
    <w:rsid w:val="00670949"/>
    <w:rsid w:val="00670A43"/>
    <w:rsid w:val="00670A55"/>
    <w:rsid w:val="00670F03"/>
    <w:rsid w:val="00670F05"/>
    <w:rsid w:val="006711DB"/>
    <w:rsid w:val="00671788"/>
    <w:rsid w:val="006717D7"/>
    <w:rsid w:val="00671E27"/>
    <w:rsid w:val="00671F93"/>
    <w:rsid w:val="0067241E"/>
    <w:rsid w:val="006729E3"/>
    <w:rsid w:val="00672AA3"/>
    <w:rsid w:val="00672F7D"/>
    <w:rsid w:val="00673365"/>
    <w:rsid w:val="00673B8B"/>
    <w:rsid w:val="00673DAF"/>
    <w:rsid w:val="00673E77"/>
    <w:rsid w:val="00673EB8"/>
    <w:rsid w:val="00673ED9"/>
    <w:rsid w:val="00674A5A"/>
    <w:rsid w:val="00674B2F"/>
    <w:rsid w:val="00674C23"/>
    <w:rsid w:val="00675735"/>
    <w:rsid w:val="00675994"/>
    <w:rsid w:val="00675A8C"/>
    <w:rsid w:val="00675C05"/>
    <w:rsid w:val="00675DFD"/>
    <w:rsid w:val="006766F1"/>
    <w:rsid w:val="0067680D"/>
    <w:rsid w:val="00676B8B"/>
    <w:rsid w:val="00676C90"/>
    <w:rsid w:val="00676EB2"/>
    <w:rsid w:val="00676F4D"/>
    <w:rsid w:val="006770C2"/>
    <w:rsid w:val="006771B9"/>
    <w:rsid w:val="006775CC"/>
    <w:rsid w:val="0068014B"/>
    <w:rsid w:val="0068024D"/>
    <w:rsid w:val="00680614"/>
    <w:rsid w:val="006807C7"/>
    <w:rsid w:val="0068087D"/>
    <w:rsid w:val="0068088C"/>
    <w:rsid w:val="006808C6"/>
    <w:rsid w:val="00680D1D"/>
    <w:rsid w:val="00680ECC"/>
    <w:rsid w:val="00680F70"/>
    <w:rsid w:val="006813DF"/>
    <w:rsid w:val="00681729"/>
    <w:rsid w:val="006818F5"/>
    <w:rsid w:val="00681B5D"/>
    <w:rsid w:val="00681F36"/>
    <w:rsid w:val="006821C7"/>
    <w:rsid w:val="006824FA"/>
    <w:rsid w:val="00682595"/>
    <w:rsid w:val="0068274D"/>
    <w:rsid w:val="006831D3"/>
    <w:rsid w:val="0068390C"/>
    <w:rsid w:val="00683AB1"/>
    <w:rsid w:val="00683AF3"/>
    <w:rsid w:val="00683BED"/>
    <w:rsid w:val="00684141"/>
    <w:rsid w:val="00684252"/>
    <w:rsid w:val="006842CE"/>
    <w:rsid w:val="00684502"/>
    <w:rsid w:val="00684BDD"/>
    <w:rsid w:val="00684C50"/>
    <w:rsid w:val="00684C96"/>
    <w:rsid w:val="00684CE8"/>
    <w:rsid w:val="00685981"/>
    <w:rsid w:val="00685A6A"/>
    <w:rsid w:val="00685D60"/>
    <w:rsid w:val="006866C6"/>
    <w:rsid w:val="00686AAB"/>
    <w:rsid w:val="00687349"/>
    <w:rsid w:val="00687C2A"/>
    <w:rsid w:val="00687CDA"/>
    <w:rsid w:val="00687DE2"/>
    <w:rsid w:val="00690130"/>
    <w:rsid w:val="006902C5"/>
    <w:rsid w:val="0069034D"/>
    <w:rsid w:val="006905D5"/>
    <w:rsid w:val="00690D75"/>
    <w:rsid w:val="00691794"/>
    <w:rsid w:val="0069193E"/>
    <w:rsid w:val="006919B0"/>
    <w:rsid w:val="00691E53"/>
    <w:rsid w:val="00692673"/>
    <w:rsid w:val="00692689"/>
    <w:rsid w:val="006927AD"/>
    <w:rsid w:val="0069285F"/>
    <w:rsid w:val="00692A2B"/>
    <w:rsid w:val="0069341E"/>
    <w:rsid w:val="00693427"/>
    <w:rsid w:val="00693831"/>
    <w:rsid w:val="00693C03"/>
    <w:rsid w:val="00693FA2"/>
    <w:rsid w:val="0069400E"/>
    <w:rsid w:val="006947DB"/>
    <w:rsid w:val="0069500E"/>
    <w:rsid w:val="0069509A"/>
    <w:rsid w:val="00695269"/>
    <w:rsid w:val="00695611"/>
    <w:rsid w:val="00695656"/>
    <w:rsid w:val="00695710"/>
    <w:rsid w:val="006957C1"/>
    <w:rsid w:val="00695EF8"/>
    <w:rsid w:val="006964C6"/>
    <w:rsid w:val="0069658F"/>
    <w:rsid w:val="00696701"/>
    <w:rsid w:val="006968A2"/>
    <w:rsid w:val="00696ABF"/>
    <w:rsid w:val="00696C20"/>
    <w:rsid w:val="00696F2E"/>
    <w:rsid w:val="006970E8"/>
    <w:rsid w:val="006973DF"/>
    <w:rsid w:val="00697536"/>
    <w:rsid w:val="00697750"/>
    <w:rsid w:val="006977A2"/>
    <w:rsid w:val="0069790A"/>
    <w:rsid w:val="00697ADD"/>
    <w:rsid w:val="00697F13"/>
    <w:rsid w:val="006A0510"/>
    <w:rsid w:val="006A1125"/>
    <w:rsid w:val="006A116B"/>
    <w:rsid w:val="006A1582"/>
    <w:rsid w:val="006A1784"/>
    <w:rsid w:val="006A17F4"/>
    <w:rsid w:val="006A190B"/>
    <w:rsid w:val="006A1F15"/>
    <w:rsid w:val="006A2575"/>
    <w:rsid w:val="006A26C3"/>
    <w:rsid w:val="006A282D"/>
    <w:rsid w:val="006A2975"/>
    <w:rsid w:val="006A2E4E"/>
    <w:rsid w:val="006A2F26"/>
    <w:rsid w:val="006A32EF"/>
    <w:rsid w:val="006A382A"/>
    <w:rsid w:val="006A3B9B"/>
    <w:rsid w:val="006A3BFE"/>
    <w:rsid w:val="006A40B8"/>
    <w:rsid w:val="006A412F"/>
    <w:rsid w:val="006A43D1"/>
    <w:rsid w:val="006A46F0"/>
    <w:rsid w:val="006A484A"/>
    <w:rsid w:val="006A4931"/>
    <w:rsid w:val="006A4C3B"/>
    <w:rsid w:val="006A4F47"/>
    <w:rsid w:val="006A553C"/>
    <w:rsid w:val="006A5C24"/>
    <w:rsid w:val="006A5F54"/>
    <w:rsid w:val="006A6100"/>
    <w:rsid w:val="006A6977"/>
    <w:rsid w:val="006A6A55"/>
    <w:rsid w:val="006A6B0C"/>
    <w:rsid w:val="006A6BE2"/>
    <w:rsid w:val="006A6F3F"/>
    <w:rsid w:val="006A6F8E"/>
    <w:rsid w:val="006A7439"/>
    <w:rsid w:val="006A76B3"/>
    <w:rsid w:val="006A7A03"/>
    <w:rsid w:val="006A7A80"/>
    <w:rsid w:val="006A7DB9"/>
    <w:rsid w:val="006A7E57"/>
    <w:rsid w:val="006B0459"/>
    <w:rsid w:val="006B0861"/>
    <w:rsid w:val="006B0F42"/>
    <w:rsid w:val="006B1017"/>
    <w:rsid w:val="006B11C4"/>
    <w:rsid w:val="006B167A"/>
    <w:rsid w:val="006B1C9D"/>
    <w:rsid w:val="006B2971"/>
    <w:rsid w:val="006B2A33"/>
    <w:rsid w:val="006B344D"/>
    <w:rsid w:val="006B38C7"/>
    <w:rsid w:val="006B39AF"/>
    <w:rsid w:val="006B3AC0"/>
    <w:rsid w:val="006B3B06"/>
    <w:rsid w:val="006B4451"/>
    <w:rsid w:val="006B468A"/>
    <w:rsid w:val="006B4B93"/>
    <w:rsid w:val="006B4E62"/>
    <w:rsid w:val="006B56C4"/>
    <w:rsid w:val="006B59C6"/>
    <w:rsid w:val="006B5DEE"/>
    <w:rsid w:val="006B5E3F"/>
    <w:rsid w:val="006B5FDD"/>
    <w:rsid w:val="006B62C1"/>
    <w:rsid w:val="006B6677"/>
    <w:rsid w:val="006B67DA"/>
    <w:rsid w:val="006B6CD3"/>
    <w:rsid w:val="006B6D89"/>
    <w:rsid w:val="006B6E63"/>
    <w:rsid w:val="006B6EB6"/>
    <w:rsid w:val="006B7124"/>
    <w:rsid w:val="006B7273"/>
    <w:rsid w:val="006B7431"/>
    <w:rsid w:val="006B7ABC"/>
    <w:rsid w:val="006C0266"/>
    <w:rsid w:val="006C0448"/>
    <w:rsid w:val="006C055C"/>
    <w:rsid w:val="006C05DB"/>
    <w:rsid w:val="006C08A1"/>
    <w:rsid w:val="006C0985"/>
    <w:rsid w:val="006C0FE3"/>
    <w:rsid w:val="006C10A1"/>
    <w:rsid w:val="006C1373"/>
    <w:rsid w:val="006C141C"/>
    <w:rsid w:val="006C1CEC"/>
    <w:rsid w:val="006C21F3"/>
    <w:rsid w:val="006C23D9"/>
    <w:rsid w:val="006C2447"/>
    <w:rsid w:val="006C2FA4"/>
    <w:rsid w:val="006C33AE"/>
    <w:rsid w:val="006C3551"/>
    <w:rsid w:val="006C3640"/>
    <w:rsid w:val="006C376D"/>
    <w:rsid w:val="006C3B0E"/>
    <w:rsid w:val="006C3B83"/>
    <w:rsid w:val="006C3D45"/>
    <w:rsid w:val="006C4151"/>
    <w:rsid w:val="006C4210"/>
    <w:rsid w:val="006C4383"/>
    <w:rsid w:val="006C4773"/>
    <w:rsid w:val="006C4900"/>
    <w:rsid w:val="006C49EB"/>
    <w:rsid w:val="006C4AA1"/>
    <w:rsid w:val="006C50A6"/>
    <w:rsid w:val="006C520E"/>
    <w:rsid w:val="006C5C01"/>
    <w:rsid w:val="006C5D3C"/>
    <w:rsid w:val="006C606D"/>
    <w:rsid w:val="006C6434"/>
    <w:rsid w:val="006C6804"/>
    <w:rsid w:val="006C68B5"/>
    <w:rsid w:val="006C6980"/>
    <w:rsid w:val="006C7827"/>
    <w:rsid w:val="006C7C1C"/>
    <w:rsid w:val="006C7EC8"/>
    <w:rsid w:val="006C7FE8"/>
    <w:rsid w:val="006D01CE"/>
    <w:rsid w:val="006D0308"/>
    <w:rsid w:val="006D0480"/>
    <w:rsid w:val="006D076B"/>
    <w:rsid w:val="006D16F1"/>
    <w:rsid w:val="006D199B"/>
    <w:rsid w:val="006D1B27"/>
    <w:rsid w:val="006D2208"/>
    <w:rsid w:val="006D22B9"/>
    <w:rsid w:val="006D23BF"/>
    <w:rsid w:val="006D2D15"/>
    <w:rsid w:val="006D3437"/>
    <w:rsid w:val="006D38F5"/>
    <w:rsid w:val="006D3AA3"/>
    <w:rsid w:val="006D3E49"/>
    <w:rsid w:val="006D441C"/>
    <w:rsid w:val="006D478F"/>
    <w:rsid w:val="006D487E"/>
    <w:rsid w:val="006D515B"/>
    <w:rsid w:val="006D51BD"/>
    <w:rsid w:val="006D573D"/>
    <w:rsid w:val="006D5B59"/>
    <w:rsid w:val="006D5B9E"/>
    <w:rsid w:val="006D5DA1"/>
    <w:rsid w:val="006D5E3E"/>
    <w:rsid w:val="006D5F89"/>
    <w:rsid w:val="006D5FAD"/>
    <w:rsid w:val="006D6012"/>
    <w:rsid w:val="006D630C"/>
    <w:rsid w:val="006D635F"/>
    <w:rsid w:val="006D681D"/>
    <w:rsid w:val="006D6D0C"/>
    <w:rsid w:val="006D6D2B"/>
    <w:rsid w:val="006D6FED"/>
    <w:rsid w:val="006D701E"/>
    <w:rsid w:val="006D71BA"/>
    <w:rsid w:val="006D7204"/>
    <w:rsid w:val="006D74A3"/>
    <w:rsid w:val="006D7624"/>
    <w:rsid w:val="006D7719"/>
    <w:rsid w:val="006E01B0"/>
    <w:rsid w:val="006E028A"/>
    <w:rsid w:val="006E0F19"/>
    <w:rsid w:val="006E0F66"/>
    <w:rsid w:val="006E1144"/>
    <w:rsid w:val="006E16C7"/>
    <w:rsid w:val="006E16E6"/>
    <w:rsid w:val="006E1759"/>
    <w:rsid w:val="006E1C79"/>
    <w:rsid w:val="006E1DF2"/>
    <w:rsid w:val="006E1E4F"/>
    <w:rsid w:val="006E217F"/>
    <w:rsid w:val="006E21C2"/>
    <w:rsid w:val="006E241B"/>
    <w:rsid w:val="006E241D"/>
    <w:rsid w:val="006E2720"/>
    <w:rsid w:val="006E2B41"/>
    <w:rsid w:val="006E2B5C"/>
    <w:rsid w:val="006E2BCA"/>
    <w:rsid w:val="006E2C1B"/>
    <w:rsid w:val="006E306D"/>
    <w:rsid w:val="006E3716"/>
    <w:rsid w:val="006E3742"/>
    <w:rsid w:val="006E3F78"/>
    <w:rsid w:val="006E44E4"/>
    <w:rsid w:val="006E4769"/>
    <w:rsid w:val="006E4B0C"/>
    <w:rsid w:val="006E4D74"/>
    <w:rsid w:val="006E4F22"/>
    <w:rsid w:val="006E4F55"/>
    <w:rsid w:val="006E4F9A"/>
    <w:rsid w:val="006E50BF"/>
    <w:rsid w:val="006E54BD"/>
    <w:rsid w:val="006E59A1"/>
    <w:rsid w:val="006E5A57"/>
    <w:rsid w:val="006E5BF7"/>
    <w:rsid w:val="006E607A"/>
    <w:rsid w:val="006E62A5"/>
    <w:rsid w:val="006E684F"/>
    <w:rsid w:val="006E6ADF"/>
    <w:rsid w:val="006E6C5D"/>
    <w:rsid w:val="006E74DF"/>
    <w:rsid w:val="006E75E1"/>
    <w:rsid w:val="006E766F"/>
    <w:rsid w:val="006E7BDD"/>
    <w:rsid w:val="006F0087"/>
    <w:rsid w:val="006F02FA"/>
    <w:rsid w:val="006F0953"/>
    <w:rsid w:val="006F0A51"/>
    <w:rsid w:val="006F0DA3"/>
    <w:rsid w:val="006F0EF4"/>
    <w:rsid w:val="006F0F5C"/>
    <w:rsid w:val="006F15EC"/>
    <w:rsid w:val="006F1EFC"/>
    <w:rsid w:val="006F2DCB"/>
    <w:rsid w:val="006F2F34"/>
    <w:rsid w:val="006F3105"/>
    <w:rsid w:val="006F327B"/>
    <w:rsid w:val="006F3E15"/>
    <w:rsid w:val="006F4637"/>
    <w:rsid w:val="006F4ABF"/>
    <w:rsid w:val="006F503E"/>
    <w:rsid w:val="006F56AF"/>
    <w:rsid w:val="006F5B06"/>
    <w:rsid w:val="006F5BD6"/>
    <w:rsid w:val="006F5CC8"/>
    <w:rsid w:val="006F5D81"/>
    <w:rsid w:val="006F669A"/>
    <w:rsid w:val="006F67B3"/>
    <w:rsid w:val="006F695A"/>
    <w:rsid w:val="006F69C8"/>
    <w:rsid w:val="006F6B2D"/>
    <w:rsid w:val="006F6F63"/>
    <w:rsid w:val="006F6F87"/>
    <w:rsid w:val="006F787C"/>
    <w:rsid w:val="006F7A56"/>
    <w:rsid w:val="006F7B92"/>
    <w:rsid w:val="006F7F9D"/>
    <w:rsid w:val="006F7FAA"/>
    <w:rsid w:val="007004E8"/>
    <w:rsid w:val="00700C1B"/>
    <w:rsid w:val="00701377"/>
    <w:rsid w:val="007014EB"/>
    <w:rsid w:val="0070163A"/>
    <w:rsid w:val="007016A4"/>
    <w:rsid w:val="007018E3"/>
    <w:rsid w:val="00701B7B"/>
    <w:rsid w:val="00701BFE"/>
    <w:rsid w:val="00701C5F"/>
    <w:rsid w:val="00702064"/>
    <w:rsid w:val="0070229A"/>
    <w:rsid w:val="00702324"/>
    <w:rsid w:val="0070271E"/>
    <w:rsid w:val="007028F7"/>
    <w:rsid w:val="00702F8E"/>
    <w:rsid w:val="00703355"/>
    <w:rsid w:val="00703798"/>
    <w:rsid w:val="007037BB"/>
    <w:rsid w:val="007038A3"/>
    <w:rsid w:val="0070409A"/>
    <w:rsid w:val="007041DF"/>
    <w:rsid w:val="00704335"/>
    <w:rsid w:val="007046C4"/>
    <w:rsid w:val="00704F34"/>
    <w:rsid w:val="007052F9"/>
    <w:rsid w:val="007054FE"/>
    <w:rsid w:val="0070578D"/>
    <w:rsid w:val="00705A97"/>
    <w:rsid w:val="00705DA0"/>
    <w:rsid w:val="007065A1"/>
    <w:rsid w:val="00706B19"/>
    <w:rsid w:val="00706C52"/>
    <w:rsid w:val="00706D2B"/>
    <w:rsid w:val="00706E14"/>
    <w:rsid w:val="00706F6D"/>
    <w:rsid w:val="0070727B"/>
    <w:rsid w:val="00707367"/>
    <w:rsid w:val="00707778"/>
    <w:rsid w:val="00707848"/>
    <w:rsid w:val="00707A43"/>
    <w:rsid w:val="00707B56"/>
    <w:rsid w:val="00707BFF"/>
    <w:rsid w:val="00707D42"/>
    <w:rsid w:val="00707FF4"/>
    <w:rsid w:val="00710427"/>
    <w:rsid w:val="00710B26"/>
    <w:rsid w:val="00710CA9"/>
    <w:rsid w:val="007114AE"/>
    <w:rsid w:val="007119A5"/>
    <w:rsid w:val="00711DC9"/>
    <w:rsid w:val="00711FFF"/>
    <w:rsid w:val="0071200B"/>
    <w:rsid w:val="007122CB"/>
    <w:rsid w:val="007124E8"/>
    <w:rsid w:val="00712739"/>
    <w:rsid w:val="0071286E"/>
    <w:rsid w:val="007128D3"/>
    <w:rsid w:val="00712A79"/>
    <w:rsid w:val="00712C67"/>
    <w:rsid w:val="00712D5A"/>
    <w:rsid w:val="00712DE3"/>
    <w:rsid w:val="00713105"/>
    <w:rsid w:val="0071381A"/>
    <w:rsid w:val="00713B9D"/>
    <w:rsid w:val="00713C74"/>
    <w:rsid w:val="00714114"/>
    <w:rsid w:val="00714CAC"/>
    <w:rsid w:val="00714CEB"/>
    <w:rsid w:val="00714D67"/>
    <w:rsid w:val="00714D73"/>
    <w:rsid w:val="00715166"/>
    <w:rsid w:val="00715DAB"/>
    <w:rsid w:val="0071658B"/>
    <w:rsid w:val="00716A36"/>
    <w:rsid w:val="00716B11"/>
    <w:rsid w:val="00716B9E"/>
    <w:rsid w:val="00716CE6"/>
    <w:rsid w:val="00716D0E"/>
    <w:rsid w:val="00716E26"/>
    <w:rsid w:val="007170BA"/>
    <w:rsid w:val="00717265"/>
    <w:rsid w:val="0071732D"/>
    <w:rsid w:val="00717869"/>
    <w:rsid w:val="007204BA"/>
    <w:rsid w:val="007205E4"/>
    <w:rsid w:val="00720C93"/>
    <w:rsid w:val="00720DB5"/>
    <w:rsid w:val="00721158"/>
    <w:rsid w:val="00721254"/>
    <w:rsid w:val="00721861"/>
    <w:rsid w:val="00721904"/>
    <w:rsid w:val="00721CC4"/>
    <w:rsid w:val="00721D7C"/>
    <w:rsid w:val="00721E01"/>
    <w:rsid w:val="00722327"/>
    <w:rsid w:val="00722483"/>
    <w:rsid w:val="00722621"/>
    <w:rsid w:val="007226A5"/>
    <w:rsid w:val="00722A1F"/>
    <w:rsid w:val="00723242"/>
    <w:rsid w:val="00723AB9"/>
    <w:rsid w:val="00724528"/>
    <w:rsid w:val="0072487F"/>
    <w:rsid w:val="00724A0D"/>
    <w:rsid w:val="00724C10"/>
    <w:rsid w:val="00724F21"/>
    <w:rsid w:val="00724F3B"/>
    <w:rsid w:val="0072510A"/>
    <w:rsid w:val="00725573"/>
    <w:rsid w:val="00725B6A"/>
    <w:rsid w:val="00725B80"/>
    <w:rsid w:val="00725BD3"/>
    <w:rsid w:val="00725C40"/>
    <w:rsid w:val="00725FB1"/>
    <w:rsid w:val="00726072"/>
    <w:rsid w:val="00726109"/>
    <w:rsid w:val="007265D6"/>
    <w:rsid w:val="007269E6"/>
    <w:rsid w:val="00726FDE"/>
    <w:rsid w:val="00727811"/>
    <w:rsid w:val="00727A14"/>
    <w:rsid w:val="00727B2B"/>
    <w:rsid w:val="00727C36"/>
    <w:rsid w:val="007300DF"/>
    <w:rsid w:val="007301D0"/>
    <w:rsid w:val="00730807"/>
    <w:rsid w:val="0073086D"/>
    <w:rsid w:val="00730A9C"/>
    <w:rsid w:val="00731359"/>
    <w:rsid w:val="00731444"/>
    <w:rsid w:val="007316F0"/>
    <w:rsid w:val="0073197E"/>
    <w:rsid w:val="00731A63"/>
    <w:rsid w:val="00731C19"/>
    <w:rsid w:val="00731D83"/>
    <w:rsid w:val="00732129"/>
    <w:rsid w:val="007322EC"/>
    <w:rsid w:val="007325F6"/>
    <w:rsid w:val="00732652"/>
    <w:rsid w:val="00732885"/>
    <w:rsid w:val="00732D0C"/>
    <w:rsid w:val="00732EE6"/>
    <w:rsid w:val="00733019"/>
    <w:rsid w:val="00733339"/>
    <w:rsid w:val="007335C6"/>
    <w:rsid w:val="007336D7"/>
    <w:rsid w:val="00733889"/>
    <w:rsid w:val="00733BB3"/>
    <w:rsid w:val="007350A4"/>
    <w:rsid w:val="007360FF"/>
    <w:rsid w:val="0073610F"/>
    <w:rsid w:val="0073618A"/>
    <w:rsid w:val="007363C7"/>
    <w:rsid w:val="00736601"/>
    <w:rsid w:val="00736656"/>
    <w:rsid w:val="00736864"/>
    <w:rsid w:val="00736DFC"/>
    <w:rsid w:val="00737090"/>
    <w:rsid w:val="007372ED"/>
    <w:rsid w:val="0073754E"/>
    <w:rsid w:val="00737568"/>
    <w:rsid w:val="0073789C"/>
    <w:rsid w:val="00737C78"/>
    <w:rsid w:val="0074045D"/>
    <w:rsid w:val="007406BC"/>
    <w:rsid w:val="007408BB"/>
    <w:rsid w:val="0074140C"/>
    <w:rsid w:val="00741B50"/>
    <w:rsid w:val="00741C1D"/>
    <w:rsid w:val="00741C8C"/>
    <w:rsid w:val="0074235D"/>
    <w:rsid w:val="00742579"/>
    <w:rsid w:val="007440E9"/>
    <w:rsid w:val="007449CA"/>
    <w:rsid w:val="00744BB0"/>
    <w:rsid w:val="00744D4B"/>
    <w:rsid w:val="00744DBF"/>
    <w:rsid w:val="00744F5E"/>
    <w:rsid w:val="0074501A"/>
    <w:rsid w:val="00745933"/>
    <w:rsid w:val="00745F32"/>
    <w:rsid w:val="00745F84"/>
    <w:rsid w:val="0074629D"/>
    <w:rsid w:val="007462C7"/>
    <w:rsid w:val="00746917"/>
    <w:rsid w:val="00746E4E"/>
    <w:rsid w:val="007471AE"/>
    <w:rsid w:val="00747277"/>
    <w:rsid w:val="0074738A"/>
    <w:rsid w:val="00747C83"/>
    <w:rsid w:val="00750816"/>
    <w:rsid w:val="00750AEA"/>
    <w:rsid w:val="00751062"/>
    <w:rsid w:val="00751200"/>
    <w:rsid w:val="007515C8"/>
    <w:rsid w:val="00751882"/>
    <w:rsid w:val="00751DE1"/>
    <w:rsid w:val="0075233E"/>
    <w:rsid w:val="00752381"/>
    <w:rsid w:val="00752382"/>
    <w:rsid w:val="00752613"/>
    <w:rsid w:val="00752701"/>
    <w:rsid w:val="007528EE"/>
    <w:rsid w:val="00752A18"/>
    <w:rsid w:val="00752C31"/>
    <w:rsid w:val="00752D48"/>
    <w:rsid w:val="00752D49"/>
    <w:rsid w:val="007535EA"/>
    <w:rsid w:val="0075360C"/>
    <w:rsid w:val="00753683"/>
    <w:rsid w:val="007539DD"/>
    <w:rsid w:val="00753DD6"/>
    <w:rsid w:val="00753F5E"/>
    <w:rsid w:val="00754412"/>
    <w:rsid w:val="00754AA3"/>
    <w:rsid w:val="00754B42"/>
    <w:rsid w:val="00754BD9"/>
    <w:rsid w:val="00754F2A"/>
    <w:rsid w:val="007550C2"/>
    <w:rsid w:val="007555E9"/>
    <w:rsid w:val="0075562B"/>
    <w:rsid w:val="007559EF"/>
    <w:rsid w:val="007559FF"/>
    <w:rsid w:val="007560D0"/>
    <w:rsid w:val="0075649B"/>
    <w:rsid w:val="007567DA"/>
    <w:rsid w:val="007568B2"/>
    <w:rsid w:val="00756F80"/>
    <w:rsid w:val="00756FE8"/>
    <w:rsid w:val="007570FC"/>
    <w:rsid w:val="00757899"/>
    <w:rsid w:val="00757BA5"/>
    <w:rsid w:val="0076002B"/>
    <w:rsid w:val="0076041F"/>
    <w:rsid w:val="007605F9"/>
    <w:rsid w:val="00760839"/>
    <w:rsid w:val="007614F7"/>
    <w:rsid w:val="007619A8"/>
    <w:rsid w:val="00761B5D"/>
    <w:rsid w:val="00761C3B"/>
    <w:rsid w:val="007621B8"/>
    <w:rsid w:val="00762754"/>
    <w:rsid w:val="00762851"/>
    <w:rsid w:val="00762A09"/>
    <w:rsid w:val="00763232"/>
    <w:rsid w:val="007635DA"/>
    <w:rsid w:val="00763669"/>
    <w:rsid w:val="007638EF"/>
    <w:rsid w:val="00763AD6"/>
    <w:rsid w:val="00763B6F"/>
    <w:rsid w:val="0076411D"/>
    <w:rsid w:val="007642B7"/>
    <w:rsid w:val="00764A01"/>
    <w:rsid w:val="00764AD4"/>
    <w:rsid w:val="00764C43"/>
    <w:rsid w:val="00764C4C"/>
    <w:rsid w:val="00764D8E"/>
    <w:rsid w:val="00764E8E"/>
    <w:rsid w:val="00764FAF"/>
    <w:rsid w:val="00765096"/>
    <w:rsid w:val="00765383"/>
    <w:rsid w:val="007653F3"/>
    <w:rsid w:val="00765452"/>
    <w:rsid w:val="0076591E"/>
    <w:rsid w:val="00765D24"/>
    <w:rsid w:val="00765DA4"/>
    <w:rsid w:val="00765E73"/>
    <w:rsid w:val="00765FE4"/>
    <w:rsid w:val="00766611"/>
    <w:rsid w:val="0076666B"/>
    <w:rsid w:val="00766773"/>
    <w:rsid w:val="0076695C"/>
    <w:rsid w:val="00766C62"/>
    <w:rsid w:val="00766D4D"/>
    <w:rsid w:val="00767345"/>
    <w:rsid w:val="00767451"/>
    <w:rsid w:val="007676DF"/>
    <w:rsid w:val="00767A4D"/>
    <w:rsid w:val="00767BCA"/>
    <w:rsid w:val="00767FD7"/>
    <w:rsid w:val="007702DB"/>
    <w:rsid w:val="00770422"/>
    <w:rsid w:val="00770791"/>
    <w:rsid w:val="007707BA"/>
    <w:rsid w:val="00770837"/>
    <w:rsid w:val="00770C7D"/>
    <w:rsid w:val="00770E56"/>
    <w:rsid w:val="00771293"/>
    <w:rsid w:val="0077171C"/>
    <w:rsid w:val="0077176F"/>
    <w:rsid w:val="00771C7B"/>
    <w:rsid w:val="00771FDD"/>
    <w:rsid w:val="007725E8"/>
    <w:rsid w:val="007725FF"/>
    <w:rsid w:val="00773DD2"/>
    <w:rsid w:val="00773F27"/>
    <w:rsid w:val="00773F4F"/>
    <w:rsid w:val="00773F86"/>
    <w:rsid w:val="0077431A"/>
    <w:rsid w:val="0077445C"/>
    <w:rsid w:val="00774545"/>
    <w:rsid w:val="0077456F"/>
    <w:rsid w:val="00774889"/>
    <w:rsid w:val="0077495D"/>
    <w:rsid w:val="00774D2F"/>
    <w:rsid w:val="00774EE6"/>
    <w:rsid w:val="00774EFC"/>
    <w:rsid w:val="00775602"/>
    <w:rsid w:val="007758BB"/>
    <w:rsid w:val="00775ABE"/>
    <w:rsid w:val="00775B59"/>
    <w:rsid w:val="00776044"/>
    <w:rsid w:val="0077607A"/>
    <w:rsid w:val="00776923"/>
    <w:rsid w:val="00776D6B"/>
    <w:rsid w:val="007771BA"/>
    <w:rsid w:val="00777293"/>
    <w:rsid w:val="00777977"/>
    <w:rsid w:val="007804A7"/>
    <w:rsid w:val="00780A90"/>
    <w:rsid w:val="00780BF9"/>
    <w:rsid w:val="007816C9"/>
    <w:rsid w:val="00781743"/>
    <w:rsid w:val="0078191B"/>
    <w:rsid w:val="00781E02"/>
    <w:rsid w:val="007823B8"/>
    <w:rsid w:val="0078246C"/>
    <w:rsid w:val="00782503"/>
    <w:rsid w:val="00782742"/>
    <w:rsid w:val="007828C1"/>
    <w:rsid w:val="00782F48"/>
    <w:rsid w:val="00783561"/>
    <w:rsid w:val="007837D5"/>
    <w:rsid w:val="007843F5"/>
    <w:rsid w:val="0078461E"/>
    <w:rsid w:val="00784CB4"/>
    <w:rsid w:val="00785150"/>
    <w:rsid w:val="0078529A"/>
    <w:rsid w:val="007853A8"/>
    <w:rsid w:val="007854DC"/>
    <w:rsid w:val="00785564"/>
    <w:rsid w:val="0078591C"/>
    <w:rsid w:val="007863BD"/>
    <w:rsid w:val="007865A0"/>
    <w:rsid w:val="007866EA"/>
    <w:rsid w:val="0078674C"/>
    <w:rsid w:val="00786777"/>
    <w:rsid w:val="007867C8"/>
    <w:rsid w:val="007869C2"/>
    <w:rsid w:val="007869F4"/>
    <w:rsid w:val="00786D9B"/>
    <w:rsid w:val="00786EAC"/>
    <w:rsid w:val="00786EF3"/>
    <w:rsid w:val="007870F3"/>
    <w:rsid w:val="007873D0"/>
    <w:rsid w:val="00787A85"/>
    <w:rsid w:val="00787E37"/>
    <w:rsid w:val="00787EA9"/>
    <w:rsid w:val="00790516"/>
    <w:rsid w:val="0079056F"/>
    <w:rsid w:val="00790969"/>
    <w:rsid w:val="00790D7D"/>
    <w:rsid w:val="00790E46"/>
    <w:rsid w:val="00790EF9"/>
    <w:rsid w:val="0079111F"/>
    <w:rsid w:val="007918EF"/>
    <w:rsid w:val="0079194B"/>
    <w:rsid w:val="0079265E"/>
    <w:rsid w:val="007926A8"/>
    <w:rsid w:val="00792ACA"/>
    <w:rsid w:val="00792ACB"/>
    <w:rsid w:val="00792CC7"/>
    <w:rsid w:val="00792D5A"/>
    <w:rsid w:val="00792E6C"/>
    <w:rsid w:val="00793458"/>
    <w:rsid w:val="00793B95"/>
    <w:rsid w:val="007941B9"/>
    <w:rsid w:val="007942B3"/>
    <w:rsid w:val="0079434C"/>
    <w:rsid w:val="00794668"/>
    <w:rsid w:val="0079470D"/>
    <w:rsid w:val="00794CB6"/>
    <w:rsid w:val="00794E8A"/>
    <w:rsid w:val="00795241"/>
    <w:rsid w:val="007952DE"/>
    <w:rsid w:val="007953DE"/>
    <w:rsid w:val="0079544E"/>
    <w:rsid w:val="007957B6"/>
    <w:rsid w:val="00796218"/>
    <w:rsid w:val="0079662E"/>
    <w:rsid w:val="007966E5"/>
    <w:rsid w:val="007967E6"/>
    <w:rsid w:val="0079688B"/>
    <w:rsid w:val="00796C00"/>
    <w:rsid w:val="00796CE9"/>
    <w:rsid w:val="00796E43"/>
    <w:rsid w:val="007972CF"/>
    <w:rsid w:val="00797412"/>
    <w:rsid w:val="007974B9"/>
    <w:rsid w:val="0079757C"/>
    <w:rsid w:val="00797598"/>
    <w:rsid w:val="0079774A"/>
    <w:rsid w:val="00797996"/>
    <w:rsid w:val="00797A5D"/>
    <w:rsid w:val="007A025B"/>
    <w:rsid w:val="007A0433"/>
    <w:rsid w:val="007A074C"/>
    <w:rsid w:val="007A0825"/>
    <w:rsid w:val="007A0A8D"/>
    <w:rsid w:val="007A0A91"/>
    <w:rsid w:val="007A0FF7"/>
    <w:rsid w:val="007A12A9"/>
    <w:rsid w:val="007A12D6"/>
    <w:rsid w:val="007A1304"/>
    <w:rsid w:val="007A1528"/>
    <w:rsid w:val="007A17F9"/>
    <w:rsid w:val="007A1BE0"/>
    <w:rsid w:val="007A23B8"/>
    <w:rsid w:val="007A25CA"/>
    <w:rsid w:val="007A261B"/>
    <w:rsid w:val="007A27A2"/>
    <w:rsid w:val="007A2957"/>
    <w:rsid w:val="007A2E8D"/>
    <w:rsid w:val="007A3494"/>
    <w:rsid w:val="007A3501"/>
    <w:rsid w:val="007A36BF"/>
    <w:rsid w:val="007A3978"/>
    <w:rsid w:val="007A3B27"/>
    <w:rsid w:val="007A48E9"/>
    <w:rsid w:val="007A4BD4"/>
    <w:rsid w:val="007A4D36"/>
    <w:rsid w:val="007A4E44"/>
    <w:rsid w:val="007A4F41"/>
    <w:rsid w:val="007A4FAF"/>
    <w:rsid w:val="007A5353"/>
    <w:rsid w:val="007A5381"/>
    <w:rsid w:val="007A5B95"/>
    <w:rsid w:val="007A5D91"/>
    <w:rsid w:val="007A5F0A"/>
    <w:rsid w:val="007A6047"/>
    <w:rsid w:val="007A6214"/>
    <w:rsid w:val="007A66C9"/>
    <w:rsid w:val="007A6717"/>
    <w:rsid w:val="007A6806"/>
    <w:rsid w:val="007A6898"/>
    <w:rsid w:val="007A6C0D"/>
    <w:rsid w:val="007A6D0A"/>
    <w:rsid w:val="007A6F0D"/>
    <w:rsid w:val="007A6F6A"/>
    <w:rsid w:val="007A6F8D"/>
    <w:rsid w:val="007A7953"/>
    <w:rsid w:val="007A7BBC"/>
    <w:rsid w:val="007A7D7D"/>
    <w:rsid w:val="007A7E9B"/>
    <w:rsid w:val="007A7FD4"/>
    <w:rsid w:val="007B0450"/>
    <w:rsid w:val="007B0628"/>
    <w:rsid w:val="007B08C7"/>
    <w:rsid w:val="007B0A6F"/>
    <w:rsid w:val="007B0AEF"/>
    <w:rsid w:val="007B0B72"/>
    <w:rsid w:val="007B114C"/>
    <w:rsid w:val="007B136D"/>
    <w:rsid w:val="007B14FD"/>
    <w:rsid w:val="007B1809"/>
    <w:rsid w:val="007B1BAD"/>
    <w:rsid w:val="007B214C"/>
    <w:rsid w:val="007B24D0"/>
    <w:rsid w:val="007B252B"/>
    <w:rsid w:val="007B2739"/>
    <w:rsid w:val="007B27B0"/>
    <w:rsid w:val="007B294D"/>
    <w:rsid w:val="007B29E8"/>
    <w:rsid w:val="007B2CB8"/>
    <w:rsid w:val="007B313E"/>
    <w:rsid w:val="007B3357"/>
    <w:rsid w:val="007B3370"/>
    <w:rsid w:val="007B34DD"/>
    <w:rsid w:val="007B3C1C"/>
    <w:rsid w:val="007B4462"/>
    <w:rsid w:val="007B454F"/>
    <w:rsid w:val="007B4601"/>
    <w:rsid w:val="007B4ADE"/>
    <w:rsid w:val="007B506D"/>
    <w:rsid w:val="007B50CA"/>
    <w:rsid w:val="007B5A3D"/>
    <w:rsid w:val="007B5A9C"/>
    <w:rsid w:val="007B5CFD"/>
    <w:rsid w:val="007B5EB6"/>
    <w:rsid w:val="007B61C1"/>
    <w:rsid w:val="007B65B2"/>
    <w:rsid w:val="007B66EB"/>
    <w:rsid w:val="007B6931"/>
    <w:rsid w:val="007B6E39"/>
    <w:rsid w:val="007B707E"/>
    <w:rsid w:val="007B70E2"/>
    <w:rsid w:val="007B7453"/>
    <w:rsid w:val="007B7A1F"/>
    <w:rsid w:val="007B7B4F"/>
    <w:rsid w:val="007B7F56"/>
    <w:rsid w:val="007C024A"/>
    <w:rsid w:val="007C05A2"/>
    <w:rsid w:val="007C087D"/>
    <w:rsid w:val="007C0960"/>
    <w:rsid w:val="007C0C14"/>
    <w:rsid w:val="007C0C85"/>
    <w:rsid w:val="007C0CE5"/>
    <w:rsid w:val="007C1008"/>
    <w:rsid w:val="007C204C"/>
    <w:rsid w:val="007C283B"/>
    <w:rsid w:val="007C29E1"/>
    <w:rsid w:val="007C2BE3"/>
    <w:rsid w:val="007C2F40"/>
    <w:rsid w:val="007C3600"/>
    <w:rsid w:val="007C36FA"/>
    <w:rsid w:val="007C3D74"/>
    <w:rsid w:val="007C4303"/>
    <w:rsid w:val="007C439D"/>
    <w:rsid w:val="007C445D"/>
    <w:rsid w:val="007C44A1"/>
    <w:rsid w:val="007C4522"/>
    <w:rsid w:val="007C4563"/>
    <w:rsid w:val="007C4825"/>
    <w:rsid w:val="007C4CA9"/>
    <w:rsid w:val="007C4E3C"/>
    <w:rsid w:val="007C4EE2"/>
    <w:rsid w:val="007C4F9C"/>
    <w:rsid w:val="007C50A6"/>
    <w:rsid w:val="007C517C"/>
    <w:rsid w:val="007C51EA"/>
    <w:rsid w:val="007C53CD"/>
    <w:rsid w:val="007C5896"/>
    <w:rsid w:val="007C5D0C"/>
    <w:rsid w:val="007C60AD"/>
    <w:rsid w:val="007C618C"/>
    <w:rsid w:val="007C6292"/>
    <w:rsid w:val="007C6DF1"/>
    <w:rsid w:val="007C70D5"/>
    <w:rsid w:val="007C7270"/>
    <w:rsid w:val="007C748F"/>
    <w:rsid w:val="007C773D"/>
    <w:rsid w:val="007C79DA"/>
    <w:rsid w:val="007C7D96"/>
    <w:rsid w:val="007D0020"/>
    <w:rsid w:val="007D12A5"/>
    <w:rsid w:val="007D13FB"/>
    <w:rsid w:val="007D1714"/>
    <w:rsid w:val="007D1A2A"/>
    <w:rsid w:val="007D1DB9"/>
    <w:rsid w:val="007D1E16"/>
    <w:rsid w:val="007D1F69"/>
    <w:rsid w:val="007D200B"/>
    <w:rsid w:val="007D2072"/>
    <w:rsid w:val="007D218C"/>
    <w:rsid w:val="007D2196"/>
    <w:rsid w:val="007D2315"/>
    <w:rsid w:val="007D2708"/>
    <w:rsid w:val="007D27C7"/>
    <w:rsid w:val="007D27F2"/>
    <w:rsid w:val="007D2ACC"/>
    <w:rsid w:val="007D2B11"/>
    <w:rsid w:val="007D2E2B"/>
    <w:rsid w:val="007D2E4E"/>
    <w:rsid w:val="007D2FB1"/>
    <w:rsid w:val="007D3116"/>
    <w:rsid w:val="007D3BFA"/>
    <w:rsid w:val="007D3D4B"/>
    <w:rsid w:val="007D3EE7"/>
    <w:rsid w:val="007D3FD0"/>
    <w:rsid w:val="007D4764"/>
    <w:rsid w:val="007D4B3A"/>
    <w:rsid w:val="007D4D63"/>
    <w:rsid w:val="007D5061"/>
    <w:rsid w:val="007D5481"/>
    <w:rsid w:val="007D574C"/>
    <w:rsid w:val="007D5A3A"/>
    <w:rsid w:val="007D6182"/>
    <w:rsid w:val="007D632A"/>
    <w:rsid w:val="007D63EC"/>
    <w:rsid w:val="007D6574"/>
    <w:rsid w:val="007D6BC8"/>
    <w:rsid w:val="007D6C02"/>
    <w:rsid w:val="007D6F4D"/>
    <w:rsid w:val="007D720B"/>
    <w:rsid w:val="007D7417"/>
    <w:rsid w:val="007E0152"/>
    <w:rsid w:val="007E0630"/>
    <w:rsid w:val="007E070C"/>
    <w:rsid w:val="007E0C9D"/>
    <w:rsid w:val="007E0D88"/>
    <w:rsid w:val="007E0FE2"/>
    <w:rsid w:val="007E12EE"/>
    <w:rsid w:val="007E1536"/>
    <w:rsid w:val="007E165B"/>
    <w:rsid w:val="007E1668"/>
    <w:rsid w:val="007E195D"/>
    <w:rsid w:val="007E1B15"/>
    <w:rsid w:val="007E1E2F"/>
    <w:rsid w:val="007E1F54"/>
    <w:rsid w:val="007E2090"/>
    <w:rsid w:val="007E2137"/>
    <w:rsid w:val="007E246D"/>
    <w:rsid w:val="007E2734"/>
    <w:rsid w:val="007E285C"/>
    <w:rsid w:val="007E29AC"/>
    <w:rsid w:val="007E2E98"/>
    <w:rsid w:val="007E3639"/>
    <w:rsid w:val="007E364F"/>
    <w:rsid w:val="007E36FC"/>
    <w:rsid w:val="007E3852"/>
    <w:rsid w:val="007E4329"/>
    <w:rsid w:val="007E4512"/>
    <w:rsid w:val="007E48EF"/>
    <w:rsid w:val="007E4A94"/>
    <w:rsid w:val="007E4AAB"/>
    <w:rsid w:val="007E5414"/>
    <w:rsid w:val="007E54CB"/>
    <w:rsid w:val="007E601F"/>
    <w:rsid w:val="007E60FD"/>
    <w:rsid w:val="007E6332"/>
    <w:rsid w:val="007E6422"/>
    <w:rsid w:val="007E6509"/>
    <w:rsid w:val="007E65E2"/>
    <w:rsid w:val="007E6878"/>
    <w:rsid w:val="007E69CB"/>
    <w:rsid w:val="007E6C08"/>
    <w:rsid w:val="007E6D0C"/>
    <w:rsid w:val="007E7750"/>
    <w:rsid w:val="007E79D3"/>
    <w:rsid w:val="007F0035"/>
    <w:rsid w:val="007F06E3"/>
    <w:rsid w:val="007F0814"/>
    <w:rsid w:val="007F0ED8"/>
    <w:rsid w:val="007F0F1F"/>
    <w:rsid w:val="007F124B"/>
    <w:rsid w:val="007F194F"/>
    <w:rsid w:val="007F1A3A"/>
    <w:rsid w:val="007F1C33"/>
    <w:rsid w:val="007F1E59"/>
    <w:rsid w:val="007F270C"/>
    <w:rsid w:val="007F2B5A"/>
    <w:rsid w:val="007F2B94"/>
    <w:rsid w:val="007F2C03"/>
    <w:rsid w:val="007F33B7"/>
    <w:rsid w:val="007F33EC"/>
    <w:rsid w:val="007F370D"/>
    <w:rsid w:val="007F3A2B"/>
    <w:rsid w:val="007F3FDF"/>
    <w:rsid w:val="007F41E9"/>
    <w:rsid w:val="007F445A"/>
    <w:rsid w:val="007F47BD"/>
    <w:rsid w:val="007F4FD9"/>
    <w:rsid w:val="007F530B"/>
    <w:rsid w:val="007F5477"/>
    <w:rsid w:val="007F5787"/>
    <w:rsid w:val="007F5CF1"/>
    <w:rsid w:val="007F5D2F"/>
    <w:rsid w:val="007F6271"/>
    <w:rsid w:val="007F644A"/>
    <w:rsid w:val="007F6649"/>
    <w:rsid w:val="007F681A"/>
    <w:rsid w:val="007F687E"/>
    <w:rsid w:val="007F6994"/>
    <w:rsid w:val="007F72BE"/>
    <w:rsid w:val="007F7364"/>
    <w:rsid w:val="00800236"/>
    <w:rsid w:val="0080073F"/>
    <w:rsid w:val="00800A29"/>
    <w:rsid w:val="00800A88"/>
    <w:rsid w:val="00800ACF"/>
    <w:rsid w:val="00800C24"/>
    <w:rsid w:val="00801543"/>
    <w:rsid w:val="00801621"/>
    <w:rsid w:val="00801DA6"/>
    <w:rsid w:val="00802379"/>
    <w:rsid w:val="00802BD5"/>
    <w:rsid w:val="00802E82"/>
    <w:rsid w:val="00803399"/>
    <w:rsid w:val="00803A0D"/>
    <w:rsid w:val="00803CF6"/>
    <w:rsid w:val="00803E14"/>
    <w:rsid w:val="0080408D"/>
    <w:rsid w:val="008041C0"/>
    <w:rsid w:val="0080436F"/>
    <w:rsid w:val="0080456F"/>
    <w:rsid w:val="00804679"/>
    <w:rsid w:val="00804973"/>
    <w:rsid w:val="00804B1F"/>
    <w:rsid w:val="00804BD0"/>
    <w:rsid w:val="00804F10"/>
    <w:rsid w:val="00805150"/>
    <w:rsid w:val="00805227"/>
    <w:rsid w:val="00805324"/>
    <w:rsid w:val="008055EB"/>
    <w:rsid w:val="008056CA"/>
    <w:rsid w:val="0080596B"/>
    <w:rsid w:val="00805B14"/>
    <w:rsid w:val="00805E33"/>
    <w:rsid w:val="00805E9E"/>
    <w:rsid w:val="008061F3"/>
    <w:rsid w:val="008063C1"/>
    <w:rsid w:val="0080697A"/>
    <w:rsid w:val="00806A19"/>
    <w:rsid w:val="00806B14"/>
    <w:rsid w:val="00806B65"/>
    <w:rsid w:val="00806BA2"/>
    <w:rsid w:val="00806ED2"/>
    <w:rsid w:val="00806F96"/>
    <w:rsid w:val="008070B9"/>
    <w:rsid w:val="008075F4"/>
    <w:rsid w:val="008076A4"/>
    <w:rsid w:val="00807942"/>
    <w:rsid w:val="00807B08"/>
    <w:rsid w:val="00807C29"/>
    <w:rsid w:val="008100F2"/>
    <w:rsid w:val="0081067F"/>
    <w:rsid w:val="00810D50"/>
    <w:rsid w:val="008113B0"/>
    <w:rsid w:val="00811578"/>
    <w:rsid w:val="00811D4A"/>
    <w:rsid w:val="00812034"/>
    <w:rsid w:val="0081221E"/>
    <w:rsid w:val="0081253D"/>
    <w:rsid w:val="008125B5"/>
    <w:rsid w:val="00812750"/>
    <w:rsid w:val="008127D7"/>
    <w:rsid w:val="00812D58"/>
    <w:rsid w:val="00813924"/>
    <w:rsid w:val="00814094"/>
    <w:rsid w:val="008141A6"/>
    <w:rsid w:val="008141E0"/>
    <w:rsid w:val="00814669"/>
    <w:rsid w:val="00814A47"/>
    <w:rsid w:val="00814A4B"/>
    <w:rsid w:val="00814D20"/>
    <w:rsid w:val="00814DFA"/>
    <w:rsid w:val="00814F28"/>
    <w:rsid w:val="0081544C"/>
    <w:rsid w:val="0081558D"/>
    <w:rsid w:val="00815D25"/>
    <w:rsid w:val="008160BE"/>
    <w:rsid w:val="0081664D"/>
    <w:rsid w:val="0081679A"/>
    <w:rsid w:val="00816EBD"/>
    <w:rsid w:val="00816F24"/>
    <w:rsid w:val="0081741E"/>
    <w:rsid w:val="0081784D"/>
    <w:rsid w:val="00817E30"/>
    <w:rsid w:val="00820113"/>
    <w:rsid w:val="00820498"/>
    <w:rsid w:val="00820A13"/>
    <w:rsid w:val="00820D31"/>
    <w:rsid w:val="0082122B"/>
    <w:rsid w:val="00821599"/>
    <w:rsid w:val="008215DA"/>
    <w:rsid w:val="00821857"/>
    <w:rsid w:val="008218FA"/>
    <w:rsid w:val="00821C18"/>
    <w:rsid w:val="00821D0D"/>
    <w:rsid w:val="00821E29"/>
    <w:rsid w:val="0082201B"/>
    <w:rsid w:val="008224C8"/>
    <w:rsid w:val="00822673"/>
    <w:rsid w:val="0082273B"/>
    <w:rsid w:val="00822762"/>
    <w:rsid w:val="00823173"/>
    <w:rsid w:val="008234E8"/>
    <w:rsid w:val="008235B9"/>
    <w:rsid w:val="00823A7D"/>
    <w:rsid w:val="00823BFD"/>
    <w:rsid w:val="008241C9"/>
    <w:rsid w:val="00824776"/>
    <w:rsid w:val="00824E2D"/>
    <w:rsid w:val="00824EDE"/>
    <w:rsid w:val="00825047"/>
    <w:rsid w:val="008251D9"/>
    <w:rsid w:val="00825405"/>
    <w:rsid w:val="0082556C"/>
    <w:rsid w:val="008255A8"/>
    <w:rsid w:val="008255C5"/>
    <w:rsid w:val="00825E30"/>
    <w:rsid w:val="00825E6A"/>
    <w:rsid w:val="00825EE8"/>
    <w:rsid w:val="008261C9"/>
    <w:rsid w:val="00826B90"/>
    <w:rsid w:val="008270B7"/>
    <w:rsid w:val="0082730A"/>
    <w:rsid w:val="00827327"/>
    <w:rsid w:val="0082747E"/>
    <w:rsid w:val="00827619"/>
    <w:rsid w:val="00827AB2"/>
    <w:rsid w:val="00827B36"/>
    <w:rsid w:val="00827B77"/>
    <w:rsid w:val="00827F74"/>
    <w:rsid w:val="0083019C"/>
    <w:rsid w:val="008303C1"/>
    <w:rsid w:val="00830EB6"/>
    <w:rsid w:val="00831004"/>
    <w:rsid w:val="00831038"/>
    <w:rsid w:val="008311ED"/>
    <w:rsid w:val="00831390"/>
    <w:rsid w:val="00831A1C"/>
    <w:rsid w:val="00831DD4"/>
    <w:rsid w:val="00831FCB"/>
    <w:rsid w:val="0083204F"/>
    <w:rsid w:val="008324F0"/>
    <w:rsid w:val="0083288B"/>
    <w:rsid w:val="008329C7"/>
    <w:rsid w:val="00832B42"/>
    <w:rsid w:val="00832EC4"/>
    <w:rsid w:val="0083335D"/>
    <w:rsid w:val="00833592"/>
    <w:rsid w:val="00833707"/>
    <w:rsid w:val="00833765"/>
    <w:rsid w:val="00833FFB"/>
    <w:rsid w:val="00834201"/>
    <w:rsid w:val="00834907"/>
    <w:rsid w:val="00834EBC"/>
    <w:rsid w:val="008355CE"/>
    <w:rsid w:val="0083597E"/>
    <w:rsid w:val="008359CE"/>
    <w:rsid w:val="00835B3B"/>
    <w:rsid w:val="00835B75"/>
    <w:rsid w:val="00835F2B"/>
    <w:rsid w:val="008360BA"/>
    <w:rsid w:val="00836C50"/>
    <w:rsid w:val="00836D90"/>
    <w:rsid w:val="00836EEC"/>
    <w:rsid w:val="0083713D"/>
    <w:rsid w:val="00837330"/>
    <w:rsid w:val="008404D6"/>
    <w:rsid w:val="00840B65"/>
    <w:rsid w:val="00840E22"/>
    <w:rsid w:val="008410AE"/>
    <w:rsid w:val="008411C0"/>
    <w:rsid w:val="0084135C"/>
    <w:rsid w:val="00841477"/>
    <w:rsid w:val="00841941"/>
    <w:rsid w:val="00841A83"/>
    <w:rsid w:val="00841F7B"/>
    <w:rsid w:val="008420C6"/>
    <w:rsid w:val="0084226D"/>
    <w:rsid w:val="0084237D"/>
    <w:rsid w:val="008423D3"/>
    <w:rsid w:val="008425F0"/>
    <w:rsid w:val="00842979"/>
    <w:rsid w:val="00842BF2"/>
    <w:rsid w:val="00843325"/>
    <w:rsid w:val="00843ECC"/>
    <w:rsid w:val="0084421D"/>
    <w:rsid w:val="00844315"/>
    <w:rsid w:val="0084450D"/>
    <w:rsid w:val="0084494E"/>
    <w:rsid w:val="00844BE8"/>
    <w:rsid w:val="00844DAC"/>
    <w:rsid w:val="00845227"/>
    <w:rsid w:val="008454C0"/>
    <w:rsid w:val="008459C7"/>
    <w:rsid w:val="008462BC"/>
    <w:rsid w:val="0084696C"/>
    <w:rsid w:val="00846AB3"/>
    <w:rsid w:val="00846D96"/>
    <w:rsid w:val="00847176"/>
    <w:rsid w:val="00847840"/>
    <w:rsid w:val="00847900"/>
    <w:rsid w:val="00847B11"/>
    <w:rsid w:val="00847BE8"/>
    <w:rsid w:val="00847F9B"/>
    <w:rsid w:val="0085030B"/>
    <w:rsid w:val="00850B4F"/>
    <w:rsid w:val="00850B5F"/>
    <w:rsid w:val="00850C70"/>
    <w:rsid w:val="00850D96"/>
    <w:rsid w:val="0085124E"/>
    <w:rsid w:val="008522D8"/>
    <w:rsid w:val="00852386"/>
    <w:rsid w:val="008523BA"/>
    <w:rsid w:val="00852818"/>
    <w:rsid w:val="00852B46"/>
    <w:rsid w:val="00852E90"/>
    <w:rsid w:val="00853085"/>
    <w:rsid w:val="008531DC"/>
    <w:rsid w:val="0085338B"/>
    <w:rsid w:val="008533EC"/>
    <w:rsid w:val="00853628"/>
    <w:rsid w:val="008537AE"/>
    <w:rsid w:val="00853B8A"/>
    <w:rsid w:val="00853BA3"/>
    <w:rsid w:val="00853C25"/>
    <w:rsid w:val="00853CAD"/>
    <w:rsid w:val="0085452D"/>
    <w:rsid w:val="00854859"/>
    <w:rsid w:val="008548E4"/>
    <w:rsid w:val="00854A4F"/>
    <w:rsid w:val="00854F40"/>
    <w:rsid w:val="0085582B"/>
    <w:rsid w:val="008559C8"/>
    <w:rsid w:val="00855A9C"/>
    <w:rsid w:val="00855C3B"/>
    <w:rsid w:val="00855D5C"/>
    <w:rsid w:val="00855E4C"/>
    <w:rsid w:val="0085632E"/>
    <w:rsid w:val="00856829"/>
    <w:rsid w:val="00856C5F"/>
    <w:rsid w:val="00856EB8"/>
    <w:rsid w:val="00856F25"/>
    <w:rsid w:val="00857025"/>
    <w:rsid w:val="008571F5"/>
    <w:rsid w:val="00857739"/>
    <w:rsid w:val="00857860"/>
    <w:rsid w:val="00857A95"/>
    <w:rsid w:val="00857CDF"/>
    <w:rsid w:val="008602CD"/>
    <w:rsid w:val="0086039C"/>
    <w:rsid w:val="008604FB"/>
    <w:rsid w:val="00860561"/>
    <w:rsid w:val="0086073B"/>
    <w:rsid w:val="008607E4"/>
    <w:rsid w:val="00860B9C"/>
    <w:rsid w:val="00860EE3"/>
    <w:rsid w:val="00861085"/>
    <w:rsid w:val="0086136F"/>
    <w:rsid w:val="0086171F"/>
    <w:rsid w:val="0086199B"/>
    <w:rsid w:val="00862791"/>
    <w:rsid w:val="00862974"/>
    <w:rsid w:val="008629C2"/>
    <w:rsid w:val="00862CFE"/>
    <w:rsid w:val="00863138"/>
    <w:rsid w:val="00863194"/>
    <w:rsid w:val="0086361E"/>
    <w:rsid w:val="008636F1"/>
    <w:rsid w:val="00863879"/>
    <w:rsid w:val="00863BD2"/>
    <w:rsid w:val="00863CBE"/>
    <w:rsid w:val="00863EB5"/>
    <w:rsid w:val="00863FD9"/>
    <w:rsid w:val="0086405A"/>
    <w:rsid w:val="00864E04"/>
    <w:rsid w:val="00864F93"/>
    <w:rsid w:val="008650A2"/>
    <w:rsid w:val="00865440"/>
    <w:rsid w:val="008655E5"/>
    <w:rsid w:val="008655FC"/>
    <w:rsid w:val="00865A63"/>
    <w:rsid w:val="00865A8F"/>
    <w:rsid w:val="00865B3A"/>
    <w:rsid w:val="00865FE3"/>
    <w:rsid w:val="0086605F"/>
    <w:rsid w:val="00866A57"/>
    <w:rsid w:val="00866FA4"/>
    <w:rsid w:val="008673FE"/>
    <w:rsid w:val="008674B5"/>
    <w:rsid w:val="0086768B"/>
    <w:rsid w:val="008677E6"/>
    <w:rsid w:val="00867A86"/>
    <w:rsid w:val="00867C17"/>
    <w:rsid w:val="00867EB0"/>
    <w:rsid w:val="00870497"/>
    <w:rsid w:val="008710E5"/>
    <w:rsid w:val="008711B1"/>
    <w:rsid w:val="00871319"/>
    <w:rsid w:val="008713F4"/>
    <w:rsid w:val="00871449"/>
    <w:rsid w:val="0087151E"/>
    <w:rsid w:val="0087193F"/>
    <w:rsid w:val="00871CA8"/>
    <w:rsid w:val="00871E4E"/>
    <w:rsid w:val="00871EC2"/>
    <w:rsid w:val="008721DE"/>
    <w:rsid w:val="008723EB"/>
    <w:rsid w:val="00872A28"/>
    <w:rsid w:val="00872A4A"/>
    <w:rsid w:val="00872B64"/>
    <w:rsid w:val="00872C24"/>
    <w:rsid w:val="0087347F"/>
    <w:rsid w:val="008738A5"/>
    <w:rsid w:val="00873A43"/>
    <w:rsid w:val="00873AD6"/>
    <w:rsid w:val="00873C9D"/>
    <w:rsid w:val="008741B6"/>
    <w:rsid w:val="00874205"/>
    <w:rsid w:val="008747B7"/>
    <w:rsid w:val="008747F8"/>
    <w:rsid w:val="008751A2"/>
    <w:rsid w:val="008751C0"/>
    <w:rsid w:val="00875260"/>
    <w:rsid w:val="008753B3"/>
    <w:rsid w:val="008755BD"/>
    <w:rsid w:val="00875933"/>
    <w:rsid w:val="0087637B"/>
    <w:rsid w:val="00876454"/>
    <w:rsid w:val="00876AD3"/>
    <w:rsid w:val="00876B74"/>
    <w:rsid w:val="00876BC8"/>
    <w:rsid w:val="008801DA"/>
    <w:rsid w:val="00880643"/>
    <w:rsid w:val="00880D4B"/>
    <w:rsid w:val="0088100A"/>
    <w:rsid w:val="0088191D"/>
    <w:rsid w:val="00882320"/>
    <w:rsid w:val="00882E75"/>
    <w:rsid w:val="00883023"/>
    <w:rsid w:val="00883110"/>
    <w:rsid w:val="008831EF"/>
    <w:rsid w:val="0088333F"/>
    <w:rsid w:val="0088368B"/>
    <w:rsid w:val="0088391D"/>
    <w:rsid w:val="00883942"/>
    <w:rsid w:val="00883A2B"/>
    <w:rsid w:val="00883D8B"/>
    <w:rsid w:val="008844AD"/>
    <w:rsid w:val="0088455B"/>
    <w:rsid w:val="00884796"/>
    <w:rsid w:val="00884ACC"/>
    <w:rsid w:val="00884B9B"/>
    <w:rsid w:val="00884BAE"/>
    <w:rsid w:val="00884BDA"/>
    <w:rsid w:val="00884FFD"/>
    <w:rsid w:val="00885208"/>
    <w:rsid w:val="00885459"/>
    <w:rsid w:val="0088568D"/>
    <w:rsid w:val="008865D2"/>
    <w:rsid w:val="00886869"/>
    <w:rsid w:val="00886B41"/>
    <w:rsid w:val="00886C60"/>
    <w:rsid w:val="00886FF3"/>
    <w:rsid w:val="0088701E"/>
    <w:rsid w:val="00887097"/>
    <w:rsid w:val="00887570"/>
    <w:rsid w:val="0088785A"/>
    <w:rsid w:val="00887C1D"/>
    <w:rsid w:val="00887C40"/>
    <w:rsid w:val="00887DC3"/>
    <w:rsid w:val="00887F68"/>
    <w:rsid w:val="00890524"/>
    <w:rsid w:val="00890603"/>
    <w:rsid w:val="00890653"/>
    <w:rsid w:val="00890C7A"/>
    <w:rsid w:val="00890D8E"/>
    <w:rsid w:val="00890E2F"/>
    <w:rsid w:val="00890F03"/>
    <w:rsid w:val="008910B8"/>
    <w:rsid w:val="0089151B"/>
    <w:rsid w:val="00891762"/>
    <w:rsid w:val="0089192C"/>
    <w:rsid w:val="00891AB9"/>
    <w:rsid w:val="00892019"/>
    <w:rsid w:val="00892200"/>
    <w:rsid w:val="0089248B"/>
    <w:rsid w:val="00892828"/>
    <w:rsid w:val="0089284D"/>
    <w:rsid w:val="00892868"/>
    <w:rsid w:val="00892A8F"/>
    <w:rsid w:val="00892C3C"/>
    <w:rsid w:val="00892DBA"/>
    <w:rsid w:val="00892E34"/>
    <w:rsid w:val="00892EDF"/>
    <w:rsid w:val="00892EF8"/>
    <w:rsid w:val="008930B3"/>
    <w:rsid w:val="0089329F"/>
    <w:rsid w:val="00893759"/>
    <w:rsid w:val="0089386E"/>
    <w:rsid w:val="00893D76"/>
    <w:rsid w:val="00893F17"/>
    <w:rsid w:val="00893F4C"/>
    <w:rsid w:val="00894E66"/>
    <w:rsid w:val="008950EE"/>
    <w:rsid w:val="00895F09"/>
    <w:rsid w:val="00895F3D"/>
    <w:rsid w:val="00896220"/>
    <w:rsid w:val="0089625A"/>
    <w:rsid w:val="0089658C"/>
    <w:rsid w:val="00896AF7"/>
    <w:rsid w:val="00896BE0"/>
    <w:rsid w:val="00896F41"/>
    <w:rsid w:val="0089728F"/>
    <w:rsid w:val="008974B4"/>
    <w:rsid w:val="00897606"/>
    <w:rsid w:val="00897623"/>
    <w:rsid w:val="00897840"/>
    <w:rsid w:val="008A0194"/>
    <w:rsid w:val="008A025B"/>
    <w:rsid w:val="008A0AD9"/>
    <w:rsid w:val="008A0B68"/>
    <w:rsid w:val="008A1066"/>
    <w:rsid w:val="008A1090"/>
    <w:rsid w:val="008A1134"/>
    <w:rsid w:val="008A117A"/>
    <w:rsid w:val="008A122E"/>
    <w:rsid w:val="008A19F2"/>
    <w:rsid w:val="008A1C25"/>
    <w:rsid w:val="008A1E94"/>
    <w:rsid w:val="008A227A"/>
    <w:rsid w:val="008A2798"/>
    <w:rsid w:val="008A2846"/>
    <w:rsid w:val="008A2A56"/>
    <w:rsid w:val="008A2EC6"/>
    <w:rsid w:val="008A2FC7"/>
    <w:rsid w:val="008A3132"/>
    <w:rsid w:val="008A315F"/>
    <w:rsid w:val="008A321F"/>
    <w:rsid w:val="008A3292"/>
    <w:rsid w:val="008A36B2"/>
    <w:rsid w:val="008A3BC1"/>
    <w:rsid w:val="008A3EAF"/>
    <w:rsid w:val="008A4D6C"/>
    <w:rsid w:val="008A4DE6"/>
    <w:rsid w:val="008A51C8"/>
    <w:rsid w:val="008A51E6"/>
    <w:rsid w:val="008A536C"/>
    <w:rsid w:val="008A53B1"/>
    <w:rsid w:val="008A556E"/>
    <w:rsid w:val="008A558B"/>
    <w:rsid w:val="008A57D7"/>
    <w:rsid w:val="008A5CF3"/>
    <w:rsid w:val="008A5EB2"/>
    <w:rsid w:val="008A5ECB"/>
    <w:rsid w:val="008A651E"/>
    <w:rsid w:val="008A697F"/>
    <w:rsid w:val="008A6D3D"/>
    <w:rsid w:val="008A7973"/>
    <w:rsid w:val="008A7D38"/>
    <w:rsid w:val="008A7EAF"/>
    <w:rsid w:val="008A7F62"/>
    <w:rsid w:val="008B0C5A"/>
    <w:rsid w:val="008B0CF2"/>
    <w:rsid w:val="008B1043"/>
    <w:rsid w:val="008B1123"/>
    <w:rsid w:val="008B1694"/>
    <w:rsid w:val="008B1B16"/>
    <w:rsid w:val="008B1E00"/>
    <w:rsid w:val="008B203D"/>
    <w:rsid w:val="008B2426"/>
    <w:rsid w:val="008B2512"/>
    <w:rsid w:val="008B2DF6"/>
    <w:rsid w:val="008B30CD"/>
    <w:rsid w:val="008B30E3"/>
    <w:rsid w:val="008B324B"/>
    <w:rsid w:val="008B3277"/>
    <w:rsid w:val="008B3BD1"/>
    <w:rsid w:val="008B42CB"/>
    <w:rsid w:val="008B430B"/>
    <w:rsid w:val="008B4421"/>
    <w:rsid w:val="008B47AA"/>
    <w:rsid w:val="008B47D7"/>
    <w:rsid w:val="008B483F"/>
    <w:rsid w:val="008B4DAE"/>
    <w:rsid w:val="008B5475"/>
    <w:rsid w:val="008B567D"/>
    <w:rsid w:val="008B5E1F"/>
    <w:rsid w:val="008B6938"/>
    <w:rsid w:val="008B6BD7"/>
    <w:rsid w:val="008B72E2"/>
    <w:rsid w:val="008B732C"/>
    <w:rsid w:val="008B73AB"/>
    <w:rsid w:val="008B7422"/>
    <w:rsid w:val="008B7713"/>
    <w:rsid w:val="008B7940"/>
    <w:rsid w:val="008B7BB5"/>
    <w:rsid w:val="008B7D58"/>
    <w:rsid w:val="008C0028"/>
    <w:rsid w:val="008C0137"/>
    <w:rsid w:val="008C0249"/>
    <w:rsid w:val="008C08EE"/>
    <w:rsid w:val="008C0E01"/>
    <w:rsid w:val="008C0E1D"/>
    <w:rsid w:val="008C10CB"/>
    <w:rsid w:val="008C1426"/>
    <w:rsid w:val="008C157A"/>
    <w:rsid w:val="008C18D3"/>
    <w:rsid w:val="008C19D0"/>
    <w:rsid w:val="008C1CBA"/>
    <w:rsid w:val="008C1DF1"/>
    <w:rsid w:val="008C209D"/>
    <w:rsid w:val="008C2270"/>
    <w:rsid w:val="008C2610"/>
    <w:rsid w:val="008C2611"/>
    <w:rsid w:val="008C2672"/>
    <w:rsid w:val="008C297B"/>
    <w:rsid w:val="008C2A35"/>
    <w:rsid w:val="008C2CBC"/>
    <w:rsid w:val="008C2EA8"/>
    <w:rsid w:val="008C2EFD"/>
    <w:rsid w:val="008C34EF"/>
    <w:rsid w:val="008C365F"/>
    <w:rsid w:val="008C36F7"/>
    <w:rsid w:val="008C3820"/>
    <w:rsid w:val="008C3BAF"/>
    <w:rsid w:val="008C3BDD"/>
    <w:rsid w:val="008C418C"/>
    <w:rsid w:val="008C45E9"/>
    <w:rsid w:val="008C4630"/>
    <w:rsid w:val="008C484D"/>
    <w:rsid w:val="008C4959"/>
    <w:rsid w:val="008C5449"/>
    <w:rsid w:val="008C55B7"/>
    <w:rsid w:val="008C593F"/>
    <w:rsid w:val="008C5985"/>
    <w:rsid w:val="008C5EB8"/>
    <w:rsid w:val="008C61A0"/>
    <w:rsid w:val="008C6557"/>
    <w:rsid w:val="008C6C4D"/>
    <w:rsid w:val="008C6E6C"/>
    <w:rsid w:val="008C74CA"/>
    <w:rsid w:val="008C7589"/>
    <w:rsid w:val="008C7631"/>
    <w:rsid w:val="008C7AEF"/>
    <w:rsid w:val="008C7E5A"/>
    <w:rsid w:val="008C7EC8"/>
    <w:rsid w:val="008D04A2"/>
    <w:rsid w:val="008D07B9"/>
    <w:rsid w:val="008D101E"/>
    <w:rsid w:val="008D1263"/>
    <w:rsid w:val="008D13AE"/>
    <w:rsid w:val="008D1B81"/>
    <w:rsid w:val="008D1B8C"/>
    <w:rsid w:val="008D1E3A"/>
    <w:rsid w:val="008D23A2"/>
    <w:rsid w:val="008D249B"/>
    <w:rsid w:val="008D2537"/>
    <w:rsid w:val="008D32E8"/>
    <w:rsid w:val="008D358D"/>
    <w:rsid w:val="008D364B"/>
    <w:rsid w:val="008D4206"/>
    <w:rsid w:val="008D4BC1"/>
    <w:rsid w:val="008D5003"/>
    <w:rsid w:val="008D5B82"/>
    <w:rsid w:val="008D5D9A"/>
    <w:rsid w:val="008D632D"/>
    <w:rsid w:val="008D6962"/>
    <w:rsid w:val="008D6D60"/>
    <w:rsid w:val="008D6FDA"/>
    <w:rsid w:val="008D7003"/>
    <w:rsid w:val="008D70CD"/>
    <w:rsid w:val="008D7B1C"/>
    <w:rsid w:val="008D7B40"/>
    <w:rsid w:val="008D7D28"/>
    <w:rsid w:val="008E007B"/>
    <w:rsid w:val="008E00A1"/>
    <w:rsid w:val="008E024D"/>
    <w:rsid w:val="008E029B"/>
    <w:rsid w:val="008E0C97"/>
    <w:rsid w:val="008E0F29"/>
    <w:rsid w:val="008E0F59"/>
    <w:rsid w:val="008E126B"/>
    <w:rsid w:val="008E13B6"/>
    <w:rsid w:val="008E1F42"/>
    <w:rsid w:val="008E20FD"/>
    <w:rsid w:val="008E2264"/>
    <w:rsid w:val="008E26A8"/>
    <w:rsid w:val="008E2DBC"/>
    <w:rsid w:val="008E2F83"/>
    <w:rsid w:val="008E32F4"/>
    <w:rsid w:val="008E38D8"/>
    <w:rsid w:val="008E3E98"/>
    <w:rsid w:val="008E3FAD"/>
    <w:rsid w:val="008E419D"/>
    <w:rsid w:val="008E43FF"/>
    <w:rsid w:val="008E45C2"/>
    <w:rsid w:val="008E4BFD"/>
    <w:rsid w:val="008E505D"/>
    <w:rsid w:val="008E5739"/>
    <w:rsid w:val="008E57C4"/>
    <w:rsid w:val="008E5DA3"/>
    <w:rsid w:val="008E5DFF"/>
    <w:rsid w:val="008E6114"/>
    <w:rsid w:val="008E62B9"/>
    <w:rsid w:val="008E65E2"/>
    <w:rsid w:val="008E65EB"/>
    <w:rsid w:val="008E6DAA"/>
    <w:rsid w:val="008E6FFF"/>
    <w:rsid w:val="008E73EC"/>
    <w:rsid w:val="008E763A"/>
    <w:rsid w:val="008E79DD"/>
    <w:rsid w:val="008F01CF"/>
    <w:rsid w:val="008F0773"/>
    <w:rsid w:val="008F0909"/>
    <w:rsid w:val="008F0971"/>
    <w:rsid w:val="008F0E65"/>
    <w:rsid w:val="008F1111"/>
    <w:rsid w:val="008F1750"/>
    <w:rsid w:val="008F1941"/>
    <w:rsid w:val="008F1BB0"/>
    <w:rsid w:val="008F1C83"/>
    <w:rsid w:val="008F2145"/>
    <w:rsid w:val="008F2550"/>
    <w:rsid w:val="008F2734"/>
    <w:rsid w:val="008F2805"/>
    <w:rsid w:val="008F28B4"/>
    <w:rsid w:val="008F3097"/>
    <w:rsid w:val="008F30FA"/>
    <w:rsid w:val="008F3273"/>
    <w:rsid w:val="008F398A"/>
    <w:rsid w:val="008F3994"/>
    <w:rsid w:val="008F3C75"/>
    <w:rsid w:val="008F3C93"/>
    <w:rsid w:val="008F3E0C"/>
    <w:rsid w:val="008F4126"/>
    <w:rsid w:val="008F4553"/>
    <w:rsid w:val="008F497B"/>
    <w:rsid w:val="008F4BB6"/>
    <w:rsid w:val="008F5118"/>
    <w:rsid w:val="008F5661"/>
    <w:rsid w:val="008F5C42"/>
    <w:rsid w:val="008F5E01"/>
    <w:rsid w:val="008F5E4E"/>
    <w:rsid w:val="008F60B7"/>
    <w:rsid w:val="008F624A"/>
    <w:rsid w:val="008F6507"/>
    <w:rsid w:val="008F65AE"/>
    <w:rsid w:val="008F6A06"/>
    <w:rsid w:val="008F6BE3"/>
    <w:rsid w:val="008F73F2"/>
    <w:rsid w:val="008F74BA"/>
    <w:rsid w:val="008F7AC6"/>
    <w:rsid w:val="008F7DAF"/>
    <w:rsid w:val="00900222"/>
    <w:rsid w:val="0090028D"/>
    <w:rsid w:val="00900545"/>
    <w:rsid w:val="009007A9"/>
    <w:rsid w:val="009008DF"/>
    <w:rsid w:val="00900F75"/>
    <w:rsid w:val="00900FF7"/>
    <w:rsid w:val="0090103A"/>
    <w:rsid w:val="0090132C"/>
    <w:rsid w:val="009017D4"/>
    <w:rsid w:val="009018EE"/>
    <w:rsid w:val="00901BF8"/>
    <w:rsid w:val="00901E0B"/>
    <w:rsid w:val="00901E8E"/>
    <w:rsid w:val="00901FED"/>
    <w:rsid w:val="009020F2"/>
    <w:rsid w:val="00902431"/>
    <w:rsid w:val="009025A7"/>
    <w:rsid w:val="00902A5F"/>
    <w:rsid w:val="00902B94"/>
    <w:rsid w:val="00902D15"/>
    <w:rsid w:val="00902FBE"/>
    <w:rsid w:val="00903182"/>
    <w:rsid w:val="009036AD"/>
    <w:rsid w:val="00903B3F"/>
    <w:rsid w:val="00903B59"/>
    <w:rsid w:val="00903D4A"/>
    <w:rsid w:val="00904127"/>
    <w:rsid w:val="009041A1"/>
    <w:rsid w:val="00904366"/>
    <w:rsid w:val="00904659"/>
    <w:rsid w:val="00904766"/>
    <w:rsid w:val="009050F4"/>
    <w:rsid w:val="009051B5"/>
    <w:rsid w:val="0090554E"/>
    <w:rsid w:val="009058FA"/>
    <w:rsid w:val="00905F8D"/>
    <w:rsid w:val="0090685E"/>
    <w:rsid w:val="00906DA5"/>
    <w:rsid w:val="00907924"/>
    <w:rsid w:val="00907AF9"/>
    <w:rsid w:val="009101CA"/>
    <w:rsid w:val="00911322"/>
    <w:rsid w:val="009116F6"/>
    <w:rsid w:val="00912272"/>
    <w:rsid w:val="00912ACE"/>
    <w:rsid w:val="00912E0B"/>
    <w:rsid w:val="0091366C"/>
    <w:rsid w:val="009136E1"/>
    <w:rsid w:val="00913B89"/>
    <w:rsid w:val="00913DBB"/>
    <w:rsid w:val="00913E45"/>
    <w:rsid w:val="009144F0"/>
    <w:rsid w:val="009147A6"/>
    <w:rsid w:val="00914B11"/>
    <w:rsid w:val="00914E7B"/>
    <w:rsid w:val="00915196"/>
    <w:rsid w:val="009153E7"/>
    <w:rsid w:val="0091624E"/>
    <w:rsid w:val="009165B9"/>
    <w:rsid w:val="0091675C"/>
    <w:rsid w:val="0091678B"/>
    <w:rsid w:val="00916E26"/>
    <w:rsid w:val="00916F4F"/>
    <w:rsid w:val="009172A2"/>
    <w:rsid w:val="00917542"/>
    <w:rsid w:val="00917660"/>
    <w:rsid w:val="009179B9"/>
    <w:rsid w:val="00917AEB"/>
    <w:rsid w:val="00917BCC"/>
    <w:rsid w:val="00917D2D"/>
    <w:rsid w:val="00917E34"/>
    <w:rsid w:val="0092023A"/>
    <w:rsid w:val="009202A1"/>
    <w:rsid w:val="009203ED"/>
    <w:rsid w:val="00920685"/>
    <w:rsid w:val="00921415"/>
    <w:rsid w:val="009217F3"/>
    <w:rsid w:val="00921A05"/>
    <w:rsid w:val="00921EC4"/>
    <w:rsid w:val="00921FC2"/>
    <w:rsid w:val="009222DE"/>
    <w:rsid w:val="009225CB"/>
    <w:rsid w:val="00922B97"/>
    <w:rsid w:val="009230C8"/>
    <w:rsid w:val="00923245"/>
    <w:rsid w:val="009232E7"/>
    <w:rsid w:val="009232FC"/>
    <w:rsid w:val="00923630"/>
    <w:rsid w:val="009236CD"/>
    <w:rsid w:val="0092377E"/>
    <w:rsid w:val="0092385A"/>
    <w:rsid w:val="00923AC1"/>
    <w:rsid w:val="00924311"/>
    <w:rsid w:val="0092441B"/>
    <w:rsid w:val="00924656"/>
    <w:rsid w:val="00924802"/>
    <w:rsid w:val="00924ED6"/>
    <w:rsid w:val="00925002"/>
    <w:rsid w:val="0092537B"/>
    <w:rsid w:val="00925A39"/>
    <w:rsid w:val="00925D69"/>
    <w:rsid w:val="00925F4C"/>
    <w:rsid w:val="009271E8"/>
    <w:rsid w:val="00927899"/>
    <w:rsid w:val="009279E5"/>
    <w:rsid w:val="00927D85"/>
    <w:rsid w:val="00927E5E"/>
    <w:rsid w:val="00927FB3"/>
    <w:rsid w:val="00930188"/>
    <w:rsid w:val="009301D4"/>
    <w:rsid w:val="009303A9"/>
    <w:rsid w:val="009303BD"/>
    <w:rsid w:val="009303CF"/>
    <w:rsid w:val="00930B68"/>
    <w:rsid w:val="00930D28"/>
    <w:rsid w:val="00931100"/>
    <w:rsid w:val="009311FF"/>
    <w:rsid w:val="009317BF"/>
    <w:rsid w:val="00932169"/>
    <w:rsid w:val="00932228"/>
    <w:rsid w:val="0093231C"/>
    <w:rsid w:val="0093273A"/>
    <w:rsid w:val="00932946"/>
    <w:rsid w:val="009329FC"/>
    <w:rsid w:val="00932A43"/>
    <w:rsid w:val="009335F4"/>
    <w:rsid w:val="00933D83"/>
    <w:rsid w:val="009340AF"/>
    <w:rsid w:val="009346E8"/>
    <w:rsid w:val="00934EEB"/>
    <w:rsid w:val="00935352"/>
    <w:rsid w:val="0093548F"/>
    <w:rsid w:val="009357B4"/>
    <w:rsid w:val="0093592E"/>
    <w:rsid w:val="00935957"/>
    <w:rsid w:val="00936797"/>
    <w:rsid w:val="009368B6"/>
    <w:rsid w:val="00936A45"/>
    <w:rsid w:val="00936C8B"/>
    <w:rsid w:val="009370F3"/>
    <w:rsid w:val="00937B76"/>
    <w:rsid w:val="00937F39"/>
    <w:rsid w:val="00937FBF"/>
    <w:rsid w:val="00940374"/>
    <w:rsid w:val="00940A5A"/>
    <w:rsid w:val="00940B45"/>
    <w:rsid w:val="00941452"/>
    <w:rsid w:val="009416EA"/>
    <w:rsid w:val="009416F9"/>
    <w:rsid w:val="00941A87"/>
    <w:rsid w:val="00941BA4"/>
    <w:rsid w:val="0094221F"/>
    <w:rsid w:val="009427BE"/>
    <w:rsid w:val="00943044"/>
    <w:rsid w:val="0094341D"/>
    <w:rsid w:val="009435F4"/>
    <w:rsid w:val="009436B6"/>
    <w:rsid w:val="00943B12"/>
    <w:rsid w:val="00943C7B"/>
    <w:rsid w:val="00943E54"/>
    <w:rsid w:val="0094423B"/>
    <w:rsid w:val="00944B63"/>
    <w:rsid w:val="00944D15"/>
    <w:rsid w:val="00944E72"/>
    <w:rsid w:val="00944FC3"/>
    <w:rsid w:val="009450AE"/>
    <w:rsid w:val="009450EE"/>
    <w:rsid w:val="009452D1"/>
    <w:rsid w:val="0094568C"/>
    <w:rsid w:val="00945C0C"/>
    <w:rsid w:val="00945C78"/>
    <w:rsid w:val="00946338"/>
    <w:rsid w:val="0094634A"/>
    <w:rsid w:val="0094658C"/>
    <w:rsid w:val="0094667F"/>
    <w:rsid w:val="00946B1F"/>
    <w:rsid w:val="00947051"/>
    <w:rsid w:val="009479B6"/>
    <w:rsid w:val="00947A81"/>
    <w:rsid w:val="0095026D"/>
    <w:rsid w:val="009504A3"/>
    <w:rsid w:val="0095062D"/>
    <w:rsid w:val="00950DBB"/>
    <w:rsid w:val="00950E0E"/>
    <w:rsid w:val="0095138B"/>
    <w:rsid w:val="0095147F"/>
    <w:rsid w:val="00951684"/>
    <w:rsid w:val="0095175D"/>
    <w:rsid w:val="00951ADD"/>
    <w:rsid w:val="00951F44"/>
    <w:rsid w:val="0095229F"/>
    <w:rsid w:val="00952672"/>
    <w:rsid w:val="00952B54"/>
    <w:rsid w:val="0095314B"/>
    <w:rsid w:val="00953226"/>
    <w:rsid w:val="00953F00"/>
    <w:rsid w:val="0095401D"/>
    <w:rsid w:val="009541FC"/>
    <w:rsid w:val="009544FF"/>
    <w:rsid w:val="009545C2"/>
    <w:rsid w:val="009549E4"/>
    <w:rsid w:val="00954C76"/>
    <w:rsid w:val="00954D53"/>
    <w:rsid w:val="00954ED7"/>
    <w:rsid w:val="0095511D"/>
    <w:rsid w:val="00955234"/>
    <w:rsid w:val="00955357"/>
    <w:rsid w:val="0095543E"/>
    <w:rsid w:val="00955AFB"/>
    <w:rsid w:val="00956297"/>
    <w:rsid w:val="00956766"/>
    <w:rsid w:val="009568F8"/>
    <w:rsid w:val="0095710C"/>
    <w:rsid w:val="009572D2"/>
    <w:rsid w:val="00957879"/>
    <w:rsid w:val="00957B85"/>
    <w:rsid w:val="00957BD2"/>
    <w:rsid w:val="00957C32"/>
    <w:rsid w:val="00957C5D"/>
    <w:rsid w:val="00960016"/>
    <w:rsid w:val="0096005B"/>
    <w:rsid w:val="00960404"/>
    <w:rsid w:val="009604C3"/>
    <w:rsid w:val="00960720"/>
    <w:rsid w:val="009607E8"/>
    <w:rsid w:val="00960913"/>
    <w:rsid w:val="00960B28"/>
    <w:rsid w:val="00960D57"/>
    <w:rsid w:val="00961292"/>
    <w:rsid w:val="009613AA"/>
    <w:rsid w:val="0096190D"/>
    <w:rsid w:val="0096195F"/>
    <w:rsid w:val="00961C57"/>
    <w:rsid w:val="00962071"/>
    <w:rsid w:val="009621E9"/>
    <w:rsid w:val="00962553"/>
    <w:rsid w:val="00962DF0"/>
    <w:rsid w:val="00962F3D"/>
    <w:rsid w:val="0096306E"/>
    <w:rsid w:val="009630EE"/>
    <w:rsid w:val="0096314D"/>
    <w:rsid w:val="0096330D"/>
    <w:rsid w:val="00963841"/>
    <w:rsid w:val="00963AEC"/>
    <w:rsid w:val="00963BEF"/>
    <w:rsid w:val="00963E36"/>
    <w:rsid w:val="00963F05"/>
    <w:rsid w:val="0096489C"/>
    <w:rsid w:val="00964952"/>
    <w:rsid w:val="00964A9D"/>
    <w:rsid w:val="00964B58"/>
    <w:rsid w:val="009651A1"/>
    <w:rsid w:val="009654A2"/>
    <w:rsid w:val="0096564E"/>
    <w:rsid w:val="00965851"/>
    <w:rsid w:val="009661BC"/>
    <w:rsid w:val="00966354"/>
    <w:rsid w:val="00966492"/>
    <w:rsid w:val="00966629"/>
    <w:rsid w:val="009668A9"/>
    <w:rsid w:val="00966C64"/>
    <w:rsid w:val="00966FDB"/>
    <w:rsid w:val="00967037"/>
    <w:rsid w:val="0096718A"/>
    <w:rsid w:val="0096734D"/>
    <w:rsid w:val="00967387"/>
    <w:rsid w:val="00967751"/>
    <w:rsid w:val="0096781A"/>
    <w:rsid w:val="00967EEF"/>
    <w:rsid w:val="00970375"/>
    <w:rsid w:val="00970731"/>
    <w:rsid w:val="00970B5F"/>
    <w:rsid w:val="00970D5E"/>
    <w:rsid w:val="00970DEA"/>
    <w:rsid w:val="00971202"/>
    <w:rsid w:val="00971833"/>
    <w:rsid w:val="009718DD"/>
    <w:rsid w:val="00971EAF"/>
    <w:rsid w:val="00972E0B"/>
    <w:rsid w:val="00973003"/>
    <w:rsid w:val="00973B70"/>
    <w:rsid w:val="009743EC"/>
    <w:rsid w:val="00974414"/>
    <w:rsid w:val="00974578"/>
    <w:rsid w:val="00974720"/>
    <w:rsid w:val="0097499B"/>
    <w:rsid w:val="00974C1A"/>
    <w:rsid w:val="009751A9"/>
    <w:rsid w:val="00975232"/>
    <w:rsid w:val="009752A3"/>
    <w:rsid w:val="009754FC"/>
    <w:rsid w:val="00975AA7"/>
    <w:rsid w:val="00975F2C"/>
    <w:rsid w:val="009762E7"/>
    <w:rsid w:val="00976441"/>
    <w:rsid w:val="0097664E"/>
    <w:rsid w:val="009767DC"/>
    <w:rsid w:val="009767FB"/>
    <w:rsid w:val="00976D7E"/>
    <w:rsid w:val="009774CF"/>
    <w:rsid w:val="00977537"/>
    <w:rsid w:val="00977BA4"/>
    <w:rsid w:val="00977D32"/>
    <w:rsid w:val="00977EB9"/>
    <w:rsid w:val="00977EE8"/>
    <w:rsid w:val="00977F87"/>
    <w:rsid w:val="00977FFB"/>
    <w:rsid w:val="0098011E"/>
    <w:rsid w:val="009803D2"/>
    <w:rsid w:val="0098067E"/>
    <w:rsid w:val="009807FF"/>
    <w:rsid w:val="00980AFF"/>
    <w:rsid w:val="00980C7C"/>
    <w:rsid w:val="00980CC8"/>
    <w:rsid w:val="009810F7"/>
    <w:rsid w:val="009814AF"/>
    <w:rsid w:val="00981AA4"/>
    <w:rsid w:val="00981DE2"/>
    <w:rsid w:val="00982115"/>
    <w:rsid w:val="00982CA3"/>
    <w:rsid w:val="0098327F"/>
    <w:rsid w:val="009833DB"/>
    <w:rsid w:val="00983CE8"/>
    <w:rsid w:val="00983D8F"/>
    <w:rsid w:val="00983F1D"/>
    <w:rsid w:val="00983F7C"/>
    <w:rsid w:val="009841A4"/>
    <w:rsid w:val="0098471D"/>
    <w:rsid w:val="00984BF4"/>
    <w:rsid w:val="00984E5A"/>
    <w:rsid w:val="00984EEB"/>
    <w:rsid w:val="00984EFB"/>
    <w:rsid w:val="009852E7"/>
    <w:rsid w:val="009856A1"/>
    <w:rsid w:val="009858CB"/>
    <w:rsid w:val="009859C1"/>
    <w:rsid w:val="009859D2"/>
    <w:rsid w:val="00985BAC"/>
    <w:rsid w:val="00985C13"/>
    <w:rsid w:val="009860A1"/>
    <w:rsid w:val="00986261"/>
    <w:rsid w:val="00986430"/>
    <w:rsid w:val="0098686A"/>
    <w:rsid w:val="00986B64"/>
    <w:rsid w:val="009872CC"/>
    <w:rsid w:val="009873A2"/>
    <w:rsid w:val="009879F2"/>
    <w:rsid w:val="00987A49"/>
    <w:rsid w:val="00987D6B"/>
    <w:rsid w:val="00987D7C"/>
    <w:rsid w:val="00987E87"/>
    <w:rsid w:val="009900AC"/>
    <w:rsid w:val="0099021C"/>
    <w:rsid w:val="00990494"/>
    <w:rsid w:val="00990614"/>
    <w:rsid w:val="00990CF1"/>
    <w:rsid w:val="00990DCC"/>
    <w:rsid w:val="00990E51"/>
    <w:rsid w:val="00990E8B"/>
    <w:rsid w:val="009910E1"/>
    <w:rsid w:val="00991B07"/>
    <w:rsid w:val="00991CBC"/>
    <w:rsid w:val="00991DB8"/>
    <w:rsid w:val="00992147"/>
    <w:rsid w:val="009921E6"/>
    <w:rsid w:val="00992561"/>
    <w:rsid w:val="00992872"/>
    <w:rsid w:val="00992D3F"/>
    <w:rsid w:val="00992FB7"/>
    <w:rsid w:val="009937C4"/>
    <w:rsid w:val="00993910"/>
    <w:rsid w:val="00993DDD"/>
    <w:rsid w:val="00993F1C"/>
    <w:rsid w:val="0099451F"/>
    <w:rsid w:val="00994AF1"/>
    <w:rsid w:val="00994F1C"/>
    <w:rsid w:val="0099512F"/>
    <w:rsid w:val="009955ED"/>
    <w:rsid w:val="0099598B"/>
    <w:rsid w:val="009959A9"/>
    <w:rsid w:val="00995BF5"/>
    <w:rsid w:val="00996040"/>
    <w:rsid w:val="00996209"/>
    <w:rsid w:val="0099640F"/>
    <w:rsid w:val="00996501"/>
    <w:rsid w:val="00996598"/>
    <w:rsid w:val="0099692E"/>
    <w:rsid w:val="00997000"/>
    <w:rsid w:val="0099722B"/>
    <w:rsid w:val="00997270"/>
    <w:rsid w:val="009974E3"/>
    <w:rsid w:val="00997573"/>
    <w:rsid w:val="00997583"/>
    <w:rsid w:val="009977CE"/>
    <w:rsid w:val="009978BE"/>
    <w:rsid w:val="00997905"/>
    <w:rsid w:val="00997F67"/>
    <w:rsid w:val="009A020E"/>
    <w:rsid w:val="009A02E4"/>
    <w:rsid w:val="009A032A"/>
    <w:rsid w:val="009A0433"/>
    <w:rsid w:val="009A049F"/>
    <w:rsid w:val="009A0804"/>
    <w:rsid w:val="009A083C"/>
    <w:rsid w:val="009A0858"/>
    <w:rsid w:val="009A0BE7"/>
    <w:rsid w:val="009A0C95"/>
    <w:rsid w:val="009A0CAF"/>
    <w:rsid w:val="009A0E3A"/>
    <w:rsid w:val="009A12F9"/>
    <w:rsid w:val="009A1764"/>
    <w:rsid w:val="009A1810"/>
    <w:rsid w:val="009A1A0A"/>
    <w:rsid w:val="009A1B01"/>
    <w:rsid w:val="009A1D48"/>
    <w:rsid w:val="009A223D"/>
    <w:rsid w:val="009A249B"/>
    <w:rsid w:val="009A2656"/>
    <w:rsid w:val="009A2804"/>
    <w:rsid w:val="009A2855"/>
    <w:rsid w:val="009A2B8E"/>
    <w:rsid w:val="009A3013"/>
    <w:rsid w:val="009A30EC"/>
    <w:rsid w:val="009A35BC"/>
    <w:rsid w:val="009A3705"/>
    <w:rsid w:val="009A3BC7"/>
    <w:rsid w:val="009A3CC8"/>
    <w:rsid w:val="009A4BB4"/>
    <w:rsid w:val="009A4BE8"/>
    <w:rsid w:val="009A4C49"/>
    <w:rsid w:val="009A52F9"/>
    <w:rsid w:val="009A5376"/>
    <w:rsid w:val="009A545C"/>
    <w:rsid w:val="009A55BA"/>
    <w:rsid w:val="009A5827"/>
    <w:rsid w:val="009A5AD7"/>
    <w:rsid w:val="009A658B"/>
    <w:rsid w:val="009A6DC4"/>
    <w:rsid w:val="009A73D0"/>
    <w:rsid w:val="009A79AD"/>
    <w:rsid w:val="009A7BB6"/>
    <w:rsid w:val="009B0185"/>
    <w:rsid w:val="009B03E7"/>
    <w:rsid w:val="009B049B"/>
    <w:rsid w:val="009B0618"/>
    <w:rsid w:val="009B11D5"/>
    <w:rsid w:val="009B148A"/>
    <w:rsid w:val="009B1503"/>
    <w:rsid w:val="009B16C1"/>
    <w:rsid w:val="009B1846"/>
    <w:rsid w:val="009B1885"/>
    <w:rsid w:val="009B18D1"/>
    <w:rsid w:val="009B1B59"/>
    <w:rsid w:val="009B1C6B"/>
    <w:rsid w:val="009B1CBE"/>
    <w:rsid w:val="009B2306"/>
    <w:rsid w:val="009B2474"/>
    <w:rsid w:val="009B2489"/>
    <w:rsid w:val="009B29F5"/>
    <w:rsid w:val="009B2B31"/>
    <w:rsid w:val="009B2B3C"/>
    <w:rsid w:val="009B2B4F"/>
    <w:rsid w:val="009B3055"/>
    <w:rsid w:val="009B32BF"/>
    <w:rsid w:val="009B331E"/>
    <w:rsid w:val="009B3605"/>
    <w:rsid w:val="009B3C33"/>
    <w:rsid w:val="009B3DDE"/>
    <w:rsid w:val="009B3FF7"/>
    <w:rsid w:val="009B4450"/>
    <w:rsid w:val="009B456F"/>
    <w:rsid w:val="009B4877"/>
    <w:rsid w:val="009B4989"/>
    <w:rsid w:val="009B4A9B"/>
    <w:rsid w:val="009B4CB5"/>
    <w:rsid w:val="009B582A"/>
    <w:rsid w:val="009B61D1"/>
    <w:rsid w:val="009B63E5"/>
    <w:rsid w:val="009B667D"/>
    <w:rsid w:val="009B6E04"/>
    <w:rsid w:val="009B6F41"/>
    <w:rsid w:val="009B71C7"/>
    <w:rsid w:val="009C03A9"/>
    <w:rsid w:val="009C03F2"/>
    <w:rsid w:val="009C0B4C"/>
    <w:rsid w:val="009C0F72"/>
    <w:rsid w:val="009C10FD"/>
    <w:rsid w:val="009C183B"/>
    <w:rsid w:val="009C1A71"/>
    <w:rsid w:val="009C1D70"/>
    <w:rsid w:val="009C2755"/>
    <w:rsid w:val="009C2A20"/>
    <w:rsid w:val="009C2C3B"/>
    <w:rsid w:val="009C302C"/>
    <w:rsid w:val="009C305E"/>
    <w:rsid w:val="009C313A"/>
    <w:rsid w:val="009C34D8"/>
    <w:rsid w:val="009C3562"/>
    <w:rsid w:val="009C3CD9"/>
    <w:rsid w:val="009C3F3B"/>
    <w:rsid w:val="009C4212"/>
    <w:rsid w:val="009C4509"/>
    <w:rsid w:val="009C456F"/>
    <w:rsid w:val="009C4644"/>
    <w:rsid w:val="009C4672"/>
    <w:rsid w:val="009C5169"/>
    <w:rsid w:val="009C527B"/>
    <w:rsid w:val="009C557C"/>
    <w:rsid w:val="009C5AC8"/>
    <w:rsid w:val="009C5E82"/>
    <w:rsid w:val="009C6225"/>
    <w:rsid w:val="009C62BE"/>
    <w:rsid w:val="009C6311"/>
    <w:rsid w:val="009C647F"/>
    <w:rsid w:val="009C6C68"/>
    <w:rsid w:val="009C6D6E"/>
    <w:rsid w:val="009C73D5"/>
    <w:rsid w:val="009C754C"/>
    <w:rsid w:val="009C7778"/>
    <w:rsid w:val="009C77FB"/>
    <w:rsid w:val="009C789D"/>
    <w:rsid w:val="009D06D9"/>
    <w:rsid w:val="009D0802"/>
    <w:rsid w:val="009D0929"/>
    <w:rsid w:val="009D1096"/>
    <w:rsid w:val="009D12FE"/>
    <w:rsid w:val="009D138F"/>
    <w:rsid w:val="009D199C"/>
    <w:rsid w:val="009D1DEA"/>
    <w:rsid w:val="009D1E69"/>
    <w:rsid w:val="009D20DE"/>
    <w:rsid w:val="009D2104"/>
    <w:rsid w:val="009D21B8"/>
    <w:rsid w:val="009D2778"/>
    <w:rsid w:val="009D2934"/>
    <w:rsid w:val="009D33ED"/>
    <w:rsid w:val="009D391E"/>
    <w:rsid w:val="009D3DF3"/>
    <w:rsid w:val="009D3E13"/>
    <w:rsid w:val="009D3E2B"/>
    <w:rsid w:val="009D3F5D"/>
    <w:rsid w:val="009D43DA"/>
    <w:rsid w:val="009D4AC8"/>
    <w:rsid w:val="009D5394"/>
    <w:rsid w:val="009D5395"/>
    <w:rsid w:val="009D5435"/>
    <w:rsid w:val="009D57DD"/>
    <w:rsid w:val="009D5B30"/>
    <w:rsid w:val="009D5C75"/>
    <w:rsid w:val="009D682F"/>
    <w:rsid w:val="009D6A65"/>
    <w:rsid w:val="009D6BE2"/>
    <w:rsid w:val="009D6EA0"/>
    <w:rsid w:val="009D7057"/>
    <w:rsid w:val="009D7238"/>
    <w:rsid w:val="009D7312"/>
    <w:rsid w:val="009D74BD"/>
    <w:rsid w:val="009D7A5B"/>
    <w:rsid w:val="009D7D96"/>
    <w:rsid w:val="009E01BF"/>
    <w:rsid w:val="009E050E"/>
    <w:rsid w:val="009E06AE"/>
    <w:rsid w:val="009E0CD5"/>
    <w:rsid w:val="009E0DBF"/>
    <w:rsid w:val="009E192D"/>
    <w:rsid w:val="009E1D6E"/>
    <w:rsid w:val="009E1E39"/>
    <w:rsid w:val="009E219D"/>
    <w:rsid w:val="009E221C"/>
    <w:rsid w:val="009E2465"/>
    <w:rsid w:val="009E29BE"/>
    <w:rsid w:val="009E2B11"/>
    <w:rsid w:val="009E3085"/>
    <w:rsid w:val="009E31CE"/>
    <w:rsid w:val="009E3223"/>
    <w:rsid w:val="009E32F2"/>
    <w:rsid w:val="009E3C6E"/>
    <w:rsid w:val="009E3DF3"/>
    <w:rsid w:val="009E40CE"/>
    <w:rsid w:val="009E42C7"/>
    <w:rsid w:val="009E43A2"/>
    <w:rsid w:val="009E4E27"/>
    <w:rsid w:val="009E5220"/>
    <w:rsid w:val="009E553A"/>
    <w:rsid w:val="009E565D"/>
    <w:rsid w:val="009E5C10"/>
    <w:rsid w:val="009E6223"/>
    <w:rsid w:val="009E62A7"/>
    <w:rsid w:val="009E6378"/>
    <w:rsid w:val="009E6E40"/>
    <w:rsid w:val="009E72A0"/>
    <w:rsid w:val="009E7586"/>
    <w:rsid w:val="009E78CF"/>
    <w:rsid w:val="009E78E0"/>
    <w:rsid w:val="009E7D35"/>
    <w:rsid w:val="009F050B"/>
    <w:rsid w:val="009F053D"/>
    <w:rsid w:val="009F0D9E"/>
    <w:rsid w:val="009F106C"/>
    <w:rsid w:val="009F1350"/>
    <w:rsid w:val="009F1423"/>
    <w:rsid w:val="009F1596"/>
    <w:rsid w:val="009F194C"/>
    <w:rsid w:val="009F1978"/>
    <w:rsid w:val="009F2847"/>
    <w:rsid w:val="009F2914"/>
    <w:rsid w:val="009F2C1C"/>
    <w:rsid w:val="009F308E"/>
    <w:rsid w:val="009F3374"/>
    <w:rsid w:val="009F33AD"/>
    <w:rsid w:val="009F35EB"/>
    <w:rsid w:val="009F3D8B"/>
    <w:rsid w:val="009F419A"/>
    <w:rsid w:val="009F4209"/>
    <w:rsid w:val="009F43A4"/>
    <w:rsid w:val="009F4562"/>
    <w:rsid w:val="009F508F"/>
    <w:rsid w:val="009F5680"/>
    <w:rsid w:val="009F66E8"/>
    <w:rsid w:val="009F6BC8"/>
    <w:rsid w:val="009F6CEA"/>
    <w:rsid w:val="009F714A"/>
    <w:rsid w:val="009F7311"/>
    <w:rsid w:val="009F7351"/>
    <w:rsid w:val="009F78A2"/>
    <w:rsid w:val="009F7B95"/>
    <w:rsid w:val="009F7E57"/>
    <w:rsid w:val="00A000BD"/>
    <w:rsid w:val="00A001C4"/>
    <w:rsid w:val="00A00616"/>
    <w:rsid w:val="00A0070D"/>
    <w:rsid w:val="00A00CC0"/>
    <w:rsid w:val="00A00D54"/>
    <w:rsid w:val="00A00EBC"/>
    <w:rsid w:val="00A00EC4"/>
    <w:rsid w:val="00A00F01"/>
    <w:rsid w:val="00A015EB"/>
    <w:rsid w:val="00A01D36"/>
    <w:rsid w:val="00A02AF2"/>
    <w:rsid w:val="00A033A3"/>
    <w:rsid w:val="00A0342F"/>
    <w:rsid w:val="00A037C7"/>
    <w:rsid w:val="00A03D83"/>
    <w:rsid w:val="00A041EF"/>
    <w:rsid w:val="00A041FB"/>
    <w:rsid w:val="00A048BC"/>
    <w:rsid w:val="00A04E89"/>
    <w:rsid w:val="00A04FCD"/>
    <w:rsid w:val="00A05545"/>
    <w:rsid w:val="00A0559D"/>
    <w:rsid w:val="00A05910"/>
    <w:rsid w:val="00A05BDD"/>
    <w:rsid w:val="00A05F5A"/>
    <w:rsid w:val="00A06677"/>
    <w:rsid w:val="00A068E8"/>
    <w:rsid w:val="00A06DA5"/>
    <w:rsid w:val="00A074B7"/>
    <w:rsid w:val="00A075CE"/>
    <w:rsid w:val="00A07626"/>
    <w:rsid w:val="00A07808"/>
    <w:rsid w:val="00A07910"/>
    <w:rsid w:val="00A07C4B"/>
    <w:rsid w:val="00A07E0D"/>
    <w:rsid w:val="00A07F3A"/>
    <w:rsid w:val="00A1013A"/>
    <w:rsid w:val="00A1022F"/>
    <w:rsid w:val="00A10297"/>
    <w:rsid w:val="00A102AB"/>
    <w:rsid w:val="00A10A65"/>
    <w:rsid w:val="00A10CEF"/>
    <w:rsid w:val="00A10F98"/>
    <w:rsid w:val="00A11065"/>
    <w:rsid w:val="00A11068"/>
    <w:rsid w:val="00A12571"/>
    <w:rsid w:val="00A1277F"/>
    <w:rsid w:val="00A130A7"/>
    <w:rsid w:val="00A13284"/>
    <w:rsid w:val="00A132B5"/>
    <w:rsid w:val="00A13461"/>
    <w:rsid w:val="00A134DF"/>
    <w:rsid w:val="00A13549"/>
    <w:rsid w:val="00A137E1"/>
    <w:rsid w:val="00A13A97"/>
    <w:rsid w:val="00A13CA0"/>
    <w:rsid w:val="00A14AF6"/>
    <w:rsid w:val="00A14B40"/>
    <w:rsid w:val="00A14D15"/>
    <w:rsid w:val="00A15013"/>
    <w:rsid w:val="00A162A1"/>
    <w:rsid w:val="00A16471"/>
    <w:rsid w:val="00A164A1"/>
    <w:rsid w:val="00A1655A"/>
    <w:rsid w:val="00A16E82"/>
    <w:rsid w:val="00A1700E"/>
    <w:rsid w:val="00A17019"/>
    <w:rsid w:val="00A17727"/>
    <w:rsid w:val="00A17A93"/>
    <w:rsid w:val="00A17AF4"/>
    <w:rsid w:val="00A17F0E"/>
    <w:rsid w:val="00A204AC"/>
    <w:rsid w:val="00A205E8"/>
    <w:rsid w:val="00A20651"/>
    <w:rsid w:val="00A209F8"/>
    <w:rsid w:val="00A21731"/>
    <w:rsid w:val="00A217E9"/>
    <w:rsid w:val="00A218DD"/>
    <w:rsid w:val="00A21B66"/>
    <w:rsid w:val="00A22232"/>
    <w:rsid w:val="00A22446"/>
    <w:rsid w:val="00A2265C"/>
    <w:rsid w:val="00A2275A"/>
    <w:rsid w:val="00A22C5A"/>
    <w:rsid w:val="00A22F0D"/>
    <w:rsid w:val="00A22F61"/>
    <w:rsid w:val="00A233CF"/>
    <w:rsid w:val="00A23557"/>
    <w:rsid w:val="00A237A7"/>
    <w:rsid w:val="00A23E38"/>
    <w:rsid w:val="00A24004"/>
    <w:rsid w:val="00A243E9"/>
    <w:rsid w:val="00A24640"/>
    <w:rsid w:val="00A249D1"/>
    <w:rsid w:val="00A24ABC"/>
    <w:rsid w:val="00A24E3E"/>
    <w:rsid w:val="00A250C1"/>
    <w:rsid w:val="00A252F2"/>
    <w:rsid w:val="00A25445"/>
    <w:rsid w:val="00A25CDE"/>
    <w:rsid w:val="00A262F5"/>
    <w:rsid w:val="00A2632B"/>
    <w:rsid w:val="00A26363"/>
    <w:rsid w:val="00A26786"/>
    <w:rsid w:val="00A26B83"/>
    <w:rsid w:val="00A26D2D"/>
    <w:rsid w:val="00A27094"/>
    <w:rsid w:val="00A2794A"/>
    <w:rsid w:val="00A27F9C"/>
    <w:rsid w:val="00A309EE"/>
    <w:rsid w:val="00A30AAB"/>
    <w:rsid w:val="00A30B27"/>
    <w:rsid w:val="00A30D58"/>
    <w:rsid w:val="00A310DF"/>
    <w:rsid w:val="00A31CC8"/>
    <w:rsid w:val="00A320E0"/>
    <w:rsid w:val="00A3212B"/>
    <w:rsid w:val="00A32549"/>
    <w:rsid w:val="00A3267C"/>
    <w:rsid w:val="00A3269B"/>
    <w:rsid w:val="00A328D1"/>
    <w:rsid w:val="00A32A14"/>
    <w:rsid w:val="00A32C16"/>
    <w:rsid w:val="00A32CB9"/>
    <w:rsid w:val="00A33056"/>
    <w:rsid w:val="00A33073"/>
    <w:rsid w:val="00A33459"/>
    <w:rsid w:val="00A33743"/>
    <w:rsid w:val="00A3396C"/>
    <w:rsid w:val="00A344FE"/>
    <w:rsid w:val="00A34549"/>
    <w:rsid w:val="00A34839"/>
    <w:rsid w:val="00A34852"/>
    <w:rsid w:val="00A34F1B"/>
    <w:rsid w:val="00A35020"/>
    <w:rsid w:val="00A3508F"/>
    <w:rsid w:val="00A350FE"/>
    <w:rsid w:val="00A35536"/>
    <w:rsid w:val="00A35685"/>
    <w:rsid w:val="00A35D56"/>
    <w:rsid w:val="00A35DD0"/>
    <w:rsid w:val="00A35DD8"/>
    <w:rsid w:val="00A35E1D"/>
    <w:rsid w:val="00A36B7A"/>
    <w:rsid w:val="00A36C17"/>
    <w:rsid w:val="00A370DF"/>
    <w:rsid w:val="00A370E2"/>
    <w:rsid w:val="00A370EE"/>
    <w:rsid w:val="00A37183"/>
    <w:rsid w:val="00A378E4"/>
    <w:rsid w:val="00A37BA4"/>
    <w:rsid w:val="00A37DC7"/>
    <w:rsid w:val="00A37F84"/>
    <w:rsid w:val="00A400C2"/>
    <w:rsid w:val="00A40378"/>
    <w:rsid w:val="00A403EA"/>
    <w:rsid w:val="00A4047A"/>
    <w:rsid w:val="00A40520"/>
    <w:rsid w:val="00A40621"/>
    <w:rsid w:val="00A40936"/>
    <w:rsid w:val="00A40A42"/>
    <w:rsid w:val="00A40AE7"/>
    <w:rsid w:val="00A41370"/>
    <w:rsid w:val="00A415DC"/>
    <w:rsid w:val="00A416F5"/>
    <w:rsid w:val="00A41E04"/>
    <w:rsid w:val="00A42016"/>
    <w:rsid w:val="00A42612"/>
    <w:rsid w:val="00A426FA"/>
    <w:rsid w:val="00A428A3"/>
    <w:rsid w:val="00A42ACD"/>
    <w:rsid w:val="00A42CC0"/>
    <w:rsid w:val="00A42E5E"/>
    <w:rsid w:val="00A4318F"/>
    <w:rsid w:val="00A4354F"/>
    <w:rsid w:val="00A43585"/>
    <w:rsid w:val="00A439FD"/>
    <w:rsid w:val="00A44135"/>
    <w:rsid w:val="00A44261"/>
    <w:rsid w:val="00A448D0"/>
    <w:rsid w:val="00A44DCE"/>
    <w:rsid w:val="00A44FAC"/>
    <w:rsid w:val="00A45681"/>
    <w:rsid w:val="00A45739"/>
    <w:rsid w:val="00A45935"/>
    <w:rsid w:val="00A459DE"/>
    <w:rsid w:val="00A45AE0"/>
    <w:rsid w:val="00A45C66"/>
    <w:rsid w:val="00A45EF9"/>
    <w:rsid w:val="00A46A2C"/>
    <w:rsid w:val="00A46A86"/>
    <w:rsid w:val="00A46D94"/>
    <w:rsid w:val="00A46F7E"/>
    <w:rsid w:val="00A4752C"/>
    <w:rsid w:val="00A47645"/>
    <w:rsid w:val="00A50342"/>
    <w:rsid w:val="00A504DB"/>
    <w:rsid w:val="00A50553"/>
    <w:rsid w:val="00A50B48"/>
    <w:rsid w:val="00A511B4"/>
    <w:rsid w:val="00A51583"/>
    <w:rsid w:val="00A517CB"/>
    <w:rsid w:val="00A52012"/>
    <w:rsid w:val="00A52301"/>
    <w:rsid w:val="00A5270F"/>
    <w:rsid w:val="00A527FB"/>
    <w:rsid w:val="00A5294E"/>
    <w:rsid w:val="00A529B2"/>
    <w:rsid w:val="00A52CF8"/>
    <w:rsid w:val="00A53090"/>
    <w:rsid w:val="00A532D4"/>
    <w:rsid w:val="00A536E8"/>
    <w:rsid w:val="00A53B53"/>
    <w:rsid w:val="00A54354"/>
    <w:rsid w:val="00A543B8"/>
    <w:rsid w:val="00A5455D"/>
    <w:rsid w:val="00A546E4"/>
    <w:rsid w:val="00A5485D"/>
    <w:rsid w:val="00A549A8"/>
    <w:rsid w:val="00A55193"/>
    <w:rsid w:val="00A5570E"/>
    <w:rsid w:val="00A55CA2"/>
    <w:rsid w:val="00A55D56"/>
    <w:rsid w:val="00A56073"/>
    <w:rsid w:val="00A560C9"/>
    <w:rsid w:val="00A5641B"/>
    <w:rsid w:val="00A564CA"/>
    <w:rsid w:val="00A56963"/>
    <w:rsid w:val="00A56B9A"/>
    <w:rsid w:val="00A56E9C"/>
    <w:rsid w:val="00A56F49"/>
    <w:rsid w:val="00A57131"/>
    <w:rsid w:val="00A57310"/>
    <w:rsid w:val="00A575E7"/>
    <w:rsid w:val="00A57B00"/>
    <w:rsid w:val="00A604FE"/>
    <w:rsid w:val="00A605B0"/>
    <w:rsid w:val="00A608EB"/>
    <w:rsid w:val="00A6090F"/>
    <w:rsid w:val="00A60BF1"/>
    <w:rsid w:val="00A60C4C"/>
    <w:rsid w:val="00A60C78"/>
    <w:rsid w:val="00A60E49"/>
    <w:rsid w:val="00A61406"/>
    <w:rsid w:val="00A61913"/>
    <w:rsid w:val="00A61B38"/>
    <w:rsid w:val="00A62148"/>
    <w:rsid w:val="00A6222E"/>
    <w:rsid w:val="00A62258"/>
    <w:rsid w:val="00A62806"/>
    <w:rsid w:val="00A62A70"/>
    <w:rsid w:val="00A62D63"/>
    <w:rsid w:val="00A62E7A"/>
    <w:rsid w:val="00A63266"/>
    <w:rsid w:val="00A63273"/>
    <w:rsid w:val="00A6397E"/>
    <w:rsid w:val="00A63A96"/>
    <w:rsid w:val="00A63DB9"/>
    <w:rsid w:val="00A63F66"/>
    <w:rsid w:val="00A63FF7"/>
    <w:rsid w:val="00A6403A"/>
    <w:rsid w:val="00A64152"/>
    <w:rsid w:val="00A642BF"/>
    <w:rsid w:val="00A647F1"/>
    <w:rsid w:val="00A64958"/>
    <w:rsid w:val="00A64C75"/>
    <w:rsid w:val="00A6505D"/>
    <w:rsid w:val="00A6514C"/>
    <w:rsid w:val="00A656B1"/>
    <w:rsid w:val="00A65799"/>
    <w:rsid w:val="00A65882"/>
    <w:rsid w:val="00A65A83"/>
    <w:rsid w:val="00A65D72"/>
    <w:rsid w:val="00A65E89"/>
    <w:rsid w:val="00A6604D"/>
    <w:rsid w:val="00A66544"/>
    <w:rsid w:val="00A6697A"/>
    <w:rsid w:val="00A66AB5"/>
    <w:rsid w:val="00A66C9C"/>
    <w:rsid w:val="00A66F83"/>
    <w:rsid w:val="00A67067"/>
    <w:rsid w:val="00A671EE"/>
    <w:rsid w:val="00A673D4"/>
    <w:rsid w:val="00A677D6"/>
    <w:rsid w:val="00A67944"/>
    <w:rsid w:val="00A6795B"/>
    <w:rsid w:val="00A679C1"/>
    <w:rsid w:val="00A67B0F"/>
    <w:rsid w:val="00A67EC1"/>
    <w:rsid w:val="00A70020"/>
    <w:rsid w:val="00A70351"/>
    <w:rsid w:val="00A7045F"/>
    <w:rsid w:val="00A70483"/>
    <w:rsid w:val="00A70838"/>
    <w:rsid w:val="00A70A22"/>
    <w:rsid w:val="00A70D82"/>
    <w:rsid w:val="00A70DAD"/>
    <w:rsid w:val="00A71179"/>
    <w:rsid w:val="00A712BF"/>
    <w:rsid w:val="00A715E9"/>
    <w:rsid w:val="00A71CCD"/>
    <w:rsid w:val="00A72667"/>
    <w:rsid w:val="00A726BE"/>
    <w:rsid w:val="00A7282F"/>
    <w:rsid w:val="00A72FE7"/>
    <w:rsid w:val="00A7339A"/>
    <w:rsid w:val="00A73C1E"/>
    <w:rsid w:val="00A73D60"/>
    <w:rsid w:val="00A73DC3"/>
    <w:rsid w:val="00A740FC"/>
    <w:rsid w:val="00A7426E"/>
    <w:rsid w:val="00A742D9"/>
    <w:rsid w:val="00A7430F"/>
    <w:rsid w:val="00A74F6C"/>
    <w:rsid w:val="00A753E6"/>
    <w:rsid w:val="00A75669"/>
    <w:rsid w:val="00A75ABD"/>
    <w:rsid w:val="00A75B6E"/>
    <w:rsid w:val="00A75DBD"/>
    <w:rsid w:val="00A7609F"/>
    <w:rsid w:val="00A76257"/>
    <w:rsid w:val="00A76B98"/>
    <w:rsid w:val="00A76FBF"/>
    <w:rsid w:val="00A7738A"/>
    <w:rsid w:val="00A77984"/>
    <w:rsid w:val="00A77C84"/>
    <w:rsid w:val="00A77CCF"/>
    <w:rsid w:val="00A77DB7"/>
    <w:rsid w:val="00A80062"/>
    <w:rsid w:val="00A800EC"/>
    <w:rsid w:val="00A801A1"/>
    <w:rsid w:val="00A80268"/>
    <w:rsid w:val="00A808E9"/>
    <w:rsid w:val="00A80ABD"/>
    <w:rsid w:val="00A815D5"/>
    <w:rsid w:val="00A81707"/>
    <w:rsid w:val="00A820FB"/>
    <w:rsid w:val="00A822A4"/>
    <w:rsid w:val="00A82377"/>
    <w:rsid w:val="00A826B8"/>
    <w:rsid w:val="00A829C1"/>
    <w:rsid w:val="00A8348C"/>
    <w:rsid w:val="00A83AA4"/>
    <w:rsid w:val="00A83BF6"/>
    <w:rsid w:val="00A83D7E"/>
    <w:rsid w:val="00A845D3"/>
    <w:rsid w:val="00A84AF2"/>
    <w:rsid w:val="00A84BBD"/>
    <w:rsid w:val="00A84E09"/>
    <w:rsid w:val="00A858AB"/>
    <w:rsid w:val="00A85943"/>
    <w:rsid w:val="00A85C59"/>
    <w:rsid w:val="00A85FAD"/>
    <w:rsid w:val="00A86416"/>
    <w:rsid w:val="00A86D62"/>
    <w:rsid w:val="00A87372"/>
    <w:rsid w:val="00A8768B"/>
    <w:rsid w:val="00A87ACE"/>
    <w:rsid w:val="00A87BE4"/>
    <w:rsid w:val="00A87FD4"/>
    <w:rsid w:val="00A90086"/>
    <w:rsid w:val="00A90EC1"/>
    <w:rsid w:val="00A90FA8"/>
    <w:rsid w:val="00A9165A"/>
    <w:rsid w:val="00A91702"/>
    <w:rsid w:val="00A91C5D"/>
    <w:rsid w:val="00A924EB"/>
    <w:rsid w:val="00A92D8A"/>
    <w:rsid w:val="00A9312A"/>
    <w:rsid w:val="00A933AC"/>
    <w:rsid w:val="00A935F0"/>
    <w:rsid w:val="00A93628"/>
    <w:rsid w:val="00A936F9"/>
    <w:rsid w:val="00A94BDA"/>
    <w:rsid w:val="00A94C11"/>
    <w:rsid w:val="00A94CB3"/>
    <w:rsid w:val="00A94F6B"/>
    <w:rsid w:val="00A9515C"/>
    <w:rsid w:val="00A95398"/>
    <w:rsid w:val="00A957AB"/>
    <w:rsid w:val="00A9589C"/>
    <w:rsid w:val="00A95D98"/>
    <w:rsid w:val="00A962DA"/>
    <w:rsid w:val="00A963EB"/>
    <w:rsid w:val="00A96555"/>
    <w:rsid w:val="00A9693B"/>
    <w:rsid w:val="00A969CC"/>
    <w:rsid w:val="00A971DA"/>
    <w:rsid w:val="00A971E2"/>
    <w:rsid w:val="00A97888"/>
    <w:rsid w:val="00A97984"/>
    <w:rsid w:val="00A97AE3"/>
    <w:rsid w:val="00AA01DA"/>
    <w:rsid w:val="00AA05D7"/>
    <w:rsid w:val="00AA0907"/>
    <w:rsid w:val="00AA0A8F"/>
    <w:rsid w:val="00AA0C57"/>
    <w:rsid w:val="00AA12EC"/>
    <w:rsid w:val="00AA1C5B"/>
    <w:rsid w:val="00AA1D44"/>
    <w:rsid w:val="00AA1E01"/>
    <w:rsid w:val="00AA224E"/>
    <w:rsid w:val="00AA2CD2"/>
    <w:rsid w:val="00AA33FC"/>
    <w:rsid w:val="00AA341E"/>
    <w:rsid w:val="00AA350D"/>
    <w:rsid w:val="00AA354B"/>
    <w:rsid w:val="00AA3808"/>
    <w:rsid w:val="00AA390D"/>
    <w:rsid w:val="00AA3D50"/>
    <w:rsid w:val="00AA3E1A"/>
    <w:rsid w:val="00AA3EDA"/>
    <w:rsid w:val="00AA3EEE"/>
    <w:rsid w:val="00AA3F7F"/>
    <w:rsid w:val="00AA43FA"/>
    <w:rsid w:val="00AA4A8C"/>
    <w:rsid w:val="00AA4F5D"/>
    <w:rsid w:val="00AA5E1D"/>
    <w:rsid w:val="00AA61E6"/>
    <w:rsid w:val="00AA6946"/>
    <w:rsid w:val="00AA6C38"/>
    <w:rsid w:val="00AA6F34"/>
    <w:rsid w:val="00AA7711"/>
    <w:rsid w:val="00AA7800"/>
    <w:rsid w:val="00AA7B0F"/>
    <w:rsid w:val="00AA7D90"/>
    <w:rsid w:val="00AA7E47"/>
    <w:rsid w:val="00AA7ED4"/>
    <w:rsid w:val="00AA7FB7"/>
    <w:rsid w:val="00AB018E"/>
    <w:rsid w:val="00AB01F7"/>
    <w:rsid w:val="00AB04C6"/>
    <w:rsid w:val="00AB07B8"/>
    <w:rsid w:val="00AB136E"/>
    <w:rsid w:val="00AB14A2"/>
    <w:rsid w:val="00AB177F"/>
    <w:rsid w:val="00AB1995"/>
    <w:rsid w:val="00AB1D4C"/>
    <w:rsid w:val="00AB1F15"/>
    <w:rsid w:val="00AB21DB"/>
    <w:rsid w:val="00AB24D1"/>
    <w:rsid w:val="00AB25E9"/>
    <w:rsid w:val="00AB2759"/>
    <w:rsid w:val="00AB2926"/>
    <w:rsid w:val="00AB2A0A"/>
    <w:rsid w:val="00AB2B0D"/>
    <w:rsid w:val="00AB2C2F"/>
    <w:rsid w:val="00AB2D9A"/>
    <w:rsid w:val="00AB2E32"/>
    <w:rsid w:val="00AB2F8A"/>
    <w:rsid w:val="00AB3122"/>
    <w:rsid w:val="00AB3AD5"/>
    <w:rsid w:val="00AB4972"/>
    <w:rsid w:val="00AB52D0"/>
    <w:rsid w:val="00AB5782"/>
    <w:rsid w:val="00AB595B"/>
    <w:rsid w:val="00AB5AEF"/>
    <w:rsid w:val="00AB5CE4"/>
    <w:rsid w:val="00AB5E19"/>
    <w:rsid w:val="00AB5F8A"/>
    <w:rsid w:val="00AB6316"/>
    <w:rsid w:val="00AB6C15"/>
    <w:rsid w:val="00AB730B"/>
    <w:rsid w:val="00AB769A"/>
    <w:rsid w:val="00AB77FE"/>
    <w:rsid w:val="00AB7CFB"/>
    <w:rsid w:val="00AC018C"/>
    <w:rsid w:val="00AC0A63"/>
    <w:rsid w:val="00AC0D0A"/>
    <w:rsid w:val="00AC1157"/>
    <w:rsid w:val="00AC149E"/>
    <w:rsid w:val="00AC18B0"/>
    <w:rsid w:val="00AC1FB4"/>
    <w:rsid w:val="00AC2255"/>
    <w:rsid w:val="00AC26B7"/>
    <w:rsid w:val="00AC2810"/>
    <w:rsid w:val="00AC2D79"/>
    <w:rsid w:val="00AC2E62"/>
    <w:rsid w:val="00AC323D"/>
    <w:rsid w:val="00AC33E4"/>
    <w:rsid w:val="00AC3780"/>
    <w:rsid w:val="00AC3A60"/>
    <w:rsid w:val="00AC3F20"/>
    <w:rsid w:val="00AC4261"/>
    <w:rsid w:val="00AC440E"/>
    <w:rsid w:val="00AC4587"/>
    <w:rsid w:val="00AC4BD1"/>
    <w:rsid w:val="00AC4C85"/>
    <w:rsid w:val="00AC4E2F"/>
    <w:rsid w:val="00AC4F44"/>
    <w:rsid w:val="00AC4FAB"/>
    <w:rsid w:val="00AC52AB"/>
    <w:rsid w:val="00AC591F"/>
    <w:rsid w:val="00AC65BA"/>
    <w:rsid w:val="00AC6902"/>
    <w:rsid w:val="00AC69B3"/>
    <w:rsid w:val="00AD073C"/>
    <w:rsid w:val="00AD0A18"/>
    <w:rsid w:val="00AD14B8"/>
    <w:rsid w:val="00AD14EF"/>
    <w:rsid w:val="00AD163D"/>
    <w:rsid w:val="00AD19D5"/>
    <w:rsid w:val="00AD257F"/>
    <w:rsid w:val="00AD2AE6"/>
    <w:rsid w:val="00AD2C4C"/>
    <w:rsid w:val="00AD2C7A"/>
    <w:rsid w:val="00AD3D0C"/>
    <w:rsid w:val="00AD3F2F"/>
    <w:rsid w:val="00AD49B3"/>
    <w:rsid w:val="00AD4D46"/>
    <w:rsid w:val="00AD5231"/>
    <w:rsid w:val="00AD54DA"/>
    <w:rsid w:val="00AD5511"/>
    <w:rsid w:val="00AD5590"/>
    <w:rsid w:val="00AD55D8"/>
    <w:rsid w:val="00AD58E7"/>
    <w:rsid w:val="00AD5B27"/>
    <w:rsid w:val="00AD5EE1"/>
    <w:rsid w:val="00AD6383"/>
    <w:rsid w:val="00AD6678"/>
    <w:rsid w:val="00AD66BE"/>
    <w:rsid w:val="00AD6709"/>
    <w:rsid w:val="00AD673E"/>
    <w:rsid w:val="00AD698F"/>
    <w:rsid w:val="00AD6AC1"/>
    <w:rsid w:val="00AD7037"/>
    <w:rsid w:val="00AD7215"/>
    <w:rsid w:val="00AD73F3"/>
    <w:rsid w:val="00AD7605"/>
    <w:rsid w:val="00AD7A10"/>
    <w:rsid w:val="00AD7BA0"/>
    <w:rsid w:val="00AD7D48"/>
    <w:rsid w:val="00AD7E4F"/>
    <w:rsid w:val="00AE0453"/>
    <w:rsid w:val="00AE0788"/>
    <w:rsid w:val="00AE09C7"/>
    <w:rsid w:val="00AE0AC4"/>
    <w:rsid w:val="00AE0B37"/>
    <w:rsid w:val="00AE0C78"/>
    <w:rsid w:val="00AE0C82"/>
    <w:rsid w:val="00AE0DD4"/>
    <w:rsid w:val="00AE1266"/>
    <w:rsid w:val="00AE1277"/>
    <w:rsid w:val="00AE1297"/>
    <w:rsid w:val="00AE15C4"/>
    <w:rsid w:val="00AE206B"/>
    <w:rsid w:val="00AE2153"/>
    <w:rsid w:val="00AE2717"/>
    <w:rsid w:val="00AE2A8D"/>
    <w:rsid w:val="00AE313E"/>
    <w:rsid w:val="00AE3850"/>
    <w:rsid w:val="00AE3906"/>
    <w:rsid w:val="00AE3A92"/>
    <w:rsid w:val="00AE3CFE"/>
    <w:rsid w:val="00AE3FF0"/>
    <w:rsid w:val="00AE4887"/>
    <w:rsid w:val="00AE49BE"/>
    <w:rsid w:val="00AE4C1A"/>
    <w:rsid w:val="00AE4D46"/>
    <w:rsid w:val="00AE5737"/>
    <w:rsid w:val="00AE57E2"/>
    <w:rsid w:val="00AE62FD"/>
    <w:rsid w:val="00AE64F9"/>
    <w:rsid w:val="00AE6725"/>
    <w:rsid w:val="00AE68F1"/>
    <w:rsid w:val="00AE6B05"/>
    <w:rsid w:val="00AE6DBA"/>
    <w:rsid w:val="00AE73DD"/>
    <w:rsid w:val="00AE79A1"/>
    <w:rsid w:val="00AE7BB8"/>
    <w:rsid w:val="00AF01B0"/>
    <w:rsid w:val="00AF04AB"/>
    <w:rsid w:val="00AF0887"/>
    <w:rsid w:val="00AF08C6"/>
    <w:rsid w:val="00AF0C9D"/>
    <w:rsid w:val="00AF0D5F"/>
    <w:rsid w:val="00AF125F"/>
    <w:rsid w:val="00AF12C0"/>
    <w:rsid w:val="00AF13D6"/>
    <w:rsid w:val="00AF1440"/>
    <w:rsid w:val="00AF154A"/>
    <w:rsid w:val="00AF15C5"/>
    <w:rsid w:val="00AF168E"/>
    <w:rsid w:val="00AF1AF8"/>
    <w:rsid w:val="00AF1B14"/>
    <w:rsid w:val="00AF1C69"/>
    <w:rsid w:val="00AF1F5D"/>
    <w:rsid w:val="00AF201A"/>
    <w:rsid w:val="00AF21A6"/>
    <w:rsid w:val="00AF2598"/>
    <w:rsid w:val="00AF26E1"/>
    <w:rsid w:val="00AF2D69"/>
    <w:rsid w:val="00AF309E"/>
    <w:rsid w:val="00AF3112"/>
    <w:rsid w:val="00AF33CF"/>
    <w:rsid w:val="00AF362E"/>
    <w:rsid w:val="00AF3B4B"/>
    <w:rsid w:val="00AF41D5"/>
    <w:rsid w:val="00AF4A7C"/>
    <w:rsid w:val="00AF5026"/>
    <w:rsid w:val="00AF55EE"/>
    <w:rsid w:val="00AF5B44"/>
    <w:rsid w:val="00AF5DC7"/>
    <w:rsid w:val="00AF5E66"/>
    <w:rsid w:val="00AF6915"/>
    <w:rsid w:val="00AF694F"/>
    <w:rsid w:val="00AF6B62"/>
    <w:rsid w:val="00AF6C33"/>
    <w:rsid w:val="00AF6D1C"/>
    <w:rsid w:val="00AF6D25"/>
    <w:rsid w:val="00AF6DD6"/>
    <w:rsid w:val="00AF6F63"/>
    <w:rsid w:val="00AF71B7"/>
    <w:rsid w:val="00AF7532"/>
    <w:rsid w:val="00AF7721"/>
    <w:rsid w:val="00AF785F"/>
    <w:rsid w:val="00AF7E38"/>
    <w:rsid w:val="00B00350"/>
    <w:rsid w:val="00B00359"/>
    <w:rsid w:val="00B0075D"/>
    <w:rsid w:val="00B00979"/>
    <w:rsid w:val="00B010DA"/>
    <w:rsid w:val="00B0157B"/>
    <w:rsid w:val="00B01859"/>
    <w:rsid w:val="00B01BA4"/>
    <w:rsid w:val="00B01D45"/>
    <w:rsid w:val="00B01ECD"/>
    <w:rsid w:val="00B01F7C"/>
    <w:rsid w:val="00B01FD4"/>
    <w:rsid w:val="00B02086"/>
    <w:rsid w:val="00B0236E"/>
    <w:rsid w:val="00B0246B"/>
    <w:rsid w:val="00B025B4"/>
    <w:rsid w:val="00B026A2"/>
    <w:rsid w:val="00B02B24"/>
    <w:rsid w:val="00B02DA1"/>
    <w:rsid w:val="00B02DA2"/>
    <w:rsid w:val="00B02E14"/>
    <w:rsid w:val="00B032CA"/>
    <w:rsid w:val="00B03414"/>
    <w:rsid w:val="00B03683"/>
    <w:rsid w:val="00B03C2C"/>
    <w:rsid w:val="00B043F5"/>
    <w:rsid w:val="00B04773"/>
    <w:rsid w:val="00B047B9"/>
    <w:rsid w:val="00B047CA"/>
    <w:rsid w:val="00B04804"/>
    <w:rsid w:val="00B058C0"/>
    <w:rsid w:val="00B05C12"/>
    <w:rsid w:val="00B06047"/>
    <w:rsid w:val="00B0614C"/>
    <w:rsid w:val="00B06606"/>
    <w:rsid w:val="00B069E2"/>
    <w:rsid w:val="00B06DBE"/>
    <w:rsid w:val="00B06DEB"/>
    <w:rsid w:val="00B06F5F"/>
    <w:rsid w:val="00B06FCF"/>
    <w:rsid w:val="00B07335"/>
    <w:rsid w:val="00B07AB7"/>
    <w:rsid w:val="00B10C8D"/>
    <w:rsid w:val="00B111BC"/>
    <w:rsid w:val="00B11256"/>
    <w:rsid w:val="00B11630"/>
    <w:rsid w:val="00B117DB"/>
    <w:rsid w:val="00B118ED"/>
    <w:rsid w:val="00B11922"/>
    <w:rsid w:val="00B11F19"/>
    <w:rsid w:val="00B1221C"/>
    <w:rsid w:val="00B1254F"/>
    <w:rsid w:val="00B126EF"/>
    <w:rsid w:val="00B128CE"/>
    <w:rsid w:val="00B12BB5"/>
    <w:rsid w:val="00B12EFC"/>
    <w:rsid w:val="00B1308C"/>
    <w:rsid w:val="00B131BD"/>
    <w:rsid w:val="00B134BB"/>
    <w:rsid w:val="00B1359D"/>
    <w:rsid w:val="00B138FB"/>
    <w:rsid w:val="00B13CAD"/>
    <w:rsid w:val="00B1474D"/>
    <w:rsid w:val="00B14AED"/>
    <w:rsid w:val="00B14DA8"/>
    <w:rsid w:val="00B1515D"/>
    <w:rsid w:val="00B15728"/>
    <w:rsid w:val="00B15871"/>
    <w:rsid w:val="00B1591A"/>
    <w:rsid w:val="00B15A96"/>
    <w:rsid w:val="00B15AF8"/>
    <w:rsid w:val="00B15AF9"/>
    <w:rsid w:val="00B16019"/>
    <w:rsid w:val="00B1655D"/>
    <w:rsid w:val="00B16B2B"/>
    <w:rsid w:val="00B16EFB"/>
    <w:rsid w:val="00B17112"/>
    <w:rsid w:val="00B171A3"/>
    <w:rsid w:val="00B172C5"/>
    <w:rsid w:val="00B17408"/>
    <w:rsid w:val="00B17447"/>
    <w:rsid w:val="00B20CBE"/>
    <w:rsid w:val="00B20F1D"/>
    <w:rsid w:val="00B21167"/>
    <w:rsid w:val="00B211E5"/>
    <w:rsid w:val="00B212B7"/>
    <w:rsid w:val="00B214C9"/>
    <w:rsid w:val="00B21685"/>
    <w:rsid w:val="00B21746"/>
    <w:rsid w:val="00B22ABC"/>
    <w:rsid w:val="00B22CDC"/>
    <w:rsid w:val="00B22D1E"/>
    <w:rsid w:val="00B23339"/>
    <w:rsid w:val="00B23894"/>
    <w:rsid w:val="00B23C09"/>
    <w:rsid w:val="00B2428E"/>
    <w:rsid w:val="00B242FD"/>
    <w:rsid w:val="00B2501C"/>
    <w:rsid w:val="00B2507B"/>
    <w:rsid w:val="00B2538F"/>
    <w:rsid w:val="00B253F0"/>
    <w:rsid w:val="00B257B2"/>
    <w:rsid w:val="00B26784"/>
    <w:rsid w:val="00B26908"/>
    <w:rsid w:val="00B26E14"/>
    <w:rsid w:val="00B27164"/>
    <w:rsid w:val="00B27192"/>
    <w:rsid w:val="00B273B0"/>
    <w:rsid w:val="00B2765F"/>
    <w:rsid w:val="00B279D0"/>
    <w:rsid w:val="00B27E48"/>
    <w:rsid w:val="00B3035D"/>
    <w:rsid w:val="00B309A2"/>
    <w:rsid w:val="00B30A6B"/>
    <w:rsid w:val="00B30D5D"/>
    <w:rsid w:val="00B313C4"/>
    <w:rsid w:val="00B3176D"/>
    <w:rsid w:val="00B318DD"/>
    <w:rsid w:val="00B318E0"/>
    <w:rsid w:val="00B319F0"/>
    <w:rsid w:val="00B31B0B"/>
    <w:rsid w:val="00B32165"/>
    <w:rsid w:val="00B3216E"/>
    <w:rsid w:val="00B32240"/>
    <w:rsid w:val="00B3236E"/>
    <w:rsid w:val="00B323BD"/>
    <w:rsid w:val="00B32A04"/>
    <w:rsid w:val="00B32AA9"/>
    <w:rsid w:val="00B32C43"/>
    <w:rsid w:val="00B32DD3"/>
    <w:rsid w:val="00B32EFE"/>
    <w:rsid w:val="00B33BC2"/>
    <w:rsid w:val="00B33D67"/>
    <w:rsid w:val="00B34054"/>
    <w:rsid w:val="00B343FA"/>
    <w:rsid w:val="00B3468D"/>
    <w:rsid w:val="00B347CE"/>
    <w:rsid w:val="00B3489E"/>
    <w:rsid w:val="00B34AA0"/>
    <w:rsid w:val="00B34B0D"/>
    <w:rsid w:val="00B34DCD"/>
    <w:rsid w:val="00B34FA2"/>
    <w:rsid w:val="00B34FF9"/>
    <w:rsid w:val="00B350F2"/>
    <w:rsid w:val="00B35354"/>
    <w:rsid w:val="00B354B8"/>
    <w:rsid w:val="00B354D3"/>
    <w:rsid w:val="00B3594F"/>
    <w:rsid w:val="00B359AE"/>
    <w:rsid w:val="00B36D78"/>
    <w:rsid w:val="00B36E1C"/>
    <w:rsid w:val="00B36F19"/>
    <w:rsid w:val="00B37146"/>
    <w:rsid w:val="00B374E3"/>
    <w:rsid w:val="00B37796"/>
    <w:rsid w:val="00B37A4C"/>
    <w:rsid w:val="00B37FD6"/>
    <w:rsid w:val="00B40145"/>
    <w:rsid w:val="00B402EC"/>
    <w:rsid w:val="00B40309"/>
    <w:rsid w:val="00B4064D"/>
    <w:rsid w:val="00B4083C"/>
    <w:rsid w:val="00B40D15"/>
    <w:rsid w:val="00B41249"/>
    <w:rsid w:val="00B412A5"/>
    <w:rsid w:val="00B416B3"/>
    <w:rsid w:val="00B41B14"/>
    <w:rsid w:val="00B42BAB"/>
    <w:rsid w:val="00B42D18"/>
    <w:rsid w:val="00B42D5A"/>
    <w:rsid w:val="00B42E07"/>
    <w:rsid w:val="00B42E3F"/>
    <w:rsid w:val="00B42F47"/>
    <w:rsid w:val="00B43110"/>
    <w:rsid w:val="00B4339D"/>
    <w:rsid w:val="00B4358D"/>
    <w:rsid w:val="00B43BCE"/>
    <w:rsid w:val="00B44054"/>
    <w:rsid w:val="00B44FE3"/>
    <w:rsid w:val="00B45010"/>
    <w:rsid w:val="00B45673"/>
    <w:rsid w:val="00B459DD"/>
    <w:rsid w:val="00B45CD7"/>
    <w:rsid w:val="00B45FA0"/>
    <w:rsid w:val="00B467EB"/>
    <w:rsid w:val="00B46A05"/>
    <w:rsid w:val="00B47036"/>
    <w:rsid w:val="00B471FB"/>
    <w:rsid w:val="00B472E4"/>
    <w:rsid w:val="00B4738B"/>
    <w:rsid w:val="00B4752A"/>
    <w:rsid w:val="00B47549"/>
    <w:rsid w:val="00B477E3"/>
    <w:rsid w:val="00B47AE3"/>
    <w:rsid w:val="00B47D09"/>
    <w:rsid w:val="00B508BE"/>
    <w:rsid w:val="00B50908"/>
    <w:rsid w:val="00B5095A"/>
    <w:rsid w:val="00B51434"/>
    <w:rsid w:val="00B51785"/>
    <w:rsid w:val="00B51933"/>
    <w:rsid w:val="00B519C3"/>
    <w:rsid w:val="00B524CF"/>
    <w:rsid w:val="00B5277C"/>
    <w:rsid w:val="00B53228"/>
    <w:rsid w:val="00B532E5"/>
    <w:rsid w:val="00B534A9"/>
    <w:rsid w:val="00B535E5"/>
    <w:rsid w:val="00B53767"/>
    <w:rsid w:val="00B53879"/>
    <w:rsid w:val="00B539CF"/>
    <w:rsid w:val="00B5415F"/>
    <w:rsid w:val="00B542AA"/>
    <w:rsid w:val="00B546EA"/>
    <w:rsid w:val="00B54765"/>
    <w:rsid w:val="00B554A2"/>
    <w:rsid w:val="00B55544"/>
    <w:rsid w:val="00B55ABE"/>
    <w:rsid w:val="00B55C10"/>
    <w:rsid w:val="00B55D29"/>
    <w:rsid w:val="00B55EF7"/>
    <w:rsid w:val="00B5610B"/>
    <w:rsid w:val="00B561E8"/>
    <w:rsid w:val="00B56D54"/>
    <w:rsid w:val="00B5768A"/>
    <w:rsid w:val="00B57C31"/>
    <w:rsid w:val="00B57CCD"/>
    <w:rsid w:val="00B60176"/>
    <w:rsid w:val="00B6018D"/>
    <w:rsid w:val="00B60559"/>
    <w:rsid w:val="00B60715"/>
    <w:rsid w:val="00B60BDA"/>
    <w:rsid w:val="00B60E85"/>
    <w:rsid w:val="00B6109C"/>
    <w:rsid w:val="00B610C6"/>
    <w:rsid w:val="00B611C4"/>
    <w:rsid w:val="00B61671"/>
    <w:rsid w:val="00B61FA7"/>
    <w:rsid w:val="00B6221F"/>
    <w:rsid w:val="00B622C5"/>
    <w:rsid w:val="00B62342"/>
    <w:rsid w:val="00B627F8"/>
    <w:rsid w:val="00B62860"/>
    <w:rsid w:val="00B62C27"/>
    <w:rsid w:val="00B63003"/>
    <w:rsid w:val="00B63426"/>
    <w:rsid w:val="00B63454"/>
    <w:rsid w:val="00B638B7"/>
    <w:rsid w:val="00B639E9"/>
    <w:rsid w:val="00B63AAF"/>
    <w:rsid w:val="00B64087"/>
    <w:rsid w:val="00B65E2D"/>
    <w:rsid w:val="00B65F1D"/>
    <w:rsid w:val="00B663B2"/>
    <w:rsid w:val="00B66736"/>
    <w:rsid w:val="00B66A18"/>
    <w:rsid w:val="00B66EC6"/>
    <w:rsid w:val="00B66F41"/>
    <w:rsid w:val="00B66F42"/>
    <w:rsid w:val="00B67094"/>
    <w:rsid w:val="00B6715E"/>
    <w:rsid w:val="00B67D85"/>
    <w:rsid w:val="00B67EB2"/>
    <w:rsid w:val="00B67FB1"/>
    <w:rsid w:val="00B67FE5"/>
    <w:rsid w:val="00B707F7"/>
    <w:rsid w:val="00B70AAD"/>
    <w:rsid w:val="00B70ADB"/>
    <w:rsid w:val="00B70D39"/>
    <w:rsid w:val="00B7115E"/>
    <w:rsid w:val="00B71179"/>
    <w:rsid w:val="00B7124C"/>
    <w:rsid w:val="00B71C7A"/>
    <w:rsid w:val="00B7227C"/>
    <w:rsid w:val="00B727CC"/>
    <w:rsid w:val="00B734F7"/>
    <w:rsid w:val="00B738E9"/>
    <w:rsid w:val="00B73ABF"/>
    <w:rsid w:val="00B73AD2"/>
    <w:rsid w:val="00B73CEC"/>
    <w:rsid w:val="00B740DF"/>
    <w:rsid w:val="00B74282"/>
    <w:rsid w:val="00B742EB"/>
    <w:rsid w:val="00B74335"/>
    <w:rsid w:val="00B743EB"/>
    <w:rsid w:val="00B7443E"/>
    <w:rsid w:val="00B7466B"/>
    <w:rsid w:val="00B747F8"/>
    <w:rsid w:val="00B74912"/>
    <w:rsid w:val="00B74CA1"/>
    <w:rsid w:val="00B7513C"/>
    <w:rsid w:val="00B75325"/>
    <w:rsid w:val="00B75D82"/>
    <w:rsid w:val="00B75E7B"/>
    <w:rsid w:val="00B75E9E"/>
    <w:rsid w:val="00B7611D"/>
    <w:rsid w:val="00B76388"/>
    <w:rsid w:val="00B76502"/>
    <w:rsid w:val="00B76CAF"/>
    <w:rsid w:val="00B76CFC"/>
    <w:rsid w:val="00B77210"/>
    <w:rsid w:val="00B772AA"/>
    <w:rsid w:val="00B77404"/>
    <w:rsid w:val="00B7745D"/>
    <w:rsid w:val="00B77717"/>
    <w:rsid w:val="00B77731"/>
    <w:rsid w:val="00B77D8A"/>
    <w:rsid w:val="00B801DD"/>
    <w:rsid w:val="00B809BA"/>
    <w:rsid w:val="00B818B8"/>
    <w:rsid w:val="00B81AFC"/>
    <w:rsid w:val="00B82068"/>
    <w:rsid w:val="00B8232F"/>
    <w:rsid w:val="00B823F2"/>
    <w:rsid w:val="00B8268B"/>
    <w:rsid w:val="00B829DD"/>
    <w:rsid w:val="00B8303B"/>
    <w:rsid w:val="00B83169"/>
    <w:rsid w:val="00B83189"/>
    <w:rsid w:val="00B83277"/>
    <w:rsid w:val="00B8357C"/>
    <w:rsid w:val="00B836AA"/>
    <w:rsid w:val="00B841C4"/>
    <w:rsid w:val="00B845D6"/>
    <w:rsid w:val="00B84B20"/>
    <w:rsid w:val="00B85193"/>
    <w:rsid w:val="00B8530E"/>
    <w:rsid w:val="00B8547C"/>
    <w:rsid w:val="00B8568C"/>
    <w:rsid w:val="00B8599F"/>
    <w:rsid w:val="00B85F7F"/>
    <w:rsid w:val="00B85FA9"/>
    <w:rsid w:val="00B861A2"/>
    <w:rsid w:val="00B86597"/>
    <w:rsid w:val="00B868D3"/>
    <w:rsid w:val="00B86B25"/>
    <w:rsid w:val="00B86E1A"/>
    <w:rsid w:val="00B86F2B"/>
    <w:rsid w:val="00B8727F"/>
    <w:rsid w:val="00B8737E"/>
    <w:rsid w:val="00B8785E"/>
    <w:rsid w:val="00B87CBD"/>
    <w:rsid w:val="00B87F34"/>
    <w:rsid w:val="00B90CA2"/>
    <w:rsid w:val="00B90F88"/>
    <w:rsid w:val="00B911D1"/>
    <w:rsid w:val="00B91699"/>
    <w:rsid w:val="00B91A1C"/>
    <w:rsid w:val="00B91B8C"/>
    <w:rsid w:val="00B91CD3"/>
    <w:rsid w:val="00B91EE7"/>
    <w:rsid w:val="00B92428"/>
    <w:rsid w:val="00B92438"/>
    <w:rsid w:val="00B92506"/>
    <w:rsid w:val="00B92516"/>
    <w:rsid w:val="00B9267F"/>
    <w:rsid w:val="00B933A4"/>
    <w:rsid w:val="00B938DD"/>
    <w:rsid w:val="00B93981"/>
    <w:rsid w:val="00B93A51"/>
    <w:rsid w:val="00B940E9"/>
    <w:rsid w:val="00B945B5"/>
    <w:rsid w:val="00B94753"/>
    <w:rsid w:val="00B94D16"/>
    <w:rsid w:val="00B94DB1"/>
    <w:rsid w:val="00B9549C"/>
    <w:rsid w:val="00B955AB"/>
    <w:rsid w:val="00B95A79"/>
    <w:rsid w:val="00B95DE0"/>
    <w:rsid w:val="00B961AF"/>
    <w:rsid w:val="00B961C9"/>
    <w:rsid w:val="00B96331"/>
    <w:rsid w:val="00B964AE"/>
    <w:rsid w:val="00B9688B"/>
    <w:rsid w:val="00B96D23"/>
    <w:rsid w:val="00B97349"/>
    <w:rsid w:val="00B9751F"/>
    <w:rsid w:val="00B97762"/>
    <w:rsid w:val="00B977FB"/>
    <w:rsid w:val="00B9782F"/>
    <w:rsid w:val="00B9785A"/>
    <w:rsid w:val="00B97CDE"/>
    <w:rsid w:val="00BA0437"/>
    <w:rsid w:val="00BA0B51"/>
    <w:rsid w:val="00BA0D11"/>
    <w:rsid w:val="00BA0D7B"/>
    <w:rsid w:val="00BA0F07"/>
    <w:rsid w:val="00BA10E7"/>
    <w:rsid w:val="00BA197F"/>
    <w:rsid w:val="00BA1D47"/>
    <w:rsid w:val="00BA25A4"/>
    <w:rsid w:val="00BA2BCD"/>
    <w:rsid w:val="00BA2E83"/>
    <w:rsid w:val="00BA356A"/>
    <w:rsid w:val="00BA3831"/>
    <w:rsid w:val="00BA3ADE"/>
    <w:rsid w:val="00BA472B"/>
    <w:rsid w:val="00BA516A"/>
    <w:rsid w:val="00BA51A3"/>
    <w:rsid w:val="00BA55B1"/>
    <w:rsid w:val="00BA5C50"/>
    <w:rsid w:val="00BA5FEA"/>
    <w:rsid w:val="00BA6436"/>
    <w:rsid w:val="00BA6A79"/>
    <w:rsid w:val="00BA6DF1"/>
    <w:rsid w:val="00BA70BA"/>
    <w:rsid w:val="00BA77F0"/>
    <w:rsid w:val="00BA789D"/>
    <w:rsid w:val="00BA7DE9"/>
    <w:rsid w:val="00BA7FAF"/>
    <w:rsid w:val="00BB0224"/>
    <w:rsid w:val="00BB061F"/>
    <w:rsid w:val="00BB086E"/>
    <w:rsid w:val="00BB0E02"/>
    <w:rsid w:val="00BB0F9B"/>
    <w:rsid w:val="00BB0FF4"/>
    <w:rsid w:val="00BB1427"/>
    <w:rsid w:val="00BB14F3"/>
    <w:rsid w:val="00BB1722"/>
    <w:rsid w:val="00BB19BD"/>
    <w:rsid w:val="00BB1BA4"/>
    <w:rsid w:val="00BB1F78"/>
    <w:rsid w:val="00BB2114"/>
    <w:rsid w:val="00BB27C4"/>
    <w:rsid w:val="00BB2D18"/>
    <w:rsid w:val="00BB2D9E"/>
    <w:rsid w:val="00BB2F44"/>
    <w:rsid w:val="00BB3050"/>
    <w:rsid w:val="00BB3068"/>
    <w:rsid w:val="00BB31AC"/>
    <w:rsid w:val="00BB36CB"/>
    <w:rsid w:val="00BB3763"/>
    <w:rsid w:val="00BB383D"/>
    <w:rsid w:val="00BB3A8B"/>
    <w:rsid w:val="00BB3B0A"/>
    <w:rsid w:val="00BB3C2F"/>
    <w:rsid w:val="00BB3DC8"/>
    <w:rsid w:val="00BB3EA7"/>
    <w:rsid w:val="00BB486A"/>
    <w:rsid w:val="00BB4D57"/>
    <w:rsid w:val="00BB4F07"/>
    <w:rsid w:val="00BB539D"/>
    <w:rsid w:val="00BB56B7"/>
    <w:rsid w:val="00BB583F"/>
    <w:rsid w:val="00BB5A68"/>
    <w:rsid w:val="00BB5B43"/>
    <w:rsid w:val="00BB5CE8"/>
    <w:rsid w:val="00BB5F89"/>
    <w:rsid w:val="00BB6163"/>
    <w:rsid w:val="00BB69DB"/>
    <w:rsid w:val="00BB6A89"/>
    <w:rsid w:val="00BB6D13"/>
    <w:rsid w:val="00BB7116"/>
    <w:rsid w:val="00BB7257"/>
    <w:rsid w:val="00BB72D5"/>
    <w:rsid w:val="00BB7557"/>
    <w:rsid w:val="00BB7642"/>
    <w:rsid w:val="00BB7CA0"/>
    <w:rsid w:val="00BB7CB6"/>
    <w:rsid w:val="00BC004C"/>
    <w:rsid w:val="00BC030B"/>
    <w:rsid w:val="00BC0F12"/>
    <w:rsid w:val="00BC184D"/>
    <w:rsid w:val="00BC1911"/>
    <w:rsid w:val="00BC1FFC"/>
    <w:rsid w:val="00BC216D"/>
    <w:rsid w:val="00BC29B4"/>
    <w:rsid w:val="00BC29D3"/>
    <w:rsid w:val="00BC2A0F"/>
    <w:rsid w:val="00BC3050"/>
    <w:rsid w:val="00BC391E"/>
    <w:rsid w:val="00BC393F"/>
    <w:rsid w:val="00BC3948"/>
    <w:rsid w:val="00BC3EC6"/>
    <w:rsid w:val="00BC4193"/>
    <w:rsid w:val="00BC4A37"/>
    <w:rsid w:val="00BC53E1"/>
    <w:rsid w:val="00BC5D30"/>
    <w:rsid w:val="00BC5DFB"/>
    <w:rsid w:val="00BC5E8A"/>
    <w:rsid w:val="00BC5EA6"/>
    <w:rsid w:val="00BC5EB4"/>
    <w:rsid w:val="00BC5F05"/>
    <w:rsid w:val="00BC636D"/>
    <w:rsid w:val="00BC649F"/>
    <w:rsid w:val="00BC6546"/>
    <w:rsid w:val="00BC669E"/>
    <w:rsid w:val="00BC6843"/>
    <w:rsid w:val="00BC69DE"/>
    <w:rsid w:val="00BC72E3"/>
    <w:rsid w:val="00BC76CE"/>
    <w:rsid w:val="00BC77D5"/>
    <w:rsid w:val="00BC77D8"/>
    <w:rsid w:val="00BC7864"/>
    <w:rsid w:val="00BC7A87"/>
    <w:rsid w:val="00BC7AAE"/>
    <w:rsid w:val="00BD0ACD"/>
    <w:rsid w:val="00BD0D21"/>
    <w:rsid w:val="00BD0DC9"/>
    <w:rsid w:val="00BD0E1A"/>
    <w:rsid w:val="00BD107D"/>
    <w:rsid w:val="00BD1185"/>
    <w:rsid w:val="00BD179D"/>
    <w:rsid w:val="00BD187D"/>
    <w:rsid w:val="00BD1895"/>
    <w:rsid w:val="00BD1F7D"/>
    <w:rsid w:val="00BD2009"/>
    <w:rsid w:val="00BD20C1"/>
    <w:rsid w:val="00BD223E"/>
    <w:rsid w:val="00BD257A"/>
    <w:rsid w:val="00BD33B7"/>
    <w:rsid w:val="00BD35AE"/>
    <w:rsid w:val="00BD431C"/>
    <w:rsid w:val="00BD4567"/>
    <w:rsid w:val="00BD46E3"/>
    <w:rsid w:val="00BD4908"/>
    <w:rsid w:val="00BD4A74"/>
    <w:rsid w:val="00BD4F5D"/>
    <w:rsid w:val="00BD510E"/>
    <w:rsid w:val="00BD5626"/>
    <w:rsid w:val="00BD5A68"/>
    <w:rsid w:val="00BD6060"/>
    <w:rsid w:val="00BD618C"/>
    <w:rsid w:val="00BD6385"/>
    <w:rsid w:val="00BD6B41"/>
    <w:rsid w:val="00BD6BA3"/>
    <w:rsid w:val="00BD6FE0"/>
    <w:rsid w:val="00BD77EE"/>
    <w:rsid w:val="00BD7A47"/>
    <w:rsid w:val="00BD7CE2"/>
    <w:rsid w:val="00BD7D40"/>
    <w:rsid w:val="00BE01D0"/>
    <w:rsid w:val="00BE099B"/>
    <w:rsid w:val="00BE0A5D"/>
    <w:rsid w:val="00BE0C6C"/>
    <w:rsid w:val="00BE0F11"/>
    <w:rsid w:val="00BE1722"/>
    <w:rsid w:val="00BE183A"/>
    <w:rsid w:val="00BE1EAD"/>
    <w:rsid w:val="00BE20DF"/>
    <w:rsid w:val="00BE214F"/>
    <w:rsid w:val="00BE2283"/>
    <w:rsid w:val="00BE2583"/>
    <w:rsid w:val="00BE268B"/>
    <w:rsid w:val="00BE2887"/>
    <w:rsid w:val="00BE28D1"/>
    <w:rsid w:val="00BE2B07"/>
    <w:rsid w:val="00BE2CBE"/>
    <w:rsid w:val="00BE345B"/>
    <w:rsid w:val="00BE35C9"/>
    <w:rsid w:val="00BE3626"/>
    <w:rsid w:val="00BE365D"/>
    <w:rsid w:val="00BE4623"/>
    <w:rsid w:val="00BE4A53"/>
    <w:rsid w:val="00BE4AF7"/>
    <w:rsid w:val="00BE4CC2"/>
    <w:rsid w:val="00BE4E6D"/>
    <w:rsid w:val="00BE5093"/>
    <w:rsid w:val="00BE5244"/>
    <w:rsid w:val="00BE52BF"/>
    <w:rsid w:val="00BE5363"/>
    <w:rsid w:val="00BE55C4"/>
    <w:rsid w:val="00BE5D37"/>
    <w:rsid w:val="00BE5E3C"/>
    <w:rsid w:val="00BE641E"/>
    <w:rsid w:val="00BE654D"/>
    <w:rsid w:val="00BE66AF"/>
    <w:rsid w:val="00BE6908"/>
    <w:rsid w:val="00BF03C7"/>
    <w:rsid w:val="00BF04B2"/>
    <w:rsid w:val="00BF04F5"/>
    <w:rsid w:val="00BF0626"/>
    <w:rsid w:val="00BF0791"/>
    <w:rsid w:val="00BF09DD"/>
    <w:rsid w:val="00BF0C06"/>
    <w:rsid w:val="00BF0E6B"/>
    <w:rsid w:val="00BF0EAB"/>
    <w:rsid w:val="00BF0F09"/>
    <w:rsid w:val="00BF1215"/>
    <w:rsid w:val="00BF12AD"/>
    <w:rsid w:val="00BF12FC"/>
    <w:rsid w:val="00BF1307"/>
    <w:rsid w:val="00BF1812"/>
    <w:rsid w:val="00BF18AA"/>
    <w:rsid w:val="00BF1929"/>
    <w:rsid w:val="00BF1BD3"/>
    <w:rsid w:val="00BF1F40"/>
    <w:rsid w:val="00BF1F8D"/>
    <w:rsid w:val="00BF2030"/>
    <w:rsid w:val="00BF21B8"/>
    <w:rsid w:val="00BF21FB"/>
    <w:rsid w:val="00BF2712"/>
    <w:rsid w:val="00BF2B10"/>
    <w:rsid w:val="00BF2B7E"/>
    <w:rsid w:val="00BF33E1"/>
    <w:rsid w:val="00BF3B39"/>
    <w:rsid w:val="00BF4009"/>
    <w:rsid w:val="00BF4012"/>
    <w:rsid w:val="00BF4087"/>
    <w:rsid w:val="00BF4461"/>
    <w:rsid w:val="00BF48F6"/>
    <w:rsid w:val="00BF4C65"/>
    <w:rsid w:val="00BF4DFB"/>
    <w:rsid w:val="00BF5237"/>
    <w:rsid w:val="00BF53E3"/>
    <w:rsid w:val="00BF5A06"/>
    <w:rsid w:val="00BF5E37"/>
    <w:rsid w:val="00BF60B7"/>
    <w:rsid w:val="00BF613C"/>
    <w:rsid w:val="00BF6753"/>
    <w:rsid w:val="00BF68EB"/>
    <w:rsid w:val="00BF68FC"/>
    <w:rsid w:val="00BF6DF3"/>
    <w:rsid w:val="00BF6E30"/>
    <w:rsid w:val="00BF748B"/>
    <w:rsid w:val="00BF76CB"/>
    <w:rsid w:val="00BF7961"/>
    <w:rsid w:val="00C002F0"/>
    <w:rsid w:val="00C005E4"/>
    <w:rsid w:val="00C01495"/>
    <w:rsid w:val="00C016E9"/>
    <w:rsid w:val="00C01949"/>
    <w:rsid w:val="00C01A36"/>
    <w:rsid w:val="00C01BD6"/>
    <w:rsid w:val="00C01E00"/>
    <w:rsid w:val="00C021EF"/>
    <w:rsid w:val="00C02A9D"/>
    <w:rsid w:val="00C02DC0"/>
    <w:rsid w:val="00C02FFD"/>
    <w:rsid w:val="00C03043"/>
    <w:rsid w:val="00C03437"/>
    <w:rsid w:val="00C03843"/>
    <w:rsid w:val="00C038B9"/>
    <w:rsid w:val="00C039C5"/>
    <w:rsid w:val="00C03B50"/>
    <w:rsid w:val="00C04312"/>
    <w:rsid w:val="00C04928"/>
    <w:rsid w:val="00C0493C"/>
    <w:rsid w:val="00C04DB0"/>
    <w:rsid w:val="00C051A6"/>
    <w:rsid w:val="00C051B4"/>
    <w:rsid w:val="00C0557A"/>
    <w:rsid w:val="00C05646"/>
    <w:rsid w:val="00C05700"/>
    <w:rsid w:val="00C0591D"/>
    <w:rsid w:val="00C05B27"/>
    <w:rsid w:val="00C05C8F"/>
    <w:rsid w:val="00C05D44"/>
    <w:rsid w:val="00C06207"/>
    <w:rsid w:val="00C06897"/>
    <w:rsid w:val="00C0696B"/>
    <w:rsid w:val="00C07843"/>
    <w:rsid w:val="00C0794F"/>
    <w:rsid w:val="00C07AA9"/>
    <w:rsid w:val="00C07BF1"/>
    <w:rsid w:val="00C07CBC"/>
    <w:rsid w:val="00C07F08"/>
    <w:rsid w:val="00C10119"/>
    <w:rsid w:val="00C101E2"/>
    <w:rsid w:val="00C1046F"/>
    <w:rsid w:val="00C105A1"/>
    <w:rsid w:val="00C107F3"/>
    <w:rsid w:val="00C10827"/>
    <w:rsid w:val="00C10AFD"/>
    <w:rsid w:val="00C10B49"/>
    <w:rsid w:val="00C10E2A"/>
    <w:rsid w:val="00C10E31"/>
    <w:rsid w:val="00C10F3C"/>
    <w:rsid w:val="00C111FA"/>
    <w:rsid w:val="00C11E5C"/>
    <w:rsid w:val="00C11F1C"/>
    <w:rsid w:val="00C11F89"/>
    <w:rsid w:val="00C1206A"/>
    <w:rsid w:val="00C1231C"/>
    <w:rsid w:val="00C1247F"/>
    <w:rsid w:val="00C12582"/>
    <w:rsid w:val="00C12714"/>
    <w:rsid w:val="00C12760"/>
    <w:rsid w:val="00C128B7"/>
    <w:rsid w:val="00C12A4B"/>
    <w:rsid w:val="00C12EC8"/>
    <w:rsid w:val="00C1308D"/>
    <w:rsid w:val="00C13A11"/>
    <w:rsid w:val="00C13F0B"/>
    <w:rsid w:val="00C13F39"/>
    <w:rsid w:val="00C144B7"/>
    <w:rsid w:val="00C14830"/>
    <w:rsid w:val="00C15010"/>
    <w:rsid w:val="00C1586F"/>
    <w:rsid w:val="00C15A67"/>
    <w:rsid w:val="00C15B74"/>
    <w:rsid w:val="00C15CFA"/>
    <w:rsid w:val="00C15D80"/>
    <w:rsid w:val="00C15E1B"/>
    <w:rsid w:val="00C15E65"/>
    <w:rsid w:val="00C16112"/>
    <w:rsid w:val="00C16430"/>
    <w:rsid w:val="00C1647B"/>
    <w:rsid w:val="00C167FA"/>
    <w:rsid w:val="00C16812"/>
    <w:rsid w:val="00C170D4"/>
    <w:rsid w:val="00C17287"/>
    <w:rsid w:val="00C172AF"/>
    <w:rsid w:val="00C17C8C"/>
    <w:rsid w:val="00C200CC"/>
    <w:rsid w:val="00C202E4"/>
    <w:rsid w:val="00C204FC"/>
    <w:rsid w:val="00C2050B"/>
    <w:rsid w:val="00C20761"/>
    <w:rsid w:val="00C20CE3"/>
    <w:rsid w:val="00C2154A"/>
    <w:rsid w:val="00C215AD"/>
    <w:rsid w:val="00C22F35"/>
    <w:rsid w:val="00C2317C"/>
    <w:rsid w:val="00C231ED"/>
    <w:rsid w:val="00C2330F"/>
    <w:rsid w:val="00C23BBF"/>
    <w:rsid w:val="00C24421"/>
    <w:rsid w:val="00C246FF"/>
    <w:rsid w:val="00C24AA4"/>
    <w:rsid w:val="00C24CEF"/>
    <w:rsid w:val="00C24E92"/>
    <w:rsid w:val="00C24ED6"/>
    <w:rsid w:val="00C24FEC"/>
    <w:rsid w:val="00C2502D"/>
    <w:rsid w:val="00C25201"/>
    <w:rsid w:val="00C2527D"/>
    <w:rsid w:val="00C25B48"/>
    <w:rsid w:val="00C25E80"/>
    <w:rsid w:val="00C26525"/>
    <w:rsid w:val="00C26846"/>
    <w:rsid w:val="00C26884"/>
    <w:rsid w:val="00C268A4"/>
    <w:rsid w:val="00C270E8"/>
    <w:rsid w:val="00C271B7"/>
    <w:rsid w:val="00C27235"/>
    <w:rsid w:val="00C27332"/>
    <w:rsid w:val="00C27601"/>
    <w:rsid w:val="00C27EE6"/>
    <w:rsid w:val="00C30311"/>
    <w:rsid w:val="00C3049E"/>
    <w:rsid w:val="00C305A7"/>
    <w:rsid w:val="00C30637"/>
    <w:rsid w:val="00C307E5"/>
    <w:rsid w:val="00C3093B"/>
    <w:rsid w:val="00C30D4F"/>
    <w:rsid w:val="00C3122B"/>
    <w:rsid w:val="00C318F6"/>
    <w:rsid w:val="00C31A64"/>
    <w:rsid w:val="00C31EEA"/>
    <w:rsid w:val="00C31FD7"/>
    <w:rsid w:val="00C327F1"/>
    <w:rsid w:val="00C328BD"/>
    <w:rsid w:val="00C328E3"/>
    <w:rsid w:val="00C32C0A"/>
    <w:rsid w:val="00C33175"/>
    <w:rsid w:val="00C332BA"/>
    <w:rsid w:val="00C33325"/>
    <w:rsid w:val="00C33545"/>
    <w:rsid w:val="00C33AAF"/>
    <w:rsid w:val="00C33C3A"/>
    <w:rsid w:val="00C33CF2"/>
    <w:rsid w:val="00C33FB5"/>
    <w:rsid w:val="00C3478A"/>
    <w:rsid w:val="00C347AF"/>
    <w:rsid w:val="00C34B2D"/>
    <w:rsid w:val="00C351B5"/>
    <w:rsid w:val="00C351CB"/>
    <w:rsid w:val="00C35286"/>
    <w:rsid w:val="00C35560"/>
    <w:rsid w:val="00C356C9"/>
    <w:rsid w:val="00C35CD0"/>
    <w:rsid w:val="00C35FE9"/>
    <w:rsid w:val="00C361A1"/>
    <w:rsid w:val="00C3640D"/>
    <w:rsid w:val="00C36427"/>
    <w:rsid w:val="00C36C9C"/>
    <w:rsid w:val="00C37067"/>
    <w:rsid w:val="00C37921"/>
    <w:rsid w:val="00C37B47"/>
    <w:rsid w:val="00C40065"/>
    <w:rsid w:val="00C401A1"/>
    <w:rsid w:val="00C40A0F"/>
    <w:rsid w:val="00C413AB"/>
    <w:rsid w:val="00C413FD"/>
    <w:rsid w:val="00C415CF"/>
    <w:rsid w:val="00C41AD2"/>
    <w:rsid w:val="00C41C9E"/>
    <w:rsid w:val="00C42055"/>
    <w:rsid w:val="00C42149"/>
    <w:rsid w:val="00C4228C"/>
    <w:rsid w:val="00C422A5"/>
    <w:rsid w:val="00C42B11"/>
    <w:rsid w:val="00C43357"/>
    <w:rsid w:val="00C433C7"/>
    <w:rsid w:val="00C43502"/>
    <w:rsid w:val="00C4354A"/>
    <w:rsid w:val="00C4360B"/>
    <w:rsid w:val="00C43BDC"/>
    <w:rsid w:val="00C43C62"/>
    <w:rsid w:val="00C43DDF"/>
    <w:rsid w:val="00C43EA3"/>
    <w:rsid w:val="00C443DB"/>
    <w:rsid w:val="00C44886"/>
    <w:rsid w:val="00C44D86"/>
    <w:rsid w:val="00C44E55"/>
    <w:rsid w:val="00C450DA"/>
    <w:rsid w:val="00C4526B"/>
    <w:rsid w:val="00C454A5"/>
    <w:rsid w:val="00C454BE"/>
    <w:rsid w:val="00C45780"/>
    <w:rsid w:val="00C4601A"/>
    <w:rsid w:val="00C46211"/>
    <w:rsid w:val="00C46699"/>
    <w:rsid w:val="00C46908"/>
    <w:rsid w:val="00C46E43"/>
    <w:rsid w:val="00C47120"/>
    <w:rsid w:val="00C475F6"/>
    <w:rsid w:val="00C4772D"/>
    <w:rsid w:val="00C47E75"/>
    <w:rsid w:val="00C50020"/>
    <w:rsid w:val="00C507FD"/>
    <w:rsid w:val="00C50CF9"/>
    <w:rsid w:val="00C50E9D"/>
    <w:rsid w:val="00C5115B"/>
    <w:rsid w:val="00C51209"/>
    <w:rsid w:val="00C51461"/>
    <w:rsid w:val="00C514DB"/>
    <w:rsid w:val="00C5195E"/>
    <w:rsid w:val="00C51E04"/>
    <w:rsid w:val="00C524C0"/>
    <w:rsid w:val="00C5275E"/>
    <w:rsid w:val="00C52974"/>
    <w:rsid w:val="00C52B7E"/>
    <w:rsid w:val="00C52C5F"/>
    <w:rsid w:val="00C52C95"/>
    <w:rsid w:val="00C52D3A"/>
    <w:rsid w:val="00C52DCB"/>
    <w:rsid w:val="00C5350C"/>
    <w:rsid w:val="00C53546"/>
    <w:rsid w:val="00C536A2"/>
    <w:rsid w:val="00C536C0"/>
    <w:rsid w:val="00C53A56"/>
    <w:rsid w:val="00C53DF8"/>
    <w:rsid w:val="00C54700"/>
    <w:rsid w:val="00C549DA"/>
    <w:rsid w:val="00C54A01"/>
    <w:rsid w:val="00C54B90"/>
    <w:rsid w:val="00C54C35"/>
    <w:rsid w:val="00C550FC"/>
    <w:rsid w:val="00C55829"/>
    <w:rsid w:val="00C55B87"/>
    <w:rsid w:val="00C55CB1"/>
    <w:rsid w:val="00C55E87"/>
    <w:rsid w:val="00C561C4"/>
    <w:rsid w:val="00C5742B"/>
    <w:rsid w:val="00C57480"/>
    <w:rsid w:val="00C5748B"/>
    <w:rsid w:val="00C5757A"/>
    <w:rsid w:val="00C57593"/>
    <w:rsid w:val="00C57785"/>
    <w:rsid w:val="00C57AA6"/>
    <w:rsid w:val="00C57B57"/>
    <w:rsid w:val="00C57E0C"/>
    <w:rsid w:val="00C6035A"/>
    <w:rsid w:val="00C60724"/>
    <w:rsid w:val="00C608F1"/>
    <w:rsid w:val="00C60B4F"/>
    <w:rsid w:val="00C60CEA"/>
    <w:rsid w:val="00C6122B"/>
    <w:rsid w:val="00C61875"/>
    <w:rsid w:val="00C61931"/>
    <w:rsid w:val="00C61996"/>
    <w:rsid w:val="00C61B19"/>
    <w:rsid w:val="00C61CE5"/>
    <w:rsid w:val="00C621E5"/>
    <w:rsid w:val="00C62376"/>
    <w:rsid w:val="00C62448"/>
    <w:rsid w:val="00C62937"/>
    <w:rsid w:val="00C62D39"/>
    <w:rsid w:val="00C62EA6"/>
    <w:rsid w:val="00C63190"/>
    <w:rsid w:val="00C63235"/>
    <w:rsid w:val="00C6332B"/>
    <w:rsid w:val="00C6365C"/>
    <w:rsid w:val="00C6397B"/>
    <w:rsid w:val="00C639EA"/>
    <w:rsid w:val="00C63FFB"/>
    <w:rsid w:val="00C64793"/>
    <w:rsid w:val="00C65119"/>
    <w:rsid w:val="00C65305"/>
    <w:rsid w:val="00C65385"/>
    <w:rsid w:val="00C65474"/>
    <w:rsid w:val="00C654BE"/>
    <w:rsid w:val="00C65818"/>
    <w:rsid w:val="00C65825"/>
    <w:rsid w:val="00C6588B"/>
    <w:rsid w:val="00C65907"/>
    <w:rsid w:val="00C65DE5"/>
    <w:rsid w:val="00C67BA3"/>
    <w:rsid w:val="00C67C40"/>
    <w:rsid w:val="00C701EE"/>
    <w:rsid w:val="00C70208"/>
    <w:rsid w:val="00C70E1C"/>
    <w:rsid w:val="00C718FD"/>
    <w:rsid w:val="00C719A5"/>
    <w:rsid w:val="00C71A78"/>
    <w:rsid w:val="00C71B12"/>
    <w:rsid w:val="00C71FE5"/>
    <w:rsid w:val="00C72016"/>
    <w:rsid w:val="00C724CB"/>
    <w:rsid w:val="00C72508"/>
    <w:rsid w:val="00C7299E"/>
    <w:rsid w:val="00C72EE5"/>
    <w:rsid w:val="00C7305E"/>
    <w:rsid w:val="00C73377"/>
    <w:rsid w:val="00C7369A"/>
    <w:rsid w:val="00C73736"/>
    <w:rsid w:val="00C738A9"/>
    <w:rsid w:val="00C73AA5"/>
    <w:rsid w:val="00C73B79"/>
    <w:rsid w:val="00C73C17"/>
    <w:rsid w:val="00C73E11"/>
    <w:rsid w:val="00C73E33"/>
    <w:rsid w:val="00C743EF"/>
    <w:rsid w:val="00C745B1"/>
    <w:rsid w:val="00C745C2"/>
    <w:rsid w:val="00C74606"/>
    <w:rsid w:val="00C74816"/>
    <w:rsid w:val="00C74959"/>
    <w:rsid w:val="00C74B0F"/>
    <w:rsid w:val="00C74DA6"/>
    <w:rsid w:val="00C7560C"/>
    <w:rsid w:val="00C758C6"/>
    <w:rsid w:val="00C7629C"/>
    <w:rsid w:val="00C76A87"/>
    <w:rsid w:val="00C76B2B"/>
    <w:rsid w:val="00C76B8A"/>
    <w:rsid w:val="00C77077"/>
    <w:rsid w:val="00C770D6"/>
    <w:rsid w:val="00C775B8"/>
    <w:rsid w:val="00C775D7"/>
    <w:rsid w:val="00C77798"/>
    <w:rsid w:val="00C7788E"/>
    <w:rsid w:val="00C77A73"/>
    <w:rsid w:val="00C77E31"/>
    <w:rsid w:val="00C80235"/>
    <w:rsid w:val="00C80373"/>
    <w:rsid w:val="00C804AC"/>
    <w:rsid w:val="00C804E1"/>
    <w:rsid w:val="00C80578"/>
    <w:rsid w:val="00C8081F"/>
    <w:rsid w:val="00C80F2D"/>
    <w:rsid w:val="00C8193D"/>
    <w:rsid w:val="00C81A5F"/>
    <w:rsid w:val="00C81C5E"/>
    <w:rsid w:val="00C82463"/>
    <w:rsid w:val="00C82549"/>
    <w:rsid w:val="00C82703"/>
    <w:rsid w:val="00C82900"/>
    <w:rsid w:val="00C82987"/>
    <w:rsid w:val="00C82DEA"/>
    <w:rsid w:val="00C831C0"/>
    <w:rsid w:val="00C83805"/>
    <w:rsid w:val="00C83A65"/>
    <w:rsid w:val="00C83DC4"/>
    <w:rsid w:val="00C83E0D"/>
    <w:rsid w:val="00C83F00"/>
    <w:rsid w:val="00C83F51"/>
    <w:rsid w:val="00C8410A"/>
    <w:rsid w:val="00C843EF"/>
    <w:rsid w:val="00C8456F"/>
    <w:rsid w:val="00C84B5B"/>
    <w:rsid w:val="00C84C8B"/>
    <w:rsid w:val="00C84D60"/>
    <w:rsid w:val="00C84D85"/>
    <w:rsid w:val="00C853E0"/>
    <w:rsid w:val="00C859CC"/>
    <w:rsid w:val="00C85ADA"/>
    <w:rsid w:val="00C85CA8"/>
    <w:rsid w:val="00C85E04"/>
    <w:rsid w:val="00C86056"/>
    <w:rsid w:val="00C86251"/>
    <w:rsid w:val="00C866F3"/>
    <w:rsid w:val="00C86B88"/>
    <w:rsid w:val="00C86DAA"/>
    <w:rsid w:val="00C87021"/>
    <w:rsid w:val="00C870B4"/>
    <w:rsid w:val="00C874F7"/>
    <w:rsid w:val="00C87943"/>
    <w:rsid w:val="00C87F6A"/>
    <w:rsid w:val="00C90072"/>
    <w:rsid w:val="00C90669"/>
    <w:rsid w:val="00C90CEA"/>
    <w:rsid w:val="00C90F11"/>
    <w:rsid w:val="00C90F28"/>
    <w:rsid w:val="00C913D9"/>
    <w:rsid w:val="00C91D65"/>
    <w:rsid w:val="00C91EBC"/>
    <w:rsid w:val="00C9204D"/>
    <w:rsid w:val="00C92217"/>
    <w:rsid w:val="00C92265"/>
    <w:rsid w:val="00C92584"/>
    <w:rsid w:val="00C925F0"/>
    <w:rsid w:val="00C92885"/>
    <w:rsid w:val="00C92D72"/>
    <w:rsid w:val="00C93072"/>
    <w:rsid w:val="00C930D0"/>
    <w:rsid w:val="00C93275"/>
    <w:rsid w:val="00C93CDA"/>
    <w:rsid w:val="00C942E2"/>
    <w:rsid w:val="00C942E4"/>
    <w:rsid w:val="00C9432C"/>
    <w:rsid w:val="00C9450A"/>
    <w:rsid w:val="00C94735"/>
    <w:rsid w:val="00C94E15"/>
    <w:rsid w:val="00C953A4"/>
    <w:rsid w:val="00C9541B"/>
    <w:rsid w:val="00C95488"/>
    <w:rsid w:val="00C9574E"/>
    <w:rsid w:val="00C95A99"/>
    <w:rsid w:val="00C95F9A"/>
    <w:rsid w:val="00C967E7"/>
    <w:rsid w:val="00C96D6F"/>
    <w:rsid w:val="00C96DF8"/>
    <w:rsid w:val="00C96EF6"/>
    <w:rsid w:val="00C9729B"/>
    <w:rsid w:val="00C974F0"/>
    <w:rsid w:val="00C9762B"/>
    <w:rsid w:val="00C9772C"/>
    <w:rsid w:val="00C97A08"/>
    <w:rsid w:val="00C97CBA"/>
    <w:rsid w:val="00C97D07"/>
    <w:rsid w:val="00CA0436"/>
    <w:rsid w:val="00CA0838"/>
    <w:rsid w:val="00CA0BA1"/>
    <w:rsid w:val="00CA0BE7"/>
    <w:rsid w:val="00CA1329"/>
    <w:rsid w:val="00CA1FAE"/>
    <w:rsid w:val="00CA2192"/>
    <w:rsid w:val="00CA250A"/>
    <w:rsid w:val="00CA3979"/>
    <w:rsid w:val="00CA3DBB"/>
    <w:rsid w:val="00CA3EEB"/>
    <w:rsid w:val="00CA465E"/>
    <w:rsid w:val="00CA492E"/>
    <w:rsid w:val="00CA5073"/>
    <w:rsid w:val="00CA5457"/>
    <w:rsid w:val="00CA5764"/>
    <w:rsid w:val="00CA5BFF"/>
    <w:rsid w:val="00CA5C5F"/>
    <w:rsid w:val="00CA5F35"/>
    <w:rsid w:val="00CA5F58"/>
    <w:rsid w:val="00CA5F95"/>
    <w:rsid w:val="00CA62A4"/>
    <w:rsid w:val="00CA65C7"/>
    <w:rsid w:val="00CA664B"/>
    <w:rsid w:val="00CA6A65"/>
    <w:rsid w:val="00CA6AC9"/>
    <w:rsid w:val="00CA6DFF"/>
    <w:rsid w:val="00CA6FEC"/>
    <w:rsid w:val="00CA7468"/>
    <w:rsid w:val="00CA74F6"/>
    <w:rsid w:val="00CA768A"/>
    <w:rsid w:val="00CA7703"/>
    <w:rsid w:val="00CA7A58"/>
    <w:rsid w:val="00CA7C5B"/>
    <w:rsid w:val="00CA7C71"/>
    <w:rsid w:val="00CA7DD5"/>
    <w:rsid w:val="00CB0123"/>
    <w:rsid w:val="00CB0316"/>
    <w:rsid w:val="00CB07CD"/>
    <w:rsid w:val="00CB0813"/>
    <w:rsid w:val="00CB0AAB"/>
    <w:rsid w:val="00CB0D8B"/>
    <w:rsid w:val="00CB0EE4"/>
    <w:rsid w:val="00CB127D"/>
    <w:rsid w:val="00CB1671"/>
    <w:rsid w:val="00CB17D7"/>
    <w:rsid w:val="00CB1BBE"/>
    <w:rsid w:val="00CB1EDF"/>
    <w:rsid w:val="00CB29A9"/>
    <w:rsid w:val="00CB2B90"/>
    <w:rsid w:val="00CB2BFD"/>
    <w:rsid w:val="00CB2C2E"/>
    <w:rsid w:val="00CB2F35"/>
    <w:rsid w:val="00CB300C"/>
    <w:rsid w:val="00CB304F"/>
    <w:rsid w:val="00CB32CF"/>
    <w:rsid w:val="00CB34D9"/>
    <w:rsid w:val="00CB3819"/>
    <w:rsid w:val="00CB3B7E"/>
    <w:rsid w:val="00CB3BBF"/>
    <w:rsid w:val="00CB3C46"/>
    <w:rsid w:val="00CB3C93"/>
    <w:rsid w:val="00CB406D"/>
    <w:rsid w:val="00CB4757"/>
    <w:rsid w:val="00CB51A7"/>
    <w:rsid w:val="00CB5338"/>
    <w:rsid w:val="00CB575B"/>
    <w:rsid w:val="00CB5BD8"/>
    <w:rsid w:val="00CB5C2D"/>
    <w:rsid w:val="00CB5DD0"/>
    <w:rsid w:val="00CB5FFA"/>
    <w:rsid w:val="00CB605D"/>
    <w:rsid w:val="00CB646F"/>
    <w:rsid w:val="00CB6B54"/>
    <w:rsid w:val="00CB7C2B"/>
    <w:rsid w:val="00CC01F4"/>
    <w:rsid w:val="00CC0488"/>
    <w:rsid w:val="00CC094E"/>
    <w:rsid w:val="00CC0966"/>
    <w:rsid w:val="00CC0E5D"/>
    <w:rsid w:val="00CC1227"/>
    <w:rsid w:val="00CC13C6"/>
    <w:rsid w:val="00CC1757"/>
    <w:rsid w:val="00CC20C9"/>
    <w:rsid w:val="00CC2107"/>
    <w:rsid w:val="00CC28CA"/>
    <w:rsid w:val="00CC28CC"/>
    <w:rsid w:val="00CC2C52"/>
    <w:rsid w:val="00CC2E26"/>
    <w:rsid w:val="00CC2F9A"/>
    <w:rsid w:val="00CC33EA"/>
    <w:rsid w:val="00CC3429"/>
    <w:rsid w:val="00CC3441"/>
    <w:rsid w:val="00CC45B4"/>
    <w:rsid w:val="00CC46FA"/>
    <w:rsid w:val="00CC495B"/>
    <w:rsid w:val="00CC49F8"/>
    <w:rsid w:val="00CC4FC3"/>
    <w:rsid w:val="00CC5024"/>
    <w:rsid w:val="00CC5049"/>
    <w:rsid w:val="00CC5A88"/>
    <w:rsid w:val="00CC5E6D"/>
    <w:rsid w:val="00CC6381"/>
    <w:rsid w:val="00CC6830"/>
    <w:rsid w:val="00CC6A19"/>
    <w:rsid w:val="00CC6BCE"/>
    <w:rsid w:val="00CC6CBE"/>
    <w:rsid w:val="00CC6D31"/>
    <w:rsid w:val="00CC6D6B"/>
    <w:rsid w:val="00CC71A1"/>
    <w:rsid w:val="00CC7538"/>
    <w:rsid w:val="00CC7576"/>
    <w:rsid w:val="00CC796C"/>
    <w:rsid w:val="00CC7C7A"/>
    <w:rsid w:val="00CD003D"/>
    <w:rsid w:val="00CD01CC"/>
    <w:rsid w:val="00CD037D"/>
    <w:rsid w:val="00CD0397"/>
    <w:rsid w:val="00CD0494"/>
    <w:rsid w:val="00CD09F4"/>
    <w:rsid w:val="00CD0AE5"/>
    <w:rsid w:val="00CD0C34"/>
    <w:rsid w:val="00CD117F"/>
    <w:rsid w:val="00CD1616"/>
    <w:rsid w:val="00CD1F7D"/>
    <w:rsid w:val="00CD2412"/>
    <w:rsid w:val="00CD2CA7"/>
    <w:rsid w:val="00CD31FA"/>
    <w:rsid w:val="00CD370E"/>
    <w:rsid w:val="00CD3A26"/>
    <w:rsid w:val="00CD3B2A"/>
    <w:rsid w:val="00CD3C70"/>
    <w:rsid w:val="00CD3F92"/>
    <w:rsid w:val="00CD4056"/>
    <w:rsid w:val="00CD4078"/>
    <w:rsid w:val="00CD45A4"/>
    <w:rsid w:val="00CD46D9"/>
    <w:rsid w:val="00CD4B8C"/>
    <w:rsid w:val="00CD4E74"/>
    <w:rsid w:val="00CD4FCD"/>
    <w:rsid w:val="00CD51A0"/>
    <w:rsid w:val="00CD533A"/>
    <w:rsid w:val="00CD5C10"/>
    <w:rsid w:val="00CD5DE4"/>
    <w:rsid w:val="00CD6006"/>
    <w:rsid w:val="00CD60FF"/>
    <w:rsid w:val="00CD6280"/>
    <w:rsid w:val="00CD62D6"/>
    <w:rsid w:val="00CD7830"/>
    <w:rsid w:val="00CD7A0E"/>
    <w:rsid w:val="00CD7B66"/>
    <w:rsid w:val="00CE049E"/>
    <w:rsid w:val="00CE04CC"/>
    <w:rsid w:val="00CE07C3"/>
    <w:rsid w:val="00CE0F60"/>
    <w:rsid w:val="00CE10EA"/>
    <w:rsid w:val="00CE119C"/>
    <w:rsid w:val="00CE165A"/>
    <w:rsid w:val="00CE1784"/>
    <w:rsid w:val="00CE1983"/>
    <w:rsid w:val="00CE1C35"/>
    <w:rsid w:val="00CE1D0E"/>
    <w:rsid w:val="00CE1E73"/>
    <w:rsid w:val="00CE2296"/>
    <w:rsid w:val="00CE22A2"/>
    <w:rsid w:val="00CE23A7"/>
    <w:rsid w:val="00CE2783"/>
    <w:rsid w:val="00CE29A8"/>
    <w:rsid w:val="00CE2D95"/>
    <w:rsid w:val="00CE2DE0"/>
    <w:rsid w:val="00CE3333"/>
    <w:rsid w:val="00CE3999"/>
    <w:rsid w:val="00CE3AFE"/>
    <w:rsid w:val="00CE3C6E"/>
    <w:rsid w:val="00CE3CC6"/>
    <w:rsid w:val="00CE3F8C"/>
    <w:rsid w:val="00CE4AA8"/>
    <w:rsid w:val="00CE4F2F"/>
    <w:rsid w:val="00CE4F96"/>
    <w:rsid w:val="00CE5A2D"/>
    <w:rsid w:val="00CE5CBB"/>
    <w:rsid w:val="00CE6750"/>
    <w:rsid w:val="00CE681F"/>
    <w:rsid w:val="00CE6884"/>
    <w:rsid w:val="00CE6D47"/>
    <w:rsid w:val="00CE6DEF"/>
    <w:rsid w:val="00CE6E7F"/>
    <w:rsid w:val="00CE7242"/>
    <w:rsid w:val="00CE73C4"/>
    <w:rsid w:val="00CE76DD"/>
    <w:rsid w:val="00CE787E"/>
    <w:rsid w:val="00CE7F8B"/>
    <w:rsid w:val="00CF03D3"/>
    <w:rsid w:val="00CF0748"/>
    <w:rsid w:val="00CF0ABC"/>
    <w:rsid w:val="00CF0CAB"/>
    <w:rsid w:val="00CF0D30"/>
    <w:rsid w:val="00CF0D4F"/>
    <w:rsid w:val="00CF1643"/>
    <w:rsid w:val="00CF17A9"/>
    <w:rsid w:val="00CF1EC9"/>
    <w:rsid w:val="00CF3145"/>
    <w:rsid w:val="00CF32D2"/>
    <w:rsid w:val="00CF3A4A"/>
    <w:rsid w:val="00CF3F3C"/>
    <w:rsid w:val="00CF3FAD"/>
    <w:rsid w:val="00CF4149"/>
    <w:rsid w:val="00CF4501"/>
    <w:rsid w:val="00CF4D2C"/>
    <w:rsid w:val="00CF4F0C"/>
    <w:rsid w:val="00CF5719"/>
    <w:rsid w:val="00CF5841"/>
    <w:rsid w:val="00CF5B62"/>
    <w:rsid w:val="00CF6A87"/>
    <w:rsid w:val="00CF6DF7"/>
    <w:rsid w:val="00CF6F18"/>
    <w:rsid w:val="00CF6FE8"/>
    <w:rsid w:val="00CF7017"/>
    <w:rsid w:val="00CF74DD"/>
    <w:rsid w:val="00CF7560"/>
    <w:rsid w:val="00CF7747"/>
    <w:rsid w:val="00CF77BF"/>
    <w:rsid w:val="00CF77C1"/>
    <w:rsid w:val="00CF78AB"/>
    <w:rsid w:val="00CF7D07"/>
    <w:rsid w:val="00CF7D5C"/>
    <w:rsid w:val="00D000A5"/>
    <w:rsid w:val="00D00D26"/>
    <w:rsid w:val="00D01183"/>
    <w:rsid w:val="00D0149F"/>
    <w:rsid w:val="00D016CF"/>
    <w:rsid w:val="00D01C05"/>
    <w:rsid w:val="00D01E0D"/>
    <w:rsid w:val="00D01F43"/>
    <w:rsid w:val="00D01F94"/>
    <w:rsid w:val="00D02667"/>
    <w:rsid w:val="00D028F1"/>
    <w:rsid w:val="00D039B0"/>
    <w:rsid w:val="00D03D2A"/>
    <w:rsid w:val="00D040DB"/>
    <w:rsid w:val="00D0437D"/>
    <w:rsid w:val="00D043B5"/>
    <w:rsid w:val="00D045B9"/>
    <w:rsid w:val="00D0463E"/>
    <w:rsid w:val="00D04D71"/>
    <w:rsid w:val="00D05014"/>
    <w:rsid w:val="00D05764"/>
    <w:rsid w:val="00D05838"/>
    <w:rsid w:val="00D05C4D"/>
    <w:rsid w:val="00D06DA7"/>
    <w:rsid w:val="00D07030"/>
    <w:rsid w:val="00D07185"/>
    <w:rsid w:val="00D07AD2"/>
    <w:rsid w:val="00D101C4"/>
    <w:rsid w:val="00D107D4"/>
    <w:rsid w:val="00D10A53"/>
    <w:rsid w:val="00D10A95"/>
    <w:rsid w:val="00D10C45"/>
    <w:rsid w:val="00D10C5F"/>
    <w:rsid w:val="00D11126"/>
    <w:rsid w:val="00D111FB"/>
    <w:rsid w:val="00D11398"/>
    <w:rsid w:val="00D113CF"/>
    <w:rsid w:val="00D11507"/>
    <w:rsid w:val="00D11AFC"/>
    <w:rsid w:val="00D11CEA"/>
    <w:rsid w:val="00D11D8A"/>
    <w:rsid w:val="00D12203"/>
    <w:rsid w:val="00D123CD"/>
    <w:rsid w:val="00D126D9"/>
    <w:rsid w:val="00D1279B"/>
    <w:rsid w:val="00D12BA2"/>
    <w:rsid w:val="00D12BCE"/>
    <w:rsid w:val="00D12FE1"/>
    <w:rsid w:val="00D1313D"/>
    <w:rsid w:val="00D13A2D"/>
    <w:rsid w:val="00D13CAC"/>
    <w:rsid w:val="00D13EC1"/>
    <w:rsid w:val="00D13FBC"/>
    <w:rsid w:val="00D13FCE"/>
    <w:rsid w:val="00D14290"/>
    <w:rsid w:val="00D14705"/>
    <w:rsid w:val="00D14C1A"/>
    <w:rsid w:val="00D14EE3"/>
    <w:rsid w:val="00D15558"/>
    <w:rsid w:val="00D156AD"/>
    <w:rsid w:val="00D15BFC"/>
    <w:rsid w:val="00D16043"/>
    <w:rsid w:val="00D16295"/>
    <w:rsid w:val="00D16372"/>
    <w:rsid w:val="00D167A9"/>
    <w:rsid w:val="00D169FA"/>
    <w:rsid w:val="00D17008"/>
    <w:rsid w:val="00D170EE"/>
    <w:rsid w:val="00D1785B"/>
    <w:rsid w:val="00D17886"/>
    <w:rsid w:val="00D17B76"/>
    <w:rsid w:val="00D17E41"/>
    <w:rsid w:val="00D17F4D"/>
    <w:rsid w:val="00D204ED"/>
    <w:rsid w:val="00D20539"/>
    <w:rsid w:val="00D20660"/>
    <w:rsid w:val="00D206E0"/>
    <w:rsid w:val="00D20D8F"/>
    <w:rsid w:val="00D21070"/>
    <w:rsid w:val="00D214B4"/>
    <w:rsid w:val="00D214C3"/>
    <w:rsid w:val="00D21777"/>
    <w:rsid w:val="00D219DD"/>
    <w:rsid w:val="00D21B17"/>
    <w:rsid w:val="00D21BC9"/>
    <w:rsid w:val="00D21DAD"/>
    <w:rsid w:val="00D222F9"/>
    <w:rsid w:val="00D2250A"/>
    <w:rsid w:val="00D2290A"/>
    <w:rsid w:val="00D22EBA"/>
    <w:rsid w:val="00D23037"/>
    <w:rsid w:val="00D232D6"/>
    <w:rsid w:val="00D233ED"/>
    <w:rsid w:val="00D23EE4"/>
    <w:rsid w:val="00D244DD"/>
    <w:rsid w:val="00D24515"/>
    <w:rsid w:val="00D24742"/>
    <w:rsid w:val="00D24896"/>
    <w:rsid w:val="00D253F2"/>
    <w:rsid w:val="00D25B8D"/>
    <w:rsid w:val="00D25BB0"/>
    <w:rsid w:val="00D25BD5"/>
    <w:rsid w:val="00D25E57"/>
    <w:rsid w:val="00D26769"/>
    <w:rsid w:val="00D26C35"/>
    <w:rsid w:val="00D273BA"/>
    <w:rsid w:val="00D274BD"/>
    <w:rsid w:val="00D274D9"/>
    <w:rsid w:val="00D27554"/>
    <w:rsid w:val="00D27660"/>
    <w:rsid w:val="00D279BB"/>
    <w:rsid w:val="00D3004B"/>
    <w:rsid w:val="00D300AE"/>
    <w:rsid w:val="00D3040D"/>
    <w:rsid w:val="00D3057F"/>
    <w:rsid w:val="00D3071E"/>
    <w:rsid w:val="00D30DF8"/>
    <w:rsid w:val="00D30F24"/>
    <w:rsid w:val="00D314C3"/>
    <w:rsid w:val="00D316C7"/>
    <w:rsid w:val="00D31786"/>
    <w:rsid w:val="00D31D62"/>
    <w:rsid w:val="00D31F34"/>
    <w:rsid w:val="00D32014"/>
    <w:rsid w:val="00D320D5"/>
    <w:rsid w:val="00D325CB"/>
    <w:rsid w:val="00D32713"/>
    <w:rsid w:val="00D32735"/>
    <w:rsid w:val="00D329EF"/>
    <w:rsid w:val="00D32E9E"/>
    <w:rsid w:val="00D32F4E"/>
    <w:rsid w:val="00D3322E"/>
    <w:rsid w:val="00D33383"/>
    <w:rsid w:val="00D33525"/>
    <w:rsid w:val="00D33842"/>
    <w:rsid w:val="00D338D5"/>
    <w:rsid w:val="00D33BEA"/>
    <w:rsid w:val="00D3407C"/>
    <w:rsid w:val="00D343BF"/>
    <w:rsid w:val="00D344AC"/>
    <w:rsid w:val="00D34501"/>
    <w:rsid w:val="00D345F3"/>
    <w:rsid w:val="00D3467D"/>
    <w:rsid w:val="00D3473A"/>
    <w:rsid w:val="00D34747"/>
    <w:rsid w:val="00D349B0"/>
    <w:rsid w:val="00D34D10"/>
    <w:rsid w:val="00D34F8C"/>
    <w:rsid w:val="00D34FDB"/>
    <w:rsid w:val="00D35251"/>
    <w:rsid w:val="00D35314"/>
    <w:rsid w:val="00D35486"/>
    <w:rsid w:val="00D35C0D"/>
    <w:rsid w:val="00D36093"/>
    <w:rsid w:val="00D363F5"/>
    <w:rsid w:val="00D369DD"/>
    <w:rsid w:val="00D36C25"/>
    <w:rsid w:val="00D36ED5"/>
    <w:rsid w:val="00D36F8B"/>
    <w:rsid w:val="00D3711C"/>
    <w:rsid w:val="00D37657"/>
    <w:rsid w:val="00D37718"/>
    <w:rsid w:val="00D37DA9"/>
    <w:rsid w:val="00D40008"/>
    <w:rsid w:val="00D400DE"/>
    <w:rsid w:val="00D401FF"/>
    <w:rsid w:val="00D402A7"/>
    <w:rsid w:val="00D4033F"/>
    <w:rsid w:val="00D40786"/>
    <w:rsid w:val="00D40BB6"/>
    <w:rsid w:val="00D41276"/>
    <w:rsid w:val="00D41EAF"/>
    <w:rsid w:val="00D42898"/>
    <w:rsid w:val="00D42ABD"/>
    <w:rsid w:val="00D42C8B"/>
    <w:rsid w:val="00D431FF"/>
    <w:rsid w:val="00D433A6"/>
    <w:rsid w:val="00D4350D"/>
    <w:rsid w:val="00D43809"/>
    <w:rsid w:val="00D438CB"/>
    <w:rsid w:val="00D43913"/>
    <w:rsid w:val="00D43C5D"/>
    <w:rsid w:val="00D43CDC"/>
    <w:rsid w:val="00D43D1D"/>
    <w:rsid w:val="00D43F31"/>
    <w:rsid w:val="00D444D6"/>
    <w:rsid w:val="00D4494F"/>
    <w:rsid w:val="00D45013"/>
    <w:rsid w:val="00D4514E"/>
    <w:rsid w:val="00D45E69"/>
    <w:rsid w:val="00D4612B"/>
    <w:rsid w:val="00D4654B"/>
    <w:rsid w:val="00D468DF"/>
    <w:rsid w:val="00D469B5"/>
    <w:rsid w:val="00D46C25"/>
    <w:rsid w:val="00D46D6B"/>
    <w:rsid w:val="00D475FB"/>
    <w:rsid w:val="00D47D88"/>
    <w:rsid w:val="00D50019"/>
    <w:rsid w:val="00D503E5"/>
    <w:rsid w:val="00D504CC"/>
    <w:rsid w:val="00D50D9D"/>
    <w:rsid w:val="00D51127"/>
    <w:rsid w:val="00D513E9"/>
    <w:rsid w:val="00D515DA"/>
    <w:rsid w:val="00D51633"/>
    <w:rsid w:val="00D51A62"/>
    <w:rsid w:val="00D51AC2"/>
    <w:rsid w:val="00D51AE4"/>
    <w:rsid w:val="00D523BA"/>
    <w:rsid w:val="00D5299E"/>
    <w:rsid w:val="00D52F49"/>
    <w:rsid w:val="00D52F4F"/>
    <w:rsid w:val="00D53373"/>
    <w:rsid w:val="00D5337A"/>
    <w:rsid w:val="00D53484"/>
    <w:rsid w:val="00D5363A"/>
    <w:rsid w:val="00D5364A"/>
    <w:rsid w:val="00D536D2"/>
    <w:rsid w:val="00D538E6"/>
    <w:rsid w:val="00D53B7D"/>
    <w:rsid w:val="00D53BEF"/>
    <w:rsid w:val="00D53C78"/>
    <w:rsid w:val="00D54020"/>
    <w:rsid w:val="00D540DF"/>
    <w:rsid w:val="00D542AE"/>
    <w:rsid w:val="00D544D5"/>
    <w:rsid w:val="00D5453F"/>
    <w:rsid w:val="00D54C70"/>
    <w:rsid w:val="00D55033"/>
    <w:rsid w:val="00D5525C"/>
    <w:rsid w:val="00D55263"/>
    <w:rsid w:val="00D55551"/>
    <w:rsid w:val="00D55FCA"/>
    <w:rsid w:val="00D55FCC"/>
    <w:rsid w:val="00D562E8"/>
    <w:rsid w:val="00D564FC"/>
    <w:rsid w:val="00D567F5"/>
    <w:rsid w:val="00D56956"/>
    <w:rsid w:val="00D56957"/>
    <w:rsid w:val="00D56A0B"/>
    <w:rsid w:val="00D56B0E"/>
    <w:rsid w:val="00D56C36"/>
    <w:rsid w:val="00D56E62"/>
    <w:rsid w:val="00D57C15"/>
    <w:rsid w:val="00D57D28"/>
    <w:rsid w:val="00D57FB0"/>
    <w:rsid w:val="00D603A7"/>
    <w:rsid w:val="00D604C8"/>
    <w:rsid w:val="00D6094D"/>
    <w:rsid w:val="00D614C0"/>
    <w:rsid w:val="00D61837"/>
    <w:rsid w:val="00D6193A"/>
    <w:rsid w:val="00D61D6D"/>
    <w:rsid w:val="00D61DB8"/>
    <w:rsid w:val="00D627C1"/>
    <w:rsid w:val="00D6292A"/>
    <w:rsid w:val="00D6366B"/>
    <w:rsid w:val="00D63760"/>
    <w:rsid w:val="00D638D4"/>
    <w:rsid w:val="00D63BED"/>
    <w:rsid w:val="00D63E58"/>
    <w:rsid w:val="00D640E7"/>
    <w:rsid w:val="00D64284"/>
    <w:rsid w:val="00D642EB"/>
    <w:rsid w:val="00D6495D"/>
    <w:rsid w:val="00D64BE8"/>
    <w:rsid w:val="00D64CB6"/>
    <w:rsid w:val="00D64DF2"/>
    <w:rsid w:val="00D64F1E"/>
    <w:rsid w:val="00D65156"/>
    <w:rsid w:val="00D6544B"/>
    <w:rsid w:val="00D65599"/>
    <w:rsid w:val="00D655AA"/>
    <w:rsid w:val="00D65C03"/>
    <w:rsid w:val="00D65C52"/>
    <w:rsid w:val="00D65E0D"/>
    <w:rsid w:val="00D6610A"/>
    <w:rsid w:val="00D66337"/>
    <w:rsid w:val="00D667A7"/>
    <w:rsid w:val="00D66D87"/>
    <w:rsid w:val="00D674F5"/>
    <w:rsid w:val="00D67965"/>
    <w:rsid w:val="00D67D03"/>
    <w:rsid w:val="00D67E96"/>
    <w:rsid w:val="00D70121"/>
    <w:rsid w:val="00D70451"/>
    <w:rsid w:val="00D704F9"/>
    <w:rsid w:val="00D706B2"/>
    <w:rsid w:val="00D70748"/>
    <w:rsid w:val="00D70C19"/>
    <w:rsid w:val="00D70CEE"/>
    <w:rsid w:val="00D70EE8"/>
    <w:rsid w:val="00D70EF8"/>
    <w:rsid w:val="00D7121C"/>
    <w:rsid w:val="00D713AB"/>
    <w:rsid w:val="00D7141F"/>
    <w:rsid w:val="00D71C41"/>
    <w:rsid w:val="00D71CBE"/>
    <w:rsid w:val="00D724D2"/>
    <w:rsid w:val="00D72758"/>
    <w:rsid w:val="00D72908"/>
    <w:rsid w:val="00D7296C"/>
    <w:rsid w:val="00D72A09"/>
    <w:rsid w:val="00D72C37"/>
    <w:rsid w:val="00D72C95"/>
    <w:rsid w:val="00D738B3"/>
    <w:rsid w:val="00D73CC6"/>
    <w:rsid w:val="00D74151"/>
    <w:rsid w:val="00D7422C"/>
    <w:rsid w:val="00D74529"/>
    <w:rsid w:val="00D74779"/>
    <w:rsid w:val="00D74C65"/>
    <w:rsid w:val="00D75006"/>
    <w:rsid w:val="00D75381"/>
    <w:rsid w:val="00D75551"/>
    <w:rsid w:val="00D7561F"/>
    <w:rsid w:val="00D759E0"/>
    <w:rsid w:val="00D76021"/>
    <w:rsid w:val="00D762B6"/>
    <w:rsid w:val="00D762F2"/>
    <w:rsid w:val="00D766AF"/>
    <w:rsid w:val="00D768AF"/>
    <w:rsid w:val="00D76B29"/>
    <w:rsid w:val="00D77422"/>
    <w:rsid w:val="00D77A60"/>
    <w:rsid w:val="00D77E65"/>
    <w:rsid w:val="00D77F85"/>
    <w:rsid w:val="00D807D0"/>
    <w:rsid w:val="00D80854"/>
    <w:rsid w:val="00D8090E"/>
    <w:rsid w:val="00D80B30"/>
    <w:rsid w:val="00D80B6D"/>
    <w:rsid w:val="00D80BC2"/>
    <w:rsid w:val="00D80E7D"/>
    <w:rsid w:val="00D81278"/>
    <w:rsid w:val="00D818F5"/>
    <w:rsid w:val="00D8197A"/>
    <w:rsid w:val="00D81C64"/>
    <w:rsid w:val="00D81CE6"/>
    <w:rsid w:val="00D81D4C"/>
    <w:rsid w:val="00D82311"/>
    <w:rsid w:val="00D823D9"/>
    <w:rsid w:val="00D82475"/>
    <w:rsid w:val="00D82626"/>
    <w:rsid w:val="00D8287C"/>
    <w:rsid w:val="00D82C8A"/>
    <w:rsid w:val="00D82D4D"/>
    <w:rsid w:val="00D82E79"/>
    <w:rsid w:val="00D831E8"/>
    <w:rsid w:val="00D832C7"/>
    <w:rsid w:val="00D83507"/>
    <w:rsid w:val="00D8365E"/>
    <w:rsid w:val="00D83B12"/>
    <w:rsid w:val="00D83BAC"/>
    <w:rsid w:val="00D83FB9"/>
    <w:rsid w:val="00D842B8"/>
    <w:rsid w:val="00D84F02"/>
    <w:rsid w:val="00D850BB"/>
    <w:rsid w:val="00D852D0"/>
    <w:rsid w:val="00D8535C"/>
    <w:rsid w:val="00D8539E"/>
    <w:rsid w:val="00D85447"/>
    <w:rsid w:val="00D85463"/>
    <w:rsid w:val="00D85518"/>
    <w:rsid w:val="00D857CD"/>
    <w:rsid w:val="00D858A5"/>
    <w:rsid w:val="00D85969"/>
    <w:rsid w:val="00D85A7E"/>
    <w:rsid w:val="00D864E0"/>
    <w:rsid w:val="00D86731"/>
    <w:rsid w:val="00D86B2A"/>
    <w:rsid w:val="00D87D2A"/>
    <w:rsid w:val="00D87F50"/>
    <w:rsid w:val="00D90474"/>
    <w:rsid w:val="00D90BE9"/>
    <w:rsid w:val="00D90F75"/>
    <w:rsid w:val="00D91415"/>
    <w:rsid w:val="00D914FB"/>
    <w:rsid w:val="00D9188C"/>
    <w:rsid w:val="00D91DA2"/>
    <w:rsid w:val="00D91F0A"/>
    <w:rsid w:val="00D922AF"/>
    <w:rsid w:val="00D9256B"/>
    <w:rsid w:val="00D927F2"/>
    <w:rsid w:val="00D933F8"/>
    <w:rsid w:val="00D9340D"/>
    <w:rsid w:val="00D93582"/>
    <w:rsid w:val="00D935C7"/>
    <w:rsid w:val="00D935D5"/>
    <w:rsid w:val="00D93762"/>
    <w:rsid w:val="00D93DB5"/>
    <w:rsid w:val="00D9427C"/>
    <w:rsid w:val="00D9427E"/>
    <w:rsid w:val="00D9496C"/>
    <w:rsid w:val="00D94A81"/>
    <w:rsid w:val="00D94B4D"/>
    <w:rsid w:val="00D94D64"/>
    <w:rsid w:val="00D95DF2"/>
    <w:rsid w:val="00D95FFC"/>
    <w:rsid w:val="00D96441"/>
    <w:rsid w:val="00D96730"/>
    <w:rsid w:val="00D967F4"/>
    <w:rsid w:val="00D96867"/>
    <w:rsid w:val="00D96B49"/>
    <w:rsid w:val="00D97488"/>
    <w:rsid w:val="00D977DA"/>
    <w:rsid w:val="00D97B27"/>
    <w:rsid w:val="00D97D02"/>
    <w:rsid w:val="00D97EB6"/>
    <w:rsid w:val="00DA023D"/>
    <w:rsid w:val="00DA06E6"/>
    <w:rsid w:val="00DA0FB2"/>
    <w:rsid w:val="00DA123B"/>
    <w:rsid w:val="00DA1549"/>
    <w:rsid w:val="00DA1779"/>
    <w:rsid w:val="00DA1C4A"/>
    <w:rsid w:val="00DA1CE6"/>
    <w:rsid w:val="00DA1DFE"/>
    <w:rsid w:val="00DA1E26"/>
    <w:rsid w:val="00DA2287"/>
    <w:rsid w:val="00DA2477"/>
    <w:rsid w:val="00DA26C5"/>
    <w:rsid w:val="00DA30F8"/>
    <w:rsid w:val="00DA3219"/>
    <w:rsid w:val="00DA32C4"/>
    <w:rsid w:val="00DA33DF"/>
    <w:rsid w:val="00DA35B7"/>
    <w:rsid w:val="00DA368A"/>
    <w:rsid w:val="00DA3A67"/>
    <w:rsid w:val="00DA3A79"/>
    <w:rsid w:val="00DA45C7"/>
    <w:rsid w:val="00DA4737"/>
    <w:rsid w:val="00DA4822"/>
    <w:rsid w:val="00DA4A62"/>
    <w:rsid w:val="00DA4C24"/>
    <w:rsid w:val="00DA4E1C"/>
    <w:rsid w:val="00DA5306"/>
    <w:rsid w:val="00DA5B9C"/>
    <w:rsid w:val="00DA6054"/>
    <w:rsid w:val="00DA690F"/>
    <w:rsid w:val="00DA6B0C"/>
    <w:rsid w:val="00DA6C23"/>
    <w:rsid w:val="00DA75BE"/>
    <w:rsid w:val="00DA76EE"/>
    <w:rsid w:val="00DA7870"/>
    <w:rsid w:val="00DA79D1"/>
    <w:rsid w:val="00DA7C20"/>
    <w:rsid w:val="00DB00A6"/>
    <w:rsid w:val="00DB0510"/>
    <w:rsid w:val="00DB093D"/>
    <w:rsid w:val="00DB098E"/>
    <w:rsid w:val="00DB0E33"/>
    <w:rsid w:val="00DB0ED5"/>
    <w:rsid w:val="00DB0FE6"/>
    <w:rsid w:val="00DB134D"/>
    <w:rsid w:val="00DB1701"/>
    <w:rsid w:val="00DB1904"/>
    <w:rsid w:val="00DB1A6E"/>
    <w:rsid w:val="00DB1DA4"/>
    <w:rsid w:val="00DB1E07"/>
    <w:rsid w:val="00DB237C"/>
    <w:rsid w:val="00DB2E50"/>
    <w:rsid w:val="00DB34FB"/>
    <w:rsid w:val="00DB3544"/>
    <w:rsid w:val="00DB3875"/>
    <w:rsid w:val="00DB3892"/>
    <w:rsid w:val="00DB38F7"/>
    <w:rsid w:val="00DB39BC"/>
    <w:rsid w:val="00DB4302"/>
    <w:rsid w:val="00DB44FE"/>
    <w:rsid w:val="00DB4B89"/>
    <w:rsid w:val="00DB5245"/>
    <w:rsid w:val="00DB5518"/>
    <w:rsid w:val="00DB5830"/>
    <w:rsid w:val="00DB5B52"/>
    <w:rsid w:val="00DB5F30"/>
    <w:rsid w:val="00DB5FAB"/>
    <w:rsid w:val="00DB662D"/>
    <w:rsid w:val="00DB6995"/>
    <w:rsid w:val="00DB6A7B"/>
    <w:rsid w:val="00DB6E8C"/>
    <w:rsid w:val="00DB6FC2"/>
    <w:rsid w:val="00DB705F"/>
    <w:rsid w:val="00DB71D2"/>
    <w:rsid w:val="00DB76B5"/>
    <w:rsid w:val="00DB77E8"/>
    <w:rsid w:val="00DB7903"/>
    <w:rsid w:val="00DB7C03"/>
    <w:rsid w:val="00DB7EA2"/>
    <w:rsid w:val="00DC01F6"/>
    <w:rsid w:val="00DC052F"/>
    <w:rsid w:val="00DC076B"/>
    <w:rsid w:val="00DC085F"/>
    <w:rsid w:val="00DC0D65"/>
    <w:rsid w:val="00DC107E"/>
    <w:rsid w:val="00DC111B"/>
    <w:rsid w:val="00DC11DB"/>
    <w:rsid w:val="00DC1267"/>
    <w:rsid w:val="00DC13CA"/>
    <w:rsid w:val="00DC15D2"/>
    <w:rsid w:val="00DC1E83"/>
    <w:rsid w:val="00DC2127"/>
    <w:rsid w:val="00DC2374"/>
    <w:rsid w:val="00DC2442"/>
    <w:rsid w:val="00DC2528"/>
    <w:rsid w:val="00DC2734"/>
    <w:rsid w:val="00DC2B0A"/>
    <w:rsid w:val="00DC2EE3"/>
    <w:rsid w:val="00DC365B"/>
    <w:rsid w:val="00DC3775"/>
    <w:rsid w:val="00DC384D"/>
    <w:rsid w:val="00DC39B7"/>
    <w:rsid w:val="00DC3A04"/>
    <w:rsid w:val="00DC3AE6"/>
    <w:rsid w:val="00DC3C0F"/>
    <w:rsid w:val="00DC3D76"/>
    <w:rsid w:val="00DC435C"/>
    <w:rsid w:val="00DC4B0E"/>
    <w:rsid w:val="00DC4D2D"/>
    <w:rsid w:val="00DC50C8"/>
    <w:rsid w:val="00DC538B"/>
    <w:rsid w:val="00DC5872"/>
    <w:rsid w:val="00DC5AFB"/>
    <w:rsid w:val="00DC5C83"/>
    <w:rsid w:val="00DC5DCC"/>
    <w:rsid w:val="00DC5E70"/>
    <w:rsid w:val="00DC5FDA"/>
    <w:rsid w:val="00DC626C"/>
    <w:rsid w:val="00DC62BB"/>
    <w:rsid w:val="00DC631C"/>
    <w:rsid w:val="00DC64D0"/>
    <w:rsid w:val="00DC6EB3"/>
    <w:rsid w:val="00DC765A"/>
    <w:rsid w:val="00DC7913"/>
    <w:rsid w:val="00DC797B"/>
    <w:rsid w:val="00DC7CD3"/>
    <w:rsid w:val="00DC7FA4"/>
    <w:rsid w:val="00DD012A"/>
    <w:rsid w:val="00DD060A"/>
    <w:rsid w:val="00DD0614"/>
    <w:rsid w:val="00DD0715"/>
    <w:rsid w:val="00DD08AB"/>
    <w:rsid w:val="00DD0A2E"/>
    <w:rsid w:val="00DD0AAC"/>
    <w:rsid w:val="00DD1472"/>
    <w:rsid w:val="00DD152B"/>
    <w:rsid w:val="00DD1553"/>
    <w:rsid w:val="00DD17F5"/>
    <w:rsid w:val="00DD1ABC"/>
    <w:rsid w:val="00DD1D05"/>
    <w:rsid w:val="00DD1E66"/>
    <w:rsid w:val="00DD21CA"/>
    <w:rsid w:val="00DD221A"/>
    <w:rsid w:val="00DD250F"/>
    <w:rsid w:val="00DD2B60"/>
    <w:rsid w:val="00DD2D36"/>
    <w:rsid w:val="00DD2DCF"/>
    <w:rsid w:val="00DD2E49"/>
    <w:rsid w:val="00DD337E"/>
    <w:rsid w:val="00DD3741"/>
    <w:rsid w:val="00DD3B20"/>
    <w:rsid w:val="00DD3F89"/>
    <w:rsid w:val="00DD443F"/>
    <w:rsid w:val="00DD4A42"/>
    <w:rsid w:val="00DD4A90"/>
    <w:rsid w:val="00DD4CAD"/>
    <w:rsid w:val="00DD4F74"/>
    <w:rsid w:val="00DD590A"/>
    <w:rsid w:val="00DD5F1D"/>
    <w:rsid w:val="00DD613D"/>
    <w:rsid w:val="00DD6195"/>
    <w:rsid w:val="00DD645F"/>
    <w:rsid w:val="00DD6730"/>
    <w:rsid w:val="00DD6789"/>
    <w:rsid w:val="00DD6A18"/>
    <w:rsid w:val="00DD6EF0"/>
    <w:rsid w:val="00DD7BE8"/>
    <w:rsid w:val="00DD7E19"/>
    <w:rsid w:val="00DD7E62"/>
    <w:rsid w:val="00DE01DA"/>
    <w:rsid w:val="00DE04C3"/>
    <w:rsid w:val="00DE07FF"/>
    <w:rsid w:val="00DE0C81"/>
    <w:rsid w:val="00DE0F1D"/>
    <w:rsid w:val="00DE114E"/>
    <w:rsid w:val="00DE117D"/>
    <w:rsid w:val="00DE11C9"/>
    <w:rsid w:val="00DE162B"/>
    <w:rsid w:val="00DE182F"/>
    <w:rsid w:val="00DE23FE"/>
    <w:rsid w:val="00DE2AAC"/>
    <w:rsid w:val="00DE2BC3"/>
    <w:rsid w:val="00DE2E6E"/>
    <w:rsid w:val="00DE2E72"/>
    <w:rsid w:val="00DE33AF"/>
    <w:rsid w:val="00DE34A8"/>
    <w:rsid w:val="00DE3C8F"/>
    <w:rsid w:val="00DE3CB8"/>
    <w:rsid w:val="00DE443E"/>
    <w:rsid w:val="00DE4569"/>
    <w:rsid w:val="00DE4579"/>
    <w:rsid w:val="00DE462B"/>
    <w:rsid w:val="00DE4942"/>
    <w:rsid w:val="00DE4A52"/>
    <w:rsid w:val="00DE5009"/>
    <w:rsid w:val="00DE55AE"/>
    <w:rsid w:val="00DE61B3"/>
    <w:rsid w:val="00DE7315"/>
    <w:rsid w:val="00DE78A2"/>
    <w:rsid w:val="00DE7A4C"/>
    <w:rsid w:val="00DE7BC3"/>
    <w:rsid w:val="00DF0047"/>
    <w:rsid w:val="00DF02C9"/>
    <w:rsid w:val="00DF0B98"/>
    <w:rsid w:val="00DF0BCC"/>
    <w:rsid w:val="00DF0C05"/>
    <w:rsid w:val="00DF1870"/>
    <w:rsid w:val="00DF1DC8"/>
    <w:rsid w:val="00DF1F4A"/>
    <w:rsid w:val="00DF2273"/>
    <w:rsid w:val="00DF2412"/>
    <w:rsid w:val="00DF25CC"/>
    <w:rsid w:val="00DF2691"/>
    <w:rsid w:val="00DF285D"/>
    <w:rsid w:val="00DF2A90"/>
    <w:rsid w:val="00DF32DC"/>
    <w:rsid w:val="00DF333F"/>
    <w:rsid w:val="00DF3573"/>
    <w:rsid w:val="00DF3846"/>
    <w:rsid w:val="00DF3AC2"/>
    <w:rsid w:val="00DF3C73"/>
    <w:rsid w:val="00DF3DB5"/>
    <w:rsid w:val="00DF403D"/>
    <w:rsid w:val="00DF42B1"/>
    <w:rsid w:val="00DF4808"/>
    <w:rsid w:val="00DF4C4B"/>
    <w:rsid w:val="00DF4C6A"/>
    <w:rsid w:val="00DF4CED"/>
    <w:rsid w:val="00DF4F8B"/>
    <w:rsid w:val="00DF61E2"/>
    <w:rsid w:val="00DF64BE"/>
    <w:rsid w:val="00DF6E9F"/>
    <w:rsid w:val="00DF7C1A"/>
    <w:rsid w:val="00DF7E25"/>
    <w:rsid w:val="00DF7E7F"/>
    <w:rsid w:val="00E003CA"/>
    <w:rsid w:val="00E00823"/>
    <w:rsid w:val="00E00EE3"/>
    <w:rsid w:val="00E012CC"/>
    <w:rsid w:val="00E01568"/>
    <w:rsid w:val="00E018AE"/>
    <w:rsid w:val="00E01D24"/>
    <w:rsid w:val="00E01EB4"/>
    <w:rsid w:val="00E0265E"/>
    <w:rsid w:val="00E0292E"/>
    <w:rsid w:val="00E029A5"/>
    <w:rsid w:val="00E02B3C"/>
    <w:rsid w:val="00E02D7B"/>
    <w:rsid w:val="00E02D84"/>
    <w:rsid w:val="00E0346D"/>
    <w:rsid w:val="00E0352E"/>
    <w:rsid w:val="00E03776"/>
    <w:rsid w:val="00E03B04"/>
    <w:rsid w:val="00E04362"/>
    <w:rsid w:val="00E0438F"/>
    <w:rsid w:val="00E04469"/>
    <w:rsid w:val="00E0493F"/>
    <w:rsid w:val="00E049E8"/>
    <w:rsid w:val="00E049F1"/>
    <w:rsid w:val="00E04C5B"/>
    <w:rsid w:val="00E0520A"/>
    <w:rsid w:val="00E054E1"/>
    <w:rsid w:val="00E054EF"/>
    <w:rsid w:val="00E06200"/>
    <w:rsid w:val="00E06424"/>
    <w:rsid w:val="00E064AA"/>
    <w:rsid w:val="00E06E6C"/>
    <w:rsid w:val="00E06F55"/>
    <w:rsid w:val="00E06F91"/>
    <w:rsid w:val="00E0701C"/>
    <w:rsid w:val="00E071B0"/>
    <w:rsid w:val="00E072C8"/>
    <w:rsid w:val="00E073D2"/>
    <w:rsid w:val="00E07798"/>
    <w:rsid w:val="00E07A74"/>
    <w:rsid w:val="00E07E66"/>
    <w:rsid w:val="00E07F1A"/>
    <w:rsid w:val="00E07FE2"/>
    <w:rsid w:val="00E10888"/>
    <w:rsid w:val="00E1091A"/>
    <w:rsid w:val="00E10D9D"/>
    <w:rsid w:val="00E10F8E"/>
    <w:rsid w:val="00E111DD"/>
    <w:rsid w:val="00E116E6"/>
    <w:rsid w:val="00E11B56"/>
    <w:rsid w:val="00E11BFB"/>
    <w:rsid w:val="00E11CA2"/>
    <w:rsid w:val="00E11D59"/>
    <w:rsid w:val="00E12293"/>
    <w:rsid w:val="00E122E4"/>
    <w:rsid w:val="00E12302"/>
    <w:rsid w:val="00E125A9"/>
    <w:rsid w:val="00E1261C"/>
    <w:rsid w:val="00E1289D"/>
    <w:rsid w:val="00E12926"/>
    <w:rsid w:val="00E12D73"/>
    <w:rsid w:val="00E12DBD"/>
    <w:rsid w:val="00E12F61"/>
    <w:rsid w:val="00E1313C"/>
    <w:rsid w:val="00E133F8"/>
    <w:rsid w:val="00E1380D"/>
    <w:rsid w:val="00E13B6E"/>
    <w:rsid w:val="00E14284"/>
    <w:rsid w:val="00E145EE"/>
    <w:rsid w:val="00E14A34"/>
    <w:rsid w:val="00E15064"/>
    <w:rsid w:val="00E15449"/>
    <w:rsid w:val="00E15939"/>
    <w:rsid w:val="00E15D9C"/>
    <w:rsid w:val="00E162D3"/>
    <w:rsid w:val="00E162EB"/>
    <w:rsid w:val="00E1673A"/>
    <w:rsid w:val="00E168C5"/>
    <w:rsid w:val="00E16E9C"/>
    <w:rsid w:val="00E170F2"/>
    <w:rsid w:val="00E17588"/>
    <w:rsid w:val="00E17A34"/>
    <w:rsid w:val="00E17E41"/>
    <w:rsid w:val="00E200ED"/>
    <w:rsid w:val="00E20174"/>
    <w:rsid w:val="00E20361"/>
    <w:rsid w:val="00E2145C"/>
    <w:rsid w:val="00E21866"/>
    <w:rsid w:val="00E21CAE"/>
    <w:rsid w:val="00E21D17"/>
    <w:rsid w:val="00E21DAB"/>
    <w:rsid w:val="00E21E74"/>
    <w:rsid w:val="00E220AE"/>
    <w:rsid w:val="00E22231"/>
    <w:rsid w:val="00E22346"/>
    <w:rsid w:val="00E2241A"/>
    <w:rsid w:val="00E225A2"/>
    <w:rsid w:val="00E22A22"/>
    <w:rsid w:val="00E22D92"/>
    <w:rsid w:val="00E230D4"/>
    <w:rsid w:val="00E23228"/>
    <w:rsid w:val="00E232AC"/>
    <w:rsid w:val="00E232B2"/>
    <w:rsid w:val="00E23511"/>
    <w:rsid w:val="00E2364D"/>
    <w:rsid w:val="00E236D5"/>
    <w:rsid w:val="00E2383C"/>
    <w:rsid w:val="00E23FD7"/>
    <w:rsid w:val="00E241A4"/>
    <w:rsid w:val="00E243B0"/>
    <w:rsid w:val="00E24A83"/>
    <w:rsid w:val="00E24AFD"/>
    <w:rsid w:val="00E25216"/>
    <w:rsid w:val="00E2522C"/>
    <w:rsid w:val="00E25551"/>
    <w:rsid w:val="00E25651"/>
    <w:rsid w:val="00E259DE"/>
    <w:rsid w:val="00E25BE4"/>
    <w:rsid w:val="00E25D78"/>
    <w:rsid w:val="00E25E81"/>
    <w:rsid w:val="00E25EC1"/>
    <w:rsid w:val="00E26202"/>
    <w:rsid w:val="00E26587"/>
    <w:rsid w:val="00E266C3"/>
    <w:rsid w:val="00E2679D"/>
    <w:rsid w:val="00E26E83"/>
    <w:rsid w:val="00E27311"/>
    <w:rsid w:val="00E273F8"/>
    <w:rsid w:val="00E274AD"/>
    <w:rsid w:val="00E274DE"/>
    <w:rsid w:val="00E27538"/>
    <w:rsid w:val="00E27FC0"/>
    <w:rsid w:val="00E302EA"/>
    <w:rsid w:val="00E304AD"/>
    <w:rsid w:val="00E3069A"/>
    <w:rsid w:val="00E30B2E"/>
    <w:rsid w:val="00E30F1B"/>
    <w:rsid w:val="00E31530"/>
    <w:rsid w:val="00E3175B"/>
    <w:rsid w:val="00E3188E"/>
    <w:rsid w:val="00E31A3C"/>
    <w:rsid w:val="00E31C0E"/>
    <w:rsid w:val="00E31D70"/>
    <w:rsid w:val="00E31F0F"/>
    <w:rsid w:val="00E31FF3"/>
    <w:rsid w:val="00E3212E"/>
    <w:rsid w:val="00E325B1"/>
    <w:rsid w:val="00E3271C"/>
    <w:rsid w:val="00E327E4"/>
    <w:rsid w:val="00E329BB"/>
    <w:rsid w:val="00E32C6C"/>
    <w:rsid w:val="00E32DE4"/>
    <w:rsid w:val="00E33740"/>
    <w:rsid w:val="00E33779"/>
    <w:rsid w:val="00E33AC2"/>
    <w:rsid w:val="00E33CA4"/>
    <w:rsid w:val="00E33EC4"/>
    <w:rsid w:val="00E3405D"/>
    <w:rsid w:val="00E340F2"/>
    <w:rsid w:val="00E3418F"/>
    <w:rsid w:val="00E342C4"/>
    <w:rsid w:val="00E342EA"/>
    <w:rsid w:val="00E3464F"/>
    <w:rsid w:val="00E34A40"/>
    <w:rsid w:val="00E34AEF"/>
    <w:rsid w:val="00E34D78"/>
    <w:rsid w:val="00E34EB6"/>
    <w:rsid w:val="00E34FAC"/>
    <w:rsid w:val="00E350D5"/>
    <w:rsid w:val="00E35406"/>
    <w:rsid w:val="00E355D2"/>
    <w:rsid w:val="00E35BC9"/>
    <w:rsid w:val="00E35C5B"/>
    <w:rsid w:val="00E3615F"/>
    <w:rsid w:val="00E364F7"/>
    <w:rsid w:val="00E366AD"/>
    <w:rsid w:val="00E366E6"/>
    <w:rsid w:val="00E36C4E"/>
    <w:rsid w:val="00E36E55"/>
    <w:rsid w:val="00E36F7E"/>
    <w:rsid w:val="00E378BC"/>
    <w:rsid w:val="00E37DE6"/>
    <w:rsid w:val="00E4012D"/>
    <w:rsid w:val="00E403B1"/>
    <w:rsid w:val="00E40587"/>
    <w:rsid w:val="00E407CE"/>
    <w:rsid w:val="00E407D3"/>
    <w:rsid w:val="00E40C77"/>
    <w:rsid w:val="00E40F66"/>
    <w:rsid w:val="00E41159"/>
    <w:rsid w:val="00E414FF"/>
    <w:rsid w:val="00E41B4E"/>
    <w:rsid w:val="00E421D6"/>
    <w:rsid w:val="00E42EC0"/>
    <w:rsid w:val="00E43065"/>
    <w:rsid w:val="00E4317D"/>
    <w:rsid w:val="00E43266"/>
    <w:rsid w:val="00E43762"/>
    <w:rsid w:val="00E43C68"/>
    <w:rsid w:val="00E43E91"/>
    <w:rsid w:val="00E4401B"/>
    <w:rsid w:val="00E44091"/>
    <w:rsid w:val="00E440A2"/>
    <w:rsid w:val="00E442EA"/>
    <w:rsid w:val="00E44654"/>
    <w:rsid w:val="00E44ED5"/>
    <w:rsid w:val="00E44F59"/>
    <w:rsid w:val="00E450F4"/>
    <w:rsid w:val="00E45BC4"/>
    <w:rsid w:val="00E45F58"/>
    <w:rsid w:val="00E46395"/>
    <w:rsid w:val="00E46483"/>
    <w:rsid w:val="00E464D3"/>
    <w:rsid w:val="00E4668F"/>
    <w:rsid w:val="00E46728"/>
    <w:rsid w:val="00E46A71"/>
    <w:rsid w:val="00E46C17"/>
    <w:rsid w:val="00E46CDB"/>
    <w:rsid w:val="00E46D77"/>
    <w:rsid w:val="00E47883"/>
    <w:rsid w:val="00E47912"/>
    <w:rsid w:val="00E47BBD"/>
    <w:rsid w:val="00E47C66"/>
    <w:rsid w:val="00E47CC4"/>
    <w:rsid w:val="00E50407"/>
    <w:rsid w:val="00E50C93"/>
    <w:rsid w:val="00E5160B"/>
    <w:rsid w:val="00E51D7F"/>
    <w:rsid w:val="00E51DB9"/>
    <w:rsid w:val="00E51DD6"/>
    <w:rsid w:val="00E5232B"/>
    <w:rsid w:val="00E523A9"/>
    <w:rsid w:val="00E52457"/>
    <w:rsid w:val="00E525D1"/>
    <w:rsid w:val="00E52D8C"/>
    <w:rsid w:val="00E532C7"/>
    <w:rsid w:val="00E5395B"/>
    <w:rsid w:val="00E53A9E"/>
    <w:rsid w:val="00E543DF"/>
    <w:rsid w:val="00E54427"/>
    <w:rsid w:val="00E54477"/>
    <w:rsid w:val="00E54650"/>
    <w:rsid w:val="00E54AEC"/>
    <w:rsid w:val="00E55025"/>
    <w:rsid w:val="00E5540E"/>
    <w:rsid w:val="00E556BE"/>
    <w:rsid w:val="00E5593B"/>
    <w:rsid w:val="00E55A96"/>
    <w:rsid w:val="00E55C41"/>
    <w:rsid w:val="00E5602F"/>
    <w:rsid w:val="00E56056"/>
    <w:rsid w:val="00E56068"/>
    <w:rsid w:val="00E56113"/>
    <w:rsid w:val="00E563F0"/>
    <w:rsid w:val="00E56641"/>
    <w:rsid w:val="00E57297"/>
    <w:rsid w:val="00E57BAB"/>
    <w:rsid w:val="00E57D42"/>
    <w:rsid w:val="00E57F10"/>
    <w:rsid w:val="00E60079"/>
    <w:rsid w:val="00E600E3"/>
    <w:rsid w:val="00E6041C"/>
    <w:rsid w:val="00E606B6"/>
    <w:rsid w:val="00E60B6B"/>
    <w:rsid w:val="00E60C14"/>
    <w:rsid w:val="00E60DE0"/>
    <w:rsid w:val="00E611A3"/>
    <w:rsid w:val="00E6121B"/>
    <w:rsid w:val="00E61B82"/>
    <w:rsid w:val="00E61CE3"/>
    <w:rsid w:val="00E621A4"/>
    <w:rsid w:val="00E625D9"/>
    <w:rsid w:val="00E6297B"/>
    <w:rsid w:val="00E62AF6"/>
    <w:rsid w:val="00E62F3D"/>
    <w:rsid w:val="00E63167"/>
    <w:rsid w:val="00E632E6"/>
    <w:rsid w:val="00E6341C"/>
    <w:rsid w:val="00E637A9"/>
    <w:rsid w:val="00E646D2"/>
    <w:rsid w:val="00E64924"/>
    <w:rsid w:val="00E64D59"/>
    <w:rsid w:val="00E65598"/>
    <w:rsid w:val="00E65B82"/>
    <w:rsid w:val="00E65BF8"/>
    <w:rsid w:val="00E65C71"/>
    <w:rsid w:val="00E65D8B"/>
    <w:rsid w:val="00E66085"/>
    <w:rsid w:val="00E66613"/>
    <w:rsid w:val="00E666D9"/>
    <w:rsid w:val="00E67076"/>
    <w:rsid w:val="00E6724C"/>
    <w:rsid w:val="00E67594"/>
    <w:rsid w:val="00E67943"/>
    <w:rsid w:val="00E6798F"/>
    <w:rsid w:val="00E679BE"/>
    <w:rsid w:val="00E67C28"/>
    <w:rsid w:val="00E67C52"/>
    <w:rsid w:val="00E67E51"/>
    <w:rsid w:val="00E67E94"/>
    <w:rsid w:val="00E7020C"/>
    <w:rsid w:val="00E70246"/>
    <w:rsid w:val="00E702ED"/>
    <w:rsid w:val="00E70607"/>
    <w:rsid w:val="00E706A7"/>
    <w:rsid w:val="00E70AE8"/>
    <w:rsid w:val="00E70B00"/>
    <w:rsid w:val="00E70B25"/>
    <w:rsid w:val="00E70D57"/>
    <w:rsid w:val="00E7104F"/>
    <w:rsid w:val="00E7122A"/>
    <w:rsid w:val="00E7128E"/>
    <w:rsid w:val="00E713F9"/>
    <w:rsid w:val="00E71408"/>
    <w:rsid w:val="00E71457"/>
    <w:rsid w:val="00E71A13"/>
    <w:rsid w:val="00E71E98"/>
    <w:rsid w:val="00E721B6"/>
    <w:rsid w:val="00E7223A"/>
    <w:rsid w:val="00E722C1"/>
    <w:rsid w:val="00E72381"/>
    <w:rsid w:val="00E72516"/>
    <w:rsid w:val="00E7298A"/>
    <w:rsid w:val="00E731D6"/>
    <w:rsid w:val="00E731DD"/>
    <w:rsid w:val="00E7395A"/>
    <w:rsid w:val="00E74ABF"/>
    <w:rsid w:val="00E74B4C"/>
    <w:rsid w:val="00E74E28"/>
    <w:rsid w:val="00E7525F"/>
    <w:rsid w:val="00E7565F"/>
    <w:rsid w:val="00E7596D"/>
    <w:rsid w:val="00E75A18"/>
    <w:rsid w:val="00E75A50"/>
    <w:rsid w:val="00E75EB5"/>
    <w:rsid w:val="00E75F65"/>
    <w:rsid w:val="00E76241"/>
    <w:rsid w:val="00E76312"/>
    <w:rsid w:val="00E763C5"/>
    <w:rsid w:val="00E76459"/>
    <w:rsid w:val="00E765E2"/>
    <w:rsid w:val="00E7660A"/>
    <w:rsid w:val="00E76770"/>
    <w:rsid w:val="00E768D1"/>
    <w:rsid w:val="00E7691E"/>
    <w:rsid w:val="00E77222"/>
    <w:rsid w:val="00E772D8"/>
    <w:rsid w:val="00E77346"/>
    <w:rsid w:val="00E773CB"/>
    <w:rsid w:val="00E775E9"/>
    <w:rsid w:val="00E77983"/>
    <w:rsid w:val="00E80458"/>
    <w:rsid w:val="00E804F3"/>
    <w:rsid w:val="00E80E2F"/>
    <w:rsid w:val="00E810B7"/>
    <w:rsid w:val="00E81185"/>
    <w:rsid w:val="00E811CE"/>
    <w:rsid w:val="00E8174D"/>
    <w:rsid w:val="00E81E59"/>
    <w:rsid w:val="00E82538"/>
    <w:rsid w:val="00E8277B"/>
    <w:rsid w:val="00E82CA7"/>
    <w:rsid w:val="00E82D8E"/>
    <w:rsid w:val="00E83110"/>
    <w:rsid w:val="00E83319"/>
    <w:rsid w:val="00E83483"/>
    <w:rsid w:val="00E83620"/>
    <w:rsid w:val="00E8387E"/>
    <w:rsid w:val="00E83FF1"/>
    <w:rsid w:val="00E8500B"/>
    <w:rsid w:val="00E8506F"/>
    <w:rsid w:val="00E852A1"/>
    <w:rsid w:val="00E862D9"/>
    <w:rsid w:val="00E86347"/>
    <w:rsid w:val="00E866D1"/>
    <w:rsid w:val="00E866D3"/>
    <w:rsid w:val="00E86D92"/>
    <w:rsid w:val="00E86F6D"/>
    <w:rsid w:val="00E86F91"/>
    <w:rsid w:val="00E8742A"/>
    <w:rsid w:val="00E87475"/>
    <w:rsid w:val="00E87754"/>
    <w:rsid w:val="00E87ABC"/>
    <w:rsid w:val="00E87D9B"/>
    <w:rsid w:val="00E87DBF"/>
    <w:rsid w:val="00E9000D"/>
    <w:rsid w:val="00E9026A"/>
    <w:rsid w:val="00E90898"/>
    <w:rsid w:val="00E909C9"/>
    <w:rsid w:val="00E91747"/>
    <w:rsid w:val="00E91AF6"/>
    <w:rsid w:val="00E920A9"/>
    <w:rsid w:val="00E928D9"/>
    <w:rsid w:val="00E92947"/>
    <w:rsid w:val="00E9295B"/>
    <w:rsid w:val="00E92B76"/>
    <w:rsid w:val="00E92D56"/>
    <w:rsid w:val="00E92D66"/>
    <w:rsid w:val="00E9306D"/>
    <w:rsid w:val="00E931ED"/>
    <w:rsid w:val="00E9355B"/>
    <w:rsid w:val="00E9359C"/>
    <w:rsid w:val="00E93889"/>
    <w:rsid w:val="00E93ADC"/>
    <w:rsid w:val="00E93B04"/>
    <w:rsid w:val="00E93F36"/>
    <w:rsid w:val="00E94880"/>
    <w:rsid w:val="00E94A3B"/>
    <w:rsid w:val="00E94CBA"/>
    <w:rsid w:val="00E95038"/>
    <w:rsid w:val="00E950B6"/>
    <w:rsid w:val="00E955FE"/>
    <w:rsid w:val="00E956EF"/>
    <w:rsid w:val="00E95759"/>
    <w:rsid w:val="00E95BBB"/>
    <w:rsid w:val="00E95FDE"/>
    <w:rsid w:val="00E96255"/>
    <w:rsid w:val="00E96392"/>
    <w:rsid w:val="00E964BD"/>
    <w:rsid w:val="00E9662D"/>
    <w:rsid w:val="00E96AE3"/>
    <w:rsid w:val="00E96B34"/>
    <w:rsid w:val="00E96CBB"/>
    <w:rsid w:val="00EA04F6"/>
    <w:rsid w:val="00EA096A"/>
    <w:rsid w:val="00EA150D"/>
    <w:rsid w:val="00EA1D25"/>
    <w:rsid w:val="00EA1E34"/>
    <w:rsid w:val="00EA1F40"/>
    <w:rsid w:val="00EA2148"/>
    <w:rsid w:val="00EA2192"/>
    <w:rsid w:val="00EA25DC"/>
    <w:rsid w:val="00EA29FB"/>
    <w:rsid w:val="00EA2C72"/>
    <w:rsid w:val="00EA2C81"/>
    <w:rsid w:val="00EA2EA6"/>
    <w:rsid w:val="00EA2FE8"/>
    <w:rsid w:val="00EA3264"/>
    <w:rsid w:val="00EA390B"/>
    <w:rsid w:val="00EA40F2"/>
    <w:rsid w:val="00EA465A"/>
    <w:rsid w:val="00EA48AF"/>
    <w:rsid w:val="00EA5144"/>
    <w:rsid w:val="00EA533F"/>
    <w:rsid w:val="00EA5659"/>
    <w:rsid w:val="00EA576F"/>
    <w:rsid w:val="00EA58A3"/>
    <w:rsid w:val="00EA5D0A"/>
    <w:rsid w:val="00EA5E2A"/>
    <w:rsid w:val="00EA640F"/>
    <w:rsid w:val="00EA6639"/>
    <w:rsid w:val="00EA666F"/>
    <w:rsid w:val="00EA6DD0"/>
    <w:rsid w:val="00EA6F61"/>
    <w:rsid w:val="00EA7232"/>
    <w:rsid w:val="00EA7467"/>
    <w:rsid w:val="00EA758C"/>
    <w:rsid w:val="00EA770E"/>
    <w:rsid w:val="00EA772F"/>
    <w:rsid w:val="00EA7E91"/>
    <w:rsid w:val="00EB02A2"/>
    <w:rsid w:val="00EB02CF"/>
    <w:rsid w:val="00EB079C"/>
    <w:rsid w:val="00EB0AD5"/>
    <w:rsid w:val="00EB0F54"/>
    <w:rsid w:val="00EB1093"/>
    <w:rsid w:val="00EB1994"/>
    <w:rsid w:val="00EB2126"/>
    <w:rsid w:val="00EB238A"/>
    <w:rsid w:val="00EB296B"/>
    <w:rsid w:val="00EB2B95"/>
    <w:rsid w:val="00EB2BEC"/>
    <w:rsid w:val="00EB2FA4"/>
    <w:rsid w:val="00EB3086"/>
    <w:rsid w:val="00EB3797"/>
    <w:rsid w:val="00EB39CC"/>
    <w:rsid w:val="00EB3B64"/>
    <w:rsid w:val="00EB3C1E"/>
    <w:rsid w:val="00EB4151"/>
    <w:rsid w:val="00EB4CB5"/>
    <w:rsid w:val="00EB4CC6"/>
    <w:rsid w:val="00EB5031"/>
    <w:rsid w:val="00EB543B"/>
    <w:rsid w:val="00EB5589"/>
    <w:rsid w:val="00EB55DC"/>
    <w:rsid w:val="00EB5D91"/>
    <w:rsid w:val="00EB5EC8"/>
    <w:rsid w:val="00EB6265"/>
    <w:rsid w:val="00EB65CF"/>
    <w:rsid w:val="00EB6869"/>
    <w:rsid w:val="00EB6957"/>
    <w:rsid w:val="00EB6D7B"/>
    <w:rsid w:val="00EB6E09"/>
    <w:rsid w:val="00EB6F26"/>
    <w:rsid w:val="00EB78CB"/>
    <w:rsid w:val="00EB7AA1"/>
    <w:rsid w:val="00EB7BCD"/>
    <w:rsid w:val="00EB7D0A"/>
    <w:rsid w:val="00EC03AD"/>
    <w:rsid w:val="00EC0461"/>
    <w:rsid w:val="00EC0937"/>
    <w:rsid w:val="00EC0ADB"/>
    <w:rsid w:val="00EC1311"/>
    <w:rsid w:val="00EC146B"/>
    <w:rsid w:val="00EC150A"/>
    <w:rsid w:val="00EC1E46"/>
    <w:rsid w:val="00EC1E88"/>
    <w:rsid w:val="00EC206D"/>
    <w:rsid w:val="00EC21BE"/>
    <w:rsid w:val="00EC2214"/>
    <w:rsid w:val="00EC2FAB"/>
    <w:rsid w:val="00EC3338"/>
    <w:rsid w:val="00EC381E"/>
    <w:rsid w:val="00EC3B0A"/>
    <w:rsid w:val="00EC3D4F"/>
    <w:rsid w:val="00EC47F5"/>
    <w:rsid w:val="00EC48C3"/>
    <w:rsid w:val="00EC4CA0"/>
    <w:rsid w:val="00EC50B4"/>
    <w:rsid w:val="00EC5171"/>
    <w:rsid w:val="00EC534B"/>
    <w:rsid w:val="00EC563F"/>
    <w:rsid w:val="00EC57BF"/>
    <w:rsid w:val="00EC5897"/>
    <w:rsid w:val="00EC5993"/>
    <w:rsid w:val="00EC59CE"/>
    <w:rsid w:val="00EC5C33"/>
    <w:rsid w:val="00EC5F18"/>
    <w:rsid w:val="00EC60CB"/>
    <w:rsid w:val="00EC645D"/>
    <w:rsid w:val="00EC64C2"/>
    <w:rsid w:val="00EC64FD"/>
    <w:rsid w:val="00EC65EC"/>
    <w:rsid w:val="00EC699C"/>
    <w:rsid w:val="00EC69A5"/>
    <w:rsid w:val="00EC6F96"/>
    <w:rsid w:val="00EC7071"/>
    <w:rsid w:val="00EC7341"/>
    <w:rsid w:val="00EC7749"/>
    <w:rsid w:val="00EC7870"/>
    <w:rsid w:val="00EC7FC4"/>
    <w:rsid w:val="00ED019A"/>
    <w:rsid w:val="00ED01C0"/>
    <w:rsid w:val="00ED04D0"/>
    <w:rsid w:val="00ED0664"/>
    <w:rsid w:val="00ED0D48"/>
    <w:rsid w:val="00ED1225"/>
    <w:rsid w:val="00ED1B6F"/>
    <w:rsid w:val="00ED1C11"/>
    <w:rsid w:val="00ED1FBC"/>
    <w:rsid w:val="00ED21C0"/>
    <w:rsid w:val="00ED29E9"/>
    <w:rsid w:val="00ED2EE5"/>
    <w:rsid w:val="00ED307B"/>
    <w:rsid w:val="00ED337E"/>
    <w:rsid w:val="00ED3582"/>
    <w:rsid w:val="00ED3DC3"/>
    <w:rsid w:val="00ED484F"/>
    <w:rsid w:val="00ED4994"/>
    <w:rsid w:val="00ED4D65"/>
    <w:rsid w:val="00ED4FAE"/>
    <w:rsid w:val="00ED4FD3"/>
    <w:rsid w:val="00ED526D"/>
    <w:rsid w:val="00ED5315"/>
    <w:rsid w:val="00ED5635"/>
    <w:rsid w:val="00ED5B0A"/>
    <w:rsid w:val="00ED5C81"/>
    <w:rsid w:val="00ED5DBF"/>
    <w:rsid w:val="00ED69A7"/>
    <w:rsid w:val="00ED6F62"/>
    <w:rsid w:val="00ED7342"/>
    <w:rsid w:val="00ED7390"/>
    <w:rsid w:val="00ED76A2"/>
    <w:rsid w:val="00ED7808"/>
    <w:rsid w:val="00ED7E95"/>
    <w:rsid w:val="00EE083D"/>
    <w:rsid w:val="00EE1190"/>
    <w:rsid w:val="00EE135A"/>
    <w:rsid w:val="00EE1518"/>
    <w:rsid w:val="00EE1544"/>
    <w:rsid w:val="00EE15DF"/>
    <w:rsid w:val="00EE18CF"/>
    <w:rsid w:val="00EE1C2C"/>
    <w:rsid w:val="00EE1DE1"/>
    <w:rsid w:val="00EE1F03"/>
    <w:rsid w:val="00EE1F51"/>
    <w:rsid w:val="00EE258E"/>
    <w:rsid w:val="00EE2674"/>
    <w:rsid w:val="00EE27A4"/>
    <w:rsid w:val="00EE2AE0"/>
    <w:rsid w:val="00EE2B75"/>
    <w:rsid w:val="00EE2BDE"/>
    <w:rsid w:val="00EE2F0F"/>
    <w:rsid w:val="00EE31AF"/>
    <w:rsid w:val="00EE34B3"/>
    <w:rsid w:val="00EE3B04"/>
    <w:rsid w:val="00EE3DCA"/>
    <w:rsid w:val="00EE3DD4"/>
    <w:rsid w:val="00EE4023"/>
    <w:rsid w:val="00EE405C"/>
    <w:rsid w:val="00EE45CC"/>
    <w:rsid w:val="00EE497E"/>
    <w:rsid w:val="00EE4DAB"/>
    <w:rsid w:val="00EE4F09"/>
    <w:rsid w:val="00EE50ED"/>
    <w:rsid w:val="00EE533A"/>
    <w:rsid w:val="00EE57B9"/>
    <w:rsid w:val="00EE58C3"/>
    <w:rsid w:val="00EE59CC"/>
    <w:rsid w:val="00EE5AAB"/>
    <w:rsid w:val="00EE621D"/>
    <w:rsid w:val="00EE65B6"/>
    <w:rsid w:val="00EE6977"/>
    <w:rsid w:val="00EE6B03"/>
    <w:rsid w:val="00EE6E83"/>
    <w:rsid w:val="00EE6E9B"/>
    <w:rsid w:val="00EE6EDD"/>
    <w:rsid w:val="00EE6F5D"/>
    <w:rsid w:val="00EE707C"/>
    <w:rsid w:val="00EE73EB"/>
    <w:rsid w:val="00EE74E8"/>
    <w:rsid w:val="00EE770C"/>
    <w:rsid w:val="00EE77F8"/>
    <w:rsid w:val="00EE7C97"/>
    <w:rsid w:val="00EF0523"/>
    <w:rsid w:val="00EF0608"/>
    <w:rsid w:val="00EF0856"/>
    <w:rsid w:val="00EF0B94"/>
    <w:rsid w:val="00EF0EBF"/>
    <w:rsid w:val="00EF110B"/>
    <w:rsid w:val="00EF159E"/>
    <w:rsid w:val="00EF196A"/>
    <w:rsid w:val="00EF223A"/>
    <w:rsid w:val="00EF22F1"/>
    <w:rsid w:val="00EF2472"/>
    <w:rsid w:val="00EF25CA"/>
    <w:rsid w:val="00EF261F"/>
    <w:rsid w:val="00EF268D"/>
    <w:rsid w:val="00EF2940"/>
    <w:rsid w:val="00EF2A9A"/>
    <w:rsid w:val="00EF2CE2"/>
    <w:rsid w:val="00EF3334"/>
    <w:rsid w:val="00EF37E5"/>
    <w:rsid w:val="00EF3812"/>
    <w:rsid w:val="00EF3AA7"/>
    <w:rsid w:val="00EF3AC3"/>
    <w:rsid w:val="00EF3C9A"/>
    <w:rsid w:val="00EF437C"/>
    <w:rsid w:val="00EF458A"/>
    <w:rsid w:val="00EF4B82"/>
    <w:rsid w:val="00EF4D19"/>
    <w:rsid w:val="00EF50A7"/>
    <w:rsid w:val="00EF5262"/>
    <w:rsid w:val="00EF54B8"/>
    <w:rsid w:val="00EF5A4C"/>
    <w:rsid w:val="00EF5D87"/>
    <w:rsid w:val="00EF5FE7"/>
    <w:rsid w:val="00EF601E"/>
    <w:rsid w:val="00EF7414"/>
    <w:rsid w:val="00EF7974"/>
    <w:rsid w:val="00EF79A1"/>
    <w:rsid w:val="00EF7CE2"/>
    <w:rsid w:val="00EF7E6E"/>
    <w:rsid w:val="00EF7E90"/>
    <w:rsid w:val="00F001AA"/>
    <w:rsid w:val="00F00310"/>
    <w:rsid w:val="00F00490"/>
    <w:rsid w:val="00F00650"/>
    <w:rsid w:val="00F00699"/>
    <w:rsid w:val="00F00A95"/>
    <w:rsid w:val="00F00B28"/>
    <w:rsid w:val="00F00F69"/>
    <w:rsid w:val="00F0116D"/>
    <w:rsid w:val="00F0133E"/>
    <w:rsid w:val="00F01886"/>
    <w:rsid w:val="00F0188B"/>
    <w:rsid w:val="00F018F3"/>
    <w:rsid w:val="00F01B5D"/>
    <w:rsid w:val="00F025A4"/>
    <w:rsid w:val="00F0263C"/>
    <w:rsid w:val="00F02734"/>
    <w:rsid w:val="00F03160"/>
    <w:rsid w:val="00F038FC"/>
    <w:rsid w:val="00F03BBE"/>
    <w:rsid w:val="00F03F6A"/>
    <w:rsid w:val="00F04121"/>
    <w:rsid w:val="00F0415E"/>
    <w:rsid w:val="00F04701"/>
    <w:rsid w:val="00F0533C"/>
    <w:rsid w:val="00F054E7"/>
    <w:rsid w:val="00F0598A"/>
    <w:rsid w:val="00F059F7"/>
    <w:rsid w:val="00F05B30"/>
    <w:rsid w:val="00F05E5F"/>
    <w:rsid w:val="00F05FAD"/>
    <w:rsid w:val="00F06203"/>
    <w:rsid w:val="00F06227"/>
    <w:rsid w:val="00F0642D"/>
    <w:rsid w:val="00F066B7"/>
    <w:rsid w:val="00F06709"/>
    <w:rsid w:val="00F06BD9"/>
    <w:rsid w:val="00F074DC"/>
    <w:rsid w:val="00F075CA"/>
    <w:rsid w:val="00F07836"/>
    <w:rsid w:val="00F07A4F"/>
    <w:rsid w:val="00F101CA"/>
    <w:rsid w:val="00F10C5B"/>
    <w:rsid w:val="00F10F7F"/>
    <w:rsid w:val="00F10FC1"/>
    <w:rsid w:val="00F119A4"/>
    <w:rsid w:val="00F119D9"/>
    <w:rsid w:val="00F11B65"/>
    <w:rsid w:val="00F11DEE"/>
    <w:rsid w:val="00F11EA8"/>
    <w:rsid w:val="00F11EE8"/>
    <w:rsid w:val="00F12317"/>
    <w:rsid w:val="00F12829"/>
    <w:rsid w:val="00F130E7"/>
    <w:rsid w:val="00F134DE"/>
    <w:rsid w:val="00F13626"/>
    <w:rsid w:val="00F1389F"/>
    <w:rsid w:val="00F139B5"/>
    <w:rsid w:val="00F13B74"/>
    <w:rsid w:val="00F13BE1"/>
    <w:rsid w:val="00F13C4E"/>
    <w:rsid w:val="00F14019"/>
    <w:rsid w:val="00F1433A"/>
    <w:rsid w:val="00F14BE5"/>
    <w:rsid w:val="00F14E1F"/>
    <w:rsid w:val="00F1503B"/>
    <w:rsid w:val="00F150EF"/>
    <w:rsid w:val="00F15423"/>
    <w:rsid w:val="00F156F5"/>
    <w:rsid w:val="00F15AD6"/>
    <w:rsid w:val="00F15C7B"/>
    <w:rsid w:val="00F15D16"/>
    <w:rsid w:val="00F16254"/>
    <w:rsid w:val="00F165E7"/>
    <w:rsid w:val="00F16756"/>
    <w:rsid w:val="00F167D4"/>
    <w:rsid w:val="00F16E10"/>
    <w:rsid w:val="00F16F32"/>
    <w:rsid w:val="00F1713D"/>
    <w:rsid w:val="00F1731A"/>
    <w:rsid w:val="00F1750E"/>
    <w:rsid w:val="00F17E83"/>
    <w:rsid w:val="00F202F6"/>
    <w:rsid w:val="00F20AAA"/>
    <w:rsid w:val="00F20C30"/>
    <w:rsid w:val="00F20D51"/>
    <w:rsid w:val="00F213B2"/>
    <w:rsid w:val="00F2190B"/>
    <w:rsid w:val="00F21BC5"/>
    <w:rsid w:val="00F220EE"/>
    <w:rsid w:val="00F2222D"/>
    <w:rsid w:val="00F2248F"/>
    <w:rsid w:val="00F22982"/>
    <w:rsid w:val="00F22A6F"/>
    <w:rsid w:val="00F22B83"/>
    <w:rsid w:val="00F22C93"/>
    <w:rsid w:val="00F230B3"/>
    <w:rsid w:val="00F23229"/>
    <w:rsid w:val="00F23234"/>
    <w:rsid w:val="00F2361A"/>
    <w:rsid w:val="00F2376A"/>
    <w:rsid w:val="00F237C9"/>
    <w:rsid w:val="00F23AAB"/>
    <w:rsid w:val="00F23B34"/>
    <w:rsid w:val="00F246C2"/>
    <w:rsid w:val="00F24909"/>
    <w:rsid w:val="00F249EE"/>
    <w:rsid w:val="00F2541C"/>
    <w:rsid w:val="00F2555D"/>
    <w:rsid w:val="00F255A2"/>
    <w:rsid w:val="00F255BD"/>
    <w:rsid w:val="00F257EE"/>
    <w:rsid w:val="00F25CED"/>
    <w:rsid w:val="00F26BD7"/>
    <w:rsid w:val="00F27163"/>
    <w:rsid w:val="00F27303"/>
    <w:rsid w:val="00F276ED"/>
    <w:rsid w:val="00F278D2"/>
    <w:rsid w:val="00F27912"/>
    <w:rsid w:val="00F27AA6"/>
    <w:rsid w:val="00F27CC4"/>
    <w:rsid w:val="00F30366"/>
    <w:rsid w:val="00F30446"/>
    <w:rsid w:val="00F30E8B"/>
    <w:rsid w:val="00F3123F"/>
    <w:rsid w:val="00F3150E"/>
    <w:rsid w:val="00F31C60"/>
    <w:rsid w:val="00F320AE"/>
    <w:rsid w:val="00F32127"/>
    <w:rsid w:val="00F3227E"/>
    <w:rsid w:val="00F3259A"/>
    <w:rsid w:val="00F32726"/>
    <w:rsid w:val="00F32C22"/>
    <w:rsid w:val="00F3386D"/>
    <w:rsid w:val="00F33893"/>
    <w:rsid w:val="00F33A40"/>
    <w:rsid w:val="00F33EDA"/>
    <w:rsid w:val="00F3408D"/>
    <w:rsid w:val="00F341C5"/>
    <w:rsid w:val="00F34294"/>
    <w:rsid w:val="00F3451A"/>
    <w:rsid w:val="00F346B9"/>
    <w:rsid w:val="00F348CE"/>
    <w:rsid w:val="00F34BA1"/>
    <w:rsid w:val="00F34E78"/>
    <w:rsid w:val="00F34EAB"/>
    <w:rsid w:val="00F353B3"/>
    <w:rsid w:val="00F35468"/>
    <w:rsid w:val="00F354F8"/>
    <w:rsid w:val="00F355FA"/>
    <w:rsid w:val="00F3569F"/>
    <w:rsid w:val="00F3582B"/>
    <w:rsid w:val="00F36011"/>
    <w:rsid w:val="00F367FE"/>
    <w:rsid w:val="00F36B68"/>
    <w:rsid w:val="00F36CED"/>
    <w:rsid w:val="00F36E93"/>
    <w:rsid w:val="00F36ED9"/>
    <w:rsid w:val="00F37105"/>
    <w:rsid w:val="00F372B1"/>
    <w:rsid w:val="00F37BE7"/>
    <w:rsid w:val="00F403B7"/>
    <w:rsid w:val="00F40400"/>
    <w:rsid w:val="00F408BF"/>
    <w:rsid w:val="00F40922"/>
    <w:rsid w:val="00F4167D"/>
    <w:rsid w:val="00F41B05"/>
    <w:rsid w:val="00F41CDC"/>
    <w:rsid w:val="00F425A2"/>
    <w:rsid w:val="00F427EA"/>
    <w:rsid w:val="00F429C8"/>
    <w:rsid w:val="00F42B18"/>
    <w:rsid w:val="00F42C62"/>
    <w:rsid w:val="00F42EC0"/>
    <w:rsid w:val="00F43A46"/>
    <w:rsid w:val="00F43A71"/>
    <w:rsid w:val="00F43AAD"/>
    <w:rsid w:val="00F43CC9"/>
    <w:rsid w:val="00F44254"/>
    <w:rsid w:val="00F442A4"/>
    <w:rsid w:val="00F44571"/>
    <w:rsid w:val="00F446F1"/>
    <w:rsid w:val="00F44A8C"/>
    <w:rsid w:val="00F45657"/>
    <w:rsid w:val="00F46644"/>
    <w:rsid w:val="00F46677"/>
    <w:rsid w:val="00F468FB"/>
    <w:rsid w:val="00F46A2F"/>
    <w:rsid w:val="00F46C55"/>
    <w:rsid w:val="00F46DC1"/>
    <w:rsid w:val="00F46F27"/>
    <w:rsid w:val="00F4721C"/>
    <w:rsid w:val="00F472BD"/>
    <w:rsid w:val="00F472E9"/>
    <w:rsid w:val="00F4799F"/>
    <w:rsid w:val="00F47B5E"/>
    <w:rsid w:val="00F47BEF"/>
    <w:rsid w:val="00F500A4"/>
    <w:rsid w:val="00F505EF"/>
    <w:rsid w:val="00F50602"/>
    <w:rsid w:val="00F5073B"/>
    <w:rsid w:val="00F50DEF"/>
    <w:rsid w:val="00F5107C"/>
    <w:rsid w:val="00F51880"/>
    <w:rsid w:val="00F519E9"/>
    <w:rsid w:val="00F51B3B"/>
    <w:rsid w:val="00F51D90"/>
    <w:rsid w:val="00F52014"/>
    <w:rsid w:val="00F529DE"/>
    <w:rsid w:val="00F52DA3"/>
    <w:rsid w:val="00F532E9"/>
    <w:rsid w:val="00F5347A"/>
    <w:rsid w:val="00F536AD"/>
    <w:rsid w:val="00F53B6B"/>
    <w:rsid w:val="00F53CE1"/>
    <w:rsid w:val="00F53D5D"/>
    <w:rsid w:val="00F53E71"/>
    <w:rsid w:val="00F53EE4"/>
    <w:rsid w:val="00F54607"/>
    <w:rsid w:val="00F54B85"/>
    <w:rsid w:val="00F54D06"/>
    <w:rsid w:val="00F5500C"/>
    <w:rsid w:val="00F5518D"/>
    <w:rsid w:val="00F552D6"/>
    <w:rsid w:val="00F5551E"/>
    <w:rsid w:val="00F559DD"/>
    <w:rsid w:val="00F55BD7"/>
    <w:rsid w:val="00F55D73"/>
    <w:rsid w:val="00F56211"/>
    <w:rsid w:val="00F5626B"/>
    <w:rsid w:val="00F5660A"/>
    <w:rsid w:val="00F56A64"/>
    <w:rsid w:val="00F570EA"/>
    <w:rsid w:val="00F5754F"/>
    <w:rsid w:val="00F57CA5"/>
    <w:rsid w:val="00F60227"/>
    <w:rsid w:val="00F607CC"/>
    <w:rsid w:val="00F60906"/>
    <w:rsid w:val="00F60C63"/>
    <w:rsid w:val="00F60E2F"/>
    <w:rsid w:val="00F61235"/>
    <w:rsid w:val="00F613C6"/>
    <w:rsid w:val="00F61585"/>
    <w:rsid w:val="00F615F1"/>
    <w:rsid w:val="00F61854"/>
    <w:rsid w:val="00F61999"/>
    <w:rsid w:val="00F61E9C"/>
    <w:rsid w:val="00F61F40"/>
    <w:rsid w:val="00F61F74"/>
    <w:rsid w:val="00F62525"/>
    <w:rsid w:val="00F626EE"/>
    <w:rsid w:val="00F62787"/>
    <w:rsid w:val="00F62860"/>
    <w:rsid w:val="00F62A2B"/>
    <w:rsid w:val="00F62DD5"/>
    <w:rsid w:val="00F62EF4"/>
    <w:rsid w:val="00F63992"/>
    <w:rsid w:val="00F63A58"/>
    <w:rsid w:val="00F63BA3"/>
    <w:rsid w:val="00F63DAE"/>
    <w:rsid w:val="00F64143"/>
    <w:rsid w:val="00F645A9"/>
    <w:rsid w:val="00F645AF"/>
    <w:rsid w:val="00F6469B"/>
    <w:rsid w:val="00F6489A"/>
    <w:rsid w:val="00F64ABD"/>
    <w:rsid w:val="00F64FD3"/>
    <w:rsid w:val="00F65154"/>
    <w:rsid w:val="00F6530F"/>
    <w:rsid w:val="00F65720"/>
    <w:rsid w:val="00F6580D"/>
    <w:rsid w:val="00F65B56"/>
    <w:rsid w:val="00F65BD9"/>
    <w:rsid w:val="00F65FCC"/>
    <w:rsid w:val="00F66B2A"/>
    <w:rsid w:val="00F67317"/>
    <w:rsid w:val="00F677C8"/>
    <w:rsid w:val="00F677CA"/>
    <w:rsid w:val="00F679B1"/>
    <w:rsid w:val="00F67ABD"/>
    <w:rsid w:val="00F67C46"/>
    <w:rsid w:val="00F67F12"/>
    <w:rsid w:val="00F7029A"/>
    <w:rsid w:val="00F7091B"/>
    <w:rsid w:val="00F70BBE"/>
    <w:rsid w:val="00F710AB"/>
    <w:rsid w:val="00F710C5"/>
    <w:rsid w:val="00F71436"/>
    <w:rsid w:val="00F71509"/>
    <w:rsid w:val="00F71591"/>
    <w:rsid w:val="00F71657"/>
    <w:rsid w:val="00F71B6E"/>
    <w:rsid w:val="00F71F44"/>
    <w:rsid w:val="00F71FEE"/>
    <w:rsid w:val="00F72E2B"/>
    <w:rsid w:val="00F73322"/>
    <w:rsid w:val="00F7342A"/>
    <w:rsid w:val="00F737B9"/>
    <w:rsid w:val="00F73826"/>
    <w:rsid w:val="00F73838"/>
    <w:rsid w:val="00F73A6F"/>
    <w:rsid w:val="00F73BE8"/>
    <w:rsid w:val="00F73F07"/>
    <w:rsid w:val="00F746B1"/>
    <w:rsid w:val="00F74762"/>
    <w:rsid w:val="00F74807"/>
    <w:rsid w:val="00F748CC"/>
    <w:rsid w:val="00F74952"/>
    <w:rsid w:val="00F74BDF"/>
    <w:rsid w:val="00F753B8"/>
    <w:rsid w:val="00F7547E"/>
    <w:rsid w:val="00F75D72"/>
    <w:rsid w:val="00F76102"/>
    <w:rsid w:val="00F763AC"/>
    <w:rsid w:val="00F763FD"/>
    <w:rsid w:val="00F7644A"/>
    <w:rsid w:val="00F76665"/>
    <w:rsid w:val="00F7672D"/>
    <w:rsid w:val="00F7676C"/>
    <w:rsid w:val="00F76B28"/>
    <w:rsid w:val="00F76B9E"/>
    <w:rsid w:val="00F76C9E"/>
    <w:rsid w:val="00F76D3C"/>
    <w:rsid w:val="00F76EDF"/>
    <w:rsid w:val="00F76FE7"/>
    <w:rsid w:val="00F77067"/>
    <w:rsid w:val="00F7706B"/>
    <w:rsid w:val="00F77431"/>
    <w:rsid w:val="00F7786A"/>
    <w:rsid w:val="00F77949"/>
    <w:rsid w:val="00F80508"/>
    <w:rsid w:val="00F805F8"/>
    <w:rsid w:val="00F80661"/>
    <w:rsid w:val="00F808CD"/>
    <w:rsid w:val="00F80CD6"/>
    <w:rsid w:val="00F81101"/>
    <w:rsid w:val="00F813BC"/>
    <w:rsid w:val="00F81675"/>
    <w:rsid w:val="00F81795"/>
    <w:rsid w:val="00F818A6"/>
    <w:rsid w:val="00F81B78"/>
    <w:rsid w:val="00F824FF"/>
    <w:rsid w:val="00F82535"/>
    <w:rsid w:val="00F8273A"/>
    <w:rsid w:val="00F831FD"/>
    <w:rsid w:val="00F83A5A"/>
    <w:rsid w:val="00F83D9E"/>
    <w:rsid w:val="00F83F64"/>
    <w:rsid w:val="00F8441E"/>
    <w:rsid w:val="00F8464A"/>
    <w:rsid w:val="00F849D3"/>
    <w:rsid w:val="00F849DE"/>
    <w:rsid w:val="00F84B4C"/>
    <w:rsid w:val="00F84E5B"/>
    <w:rsid w:val="00F84F44"/>
    <w:rsid w:val="00F84FC8"/>
    <w:rsid w:val="00F8519F"/>
    <w:rsid w:val="00F851DF"/>
    <w:rsid w:val="00F85664"/>
    <w:rsid w:val="00F85810"/>
    <w:rsid w:val="00F85AF7"/>
    <w:rsid w:val="00F85EDD"/>
    <w:rsid w:val="00F863D8"/>
    <w:rsid w:val="00F865CB"/>
    <w:rsid w:val="00F868AF"/>
    <w:rsid w:val="00F86D3E"/>
    <w:rsid w:val="00F86E0C"/>
    <w:rsid w:val="00F86E1F"/>
    <w:rsid w:val="00F87486"/>
    <w:rsid w:val="00F87A19"/>
    <w:rsid w:val="00F87B38"/>
    <w:rsid w:val="00F90260"/>
    <w:rsid w:val="00F903C2"/>
    <w:rsid w:val="00F905DE"/>
    <w:rsid w:val="00F90691"/>
    <w:rsid w:val="00F90DC8"/>
    <w:rsid w:val="00F90E8F"/>
    <w:rsid w:val="00F910AA"/>
    <w:rsid w:val="00F91493"/>
    <w:rsid w:val="00F91748"/>
    <w:rsid w:val="00F91802"/>
    <w:rsid w:val="00F91904"/>
    <w:rsid w:val="00F9212D"/>
    <w:rsid w:val="00F922E9"/>
    <w:rsid w:val="00F9247A"/>
    <w:rsid w:val="00F92F2E"/>
    <w:rsid w:val="00F93651"/>
    <w:rsid w:val="00F93FC8"/>
    <w:rsid w:val="00F942C7"/>
    <w:rsid w:val="00F946F7"/>
    <w:rsid w:val="00F94820"/>
    <w:rsid w:val="00F94B17"/>
    <w:rsid w:val="00F94DA4"/>
    <w:rsid w:val="00F94DB7"/>
    <w:rsid w:val="00F94DF7"/>
    <w:rsid w:val="00F95019"/>
    <w:rsid w:val="00F9516A"/>
    <w:rsid w:val="00F95507"/>
    <w:rsid w:val="00F958A4"/>
    <w:rsid w:val="00F95B06"/>
    <w:rsid w:val="00F95B33"/>
    <w:rsid w:val="00F962D2"/>
    <w:rsid w:val="00F965B4"/>
    <w:rsid w:val="00F9664A"/>
    <w:rsid w:val="00F9707C"/>
    <w:rsid w:val="00F97362"/>
    <w:rsid w:val="00F97422"/>
    <w:rsid w:val="00F9761A"/>
    <w:rsid w:val="00F97BDC"/>
    <w:rsid w:val="00F97E37"/>
    <w:rsid w:val="00F97F69"/>
    <w:rsid w:val="00FA0212"/>
    <w:rsid w:val="00FA050C"/>
    <w:rsid w:val="00FA06FB"/>
    <w:rsid w:val="00FA0F59"/>
    <w:rsid w:val="00FA146E"/>
    <w:rsid w:val="00FA1593"/>
    <w:rsid w:val="00FA16F0"/>
    <w:rsid w:val="00FA17E7"/>
    <w:rsid w:val="00FA2750"/>
    <w:rsid w:val="00FA28DC"/>
    <w:rsid w:val="00FA3472"/>
    <w:rsid w:val="00FA3651"/>
    <w:rsid w:val="00FA3887"/>
    <w:rsid w:val="00FA3895"/>
    <w:rsid w:val="00FA3A36"/>
    <w:rsid w:val="00FA3F62"/>
    <w:rsid w:val="00FA429B"/>
    <w:rsid w:val="00FA42AA"/>
    <w:rsid w:val="00FA446A"/>
    <w:rsid w:val="00FA4546"/>
    <w:rsid w:val="00FA497C"/>
    <w:rsid w:val="00FA4AE5"/>
    <w:rsid w:val="00FA4E86"/>
    <w:rsid w:val="00FA4F1A"/>
    <w:rsid w:val="00FA4F9B"/>
    <w:rsid w:val="00FA5304"/>
    <w:rsid w:val="00FA53DB"/>
    <w:rsid w:val="00FA57DB"/>
    <w:rsid w:val="00FA5B2B"/>
    <w:rsid w:val="00FA5E44"/>
    <w:rsid w:val="00FA609D"/>
    <w:rsid w:val="00FA65DB"/>
    <w:rsid w:val="00FA69A6"/>
    <w:rsid w:val="00FA6CA5"/>
    <w:rsid w:val="00FA6DE3"/>
    <w:rsid w:val="00FA7314"/>
    <w:rsid w:val="00FA766E"/>
    <w:rsid w:val="00FA79A5"/>
    <w:rsid w:val="00FB0C10"/>
    <w:rsid w:val="00FB0DFF"/>
    <w:rsid w:val="00FB15B7"/>
    <w:rsid w:val="00FB1912"/>
    <w:rsid w:val="00FB1F5B"/>
    <w:rsid w:val="00FB2BC9"/>
    <w:rsid w:val="00FB304E"/>
    <w:rsid w:val="00FB321B"/>
    <w:rsid w:val="00FB34CA"/>
    <w:rsid w:val="00FB37E4"/>
    <w:rsid w:val="00FB39B4"/>
    <w:rsid w:val="00FB39D4"/>
    <w:rsid w:val="00FB4A18"/>
    <w:rsid w:val="00FB4B56"/>
    <w:rsid w:val="00FB4BC5"/>
    <w:rsid w:val="00FB4BD2"/>
    <w:rsid w:val="00FB4DCA"/>
    <w:rsid w:val="00FB582C"/>
    <w:rsid w:val="00FB606F"/>
    <w:rsid w:val="00FB631F"/>
    <w:rsid w:val="00FB6884"/>
    <w:rsid w:val="00FB6BE4"/>
    <w:rsid w:val="00FB74FD"/>
    <w:rsid w:val="00FB7AD0"/>
    <w:rsid w:val="00FB7DFA"/>
    <w:rsid w:val="00FC0043"/>
    <w:rsid w:val="00FC0485"/>
    <w:rsid w:val="00FC0D72"/>
    <w:rsid w:val="00FC0DA0"/>
    <w:rsid w:val="00FC110E"/>
    <w:rsid w:val="00FC1135"/>
    <w:rsid w:val="00FC1288"/>
    <w:rsid w:val="00FC19DD"/>
    <w:rsid w:val="00FC1B5E"/>
    <w:rsid w:val="00FC25CC"/>
    <w:rsid w:val="00FC2793"/>
    <w:rsid w:val="00FC36F6"/>
    <w:rsid w:val="00FC3737"/>
    <w:rsid w:val="00FC382E"/>
    <w:rsid w:val="00FC387E"/>
    <w:rsid w:val="00FC3A79"/>
    <w:rsid w:val="00FC3C83"/>
    <w:rsid w:val="00FC3CAD"/>
    <w:rsid w:val="00FC4822"/>
    <w:rsid w:val="00FC4868"/>
    <w:rsid w:val="00FC4981"/>
    <w:rsid w:val="00FC4A42"/>
    <w:rsid w:val="00FC4C43"/>
    <w:rsid w:val="00FC4DB4"/>
    <w:rsid w:val="00FC5ADD"/>
    <w:rsid w:val="00FC5C2B"/>
    <w:rsid w:val="00FC5C77"/>
    <w:rsid w:val="00FC5DDD"/>
    <w:rsid w:val="00FC6249"/>
    <w:rsid w:val="00FC65E9"/>
    <w:rsid w:val="00FC6631"/>
    <w:rsid w:val="00FC6971"/>
    <w:rsid w:val="00FC6EBA"/>
    <w:rsid w:val="00FC712D"/>
    <w:rsid w:val="00FC71D5"/>
    <w:rsid w:val="00FC7399"/>
    <w:rsid w:val="00FC774F"/>
    <w:rsid w:val="00FC7786"/>
    <w:rsid w:val="00FC7D58"/>
    <w:rsid w:val="00FD06D5"/>
    <w:rsid w:val="00FD0915"/>
    <w:rsid w:val="00FD0C74"/>
    <w:rsid w:val="00FD1146"/>
    <w:rsid w:val="00FD12F7"/>
    <w:rsid w:val="00FD14A5"/>
    <w:rsid w:val="00FD14BA"/>
    <w:rsid w:val="00FD18AC"/>
    <w:rsid w:val="00FD194D"/>
    <w:rsid w:val="00FD1A82"/>
    <w:rsid w:val="00FD1B13"/>
    <w:rsid w:val="00FD2338"/>
    <w:rsid w:val="00FD24AF"/>
    <w:rsid w:val="00FD256A"/>
    <w:rsid w:val="00FD26BA"/>
    <w:rsid w:val="00FD26F5"/>
    <w:rsid w:val="00FD28EF"/>
    <w:rsid w:val="00FD2A01"/>
    <w:rsid w:val="00FD2AF2"/>
    <w:rsid w:val="00FD2C3D"/>
    <w:rsid w:val="00FD2CD5"/>
    <w:rsid w:val="00FD381A"/>
    <w:rsid w:val="00FD3841"/>
    <w:rsid w:val="00FD3E13"/>
    <w:rsid w:val="00FD3ECB"/>
    <w:rsid w:val="00FD4130"/>
    <w:rsid w:val="00FD425A"/>
    <w:rsid w:val="00FD43E8"/>
    <w:rsid w:val="00FD48A1"/>
    <w:rsid w:val="00FD48FC"/>
    <w:rsid w:val="00FD49D2"/>
    <w:rsid w:val="00FD53A2"/>
    <w:rsid w:val="00FD54BE"/>
    <w:rsid w:val="00FD5BA6"/>
    <w:rsid w:val="00FD5D7F"/>
    <w:rsid w:val="00FD5F9E"/>
    <w:rsid w:val="00FD5FD4"/>
    <w:rsid w:val="00FD6B48"/>
    <w:rsid w:val="00FD6D4A"/>
    <w:rsid w:val="00FD7425"/>
    <w:rsid w:val="00FD7780"/>
    <w:rsid w:val="00FD7D48"/>
    <w:rsid w:val="00FD7D90"/>
    <w:rsid w:val="00FD7FF2"/>
    <w:rsid w:val="00FE0157"/>
    <w:rsid w:val="00FE0249"/>
    <w:rsid w:val="00FE04FD"/>
    <w:rsid w:val="00FE05DB"/>
    <w:rsid w:val="00FE0A5E"/>
    <w:rsid w:val="00FE0B93"/>
    <w:rsid w:val="00FE0C87"/>
    <w:rsid w:val="00FE1340"/>
    <w:rsid w:val="00FE1470"/>
    <w:rsid w:val="00FE1490"/>
    <w:rsid w:val="00FE1889"/>
    <w:rsid w:val="00FE1CB0"/>
    <w:rsid w:val="00FE1D8D"/>
    <w:rsid w:val="00FE1FD9"/>
    <w:rsid w:val="00FE2316"/>
    <w:rsid w:val="00FE242C"/>
    <w:rsid w:val="00FE2490"/>
    <w:rsid w:val="00FE2CF7"/>
    <w:rsid w:val="00FE305E"/>
    <w:rsid w:val="00FE3788"/>
    <w:rsid w:val="00FE3957"/>
    <w:rsid w:val="00FE3ABC"/>
    <w:rsid w:val="00FE43C8"/>
    <w:rsid w:val="00FE4617"/>
    <w:rsid w:val="00FE4ACB"/>
    <w:rsid w:val="00FE560F"/>
    <w:rsid w:val="00FE5A1A"/>
    <w:rsid w:val="00FE5AF7"/>
    <w:rsid w:val="00FE627D"/>
    <w:rsid w:val="00FE62D7"/>
    <w:rsid w:val="00FE634B"/>
    <w:rsid w:val="00FE639B"/>
    <w:rsid w:val="00FE66C9"/>
    <w:rsid w:val="00FE670D"/>
    <w:rsid w:val="00FE67A1"/>
    <w:rsid w:val="00FE6A79"/>
    <w:rsid w:val="00FE7631"/>
    <w:rsid w:val="00FE7791"/>
    <w:rsid w:val="00FE7B8A"/>
    <w:rsid w:val="00FE7D8B"/>
    <w:rsid w:val="00FE7E5E"/>
    <w:rsid w:val="00FF02A7"/>
    <w:rsid w:val="00FF0368"/>
    <w:rsid w:val="00FF03C8"/>
    <w:rsid w:val="00FF0405"/>
    <w:rsid w:val="00FF0496"/>
    <w:rsid w:val="00FF0A90"/>
    <w:rsid w:val="00FF161A"/>
    <w:rsid w:val="00FF19A3"/>
    <w:rsid w:val="00FF19D0"/>
    <w:rsid w:val="00FF1A0F"/>
    <w:rsid w:val="00FF1BE2"/>
    <w:rsid w:val="00FF1E03"/>
    <w:rsid w:val="00FF1EA0"/>
    <w:rsid w:val="00FF237B"/>
    <w:rsid w:val="00FF23AF"/>
    <w:rsid w:val="00FF250E"/>
    <w:rsid w:val="00FF25FE"/>
    <w:rsid w:val="00FF27FC"/>
    <w:rsid w:val="00FF29CB"/>
    <w:rsid w:val="00FF2A49"/>
    <w:rsid w:val="00FF2AE5"/>
    <w:rsid w:val="00FF2BF5"/>
    <w:rsid w:val="00FF30D1"/>
    <w:rsid w:val="00FF3BAE"/>
    <w:rsid w:val="00FF3BF0"/>
    <w:rsid w:val="00FF3D93"/>
    <w:rsid w:val="00FF3E75"/>
    <w:rsid w:val="00FF3F63"/>
    <w:rsid w:val="00FF44BA"/>
    <w:rsid w:val="00FF4699"/>
    <w:rsid w:val="00FF4FEC"/>
    <w:rsid w:val="00FF53BB"/>
    <w:rsid w:val="00FF54EC"/>
    <w:rsid w:val="00FF585D"/>
    <w:rsid w:val="00FF586A"/>
    <w:rsid w:val="00FF5DF1"/>
    <w:rsid w:val="00FF6014"/>
    <w:rsid w:val="00FF619B"/>
    <w:rsid w:val="00FF62A1"/>
    <w:rsid w:val="00FF639C"/>
    <w:rsid w:val="00FF6948"/>
    <w:rsid w:val="00FF6ABF"/>
    <w:rsid w:val="00FF6B1D"/>
    <w:rsid w:val="00FF6DA3"/>
    <w:rsid w:val="00FF7200"/>
    <w:rsid w:val="00FF7225"/>
    <w:rsid w:val="00FF74DE"/>
    <w:rsid w:val="00FF7B5A"/>
    <w:rsid w:val="058235B3"/>
    <w:rsid w:val="0589A42D"/>
    <w:rsid w:val="05961F6C"/>
    <w:rsid w:val="0894DD0A"/>
    <w:rsid w:val="09ADB6D0"/>
    <w:rsid w:val="0A552EFA"/>
    <w:rsid w:val="0B0DA987"/>
    <w:rsid w:val="0B47733E"/>
    <w:rsid w:val="0E951458"/>
    <w:rsid w:val="0FEEC474"/>
    <w:rsid w:val="1094C445"/>
    <w:rsid w:val="11D9D9AA"/>
    <w:rsid w:val="12984474"/>
    <w:rsid w:val="1319A66E"/>
    <w:rsid w:val="141772C2"/>
    <w:rsid w:val="1513D30A"/>
    <w:rsid w:val="1531294C"/>
    <w:rsid w:val="153BF54A"/>
    <w:rsid w:val="1809318F"/>
    <w:rsid w:val="19170D6B"/>
    <w:rsid w:val="1BC5CE20"/>
    <w:rsid w:val="1C311365"/>
    <w:rsid w:val="1C6F7020"/>
    <w:rsid w:val="1C737F7E"/>
    <w:rsid w:val="1F05BA78"/>
    <w:rsid w:val="1FA20527"/>
    <w:rsid w:val="208D80AA"/>
    <w:rsid w:val="2141F9CB"/>
    <w:rsid w:val="2144ADA7"/>
    <w:rsid w:val="2149CB18"/>
    <w:rsid w:val="22538DBC"/>
    <w:rsid w:val="23F47211"/>
    <w:rsid w:val="2598D5FE"/>
    <w:rsid w:val="265B78A3"/>
    <w:rsid w:val="2726D219"/>
    <w:rsid w:val="2A8D027B"/>
    <w:rsid w:val="2AA1BE8F"/>
    <w:rsid w:val="2AA1DF68"/>
    <w:rsid w:val="30252AA6"/>
    <w:rsid w:val="30665D7D"/>
    <w:rsid w:val="314D81BA"/>
    <w:rsid w:val="3247A322"/>
    <w:rsid w:val="33CB4974"/>
    <w:rsid w:val="35730A92"/>
    <w:rsid w:val="36C6C2EA"/>
    <w:rsid w:val="3709FB62"/>
    <w:rsid w:val="37C6A549"/>
    <w:rsid w:val="3846358D"/>
    <w:rsid w:val="38E2CC5B"/>
    <w:rsid w:val="39037239"/>
    <w:rsid w:val="3C58AE7F"/>
    <w:rsid w:val="3DB0A1AE"/>
    <w:rsid w:val="3DDB6E13"/>
    <w:rsid w:val="3E124A58"/>
    <w:rsid w:val="3E164F69"/>
    <w:rsid w:val="3E9B0B8B"/>
    <w:rsid w:val="3F468BC2"/>
    <w:rsid w:val="3FCE1980"/>
    <w:rsid w:val="40A5FE3D"/>
    <w:rsid w:val="414B6A8B"/>
    <w:rsid w:val="4156D43A"/>
    <w:rsid w:val="418C0D34"/>
    <w:rsid w:val="41DAACBE"/>
    <w:rsid w:val="4251DBAF"/>
    <w:rsid w:val="441DD20E"/>
    <w:rsid w:val="450DBC08"/>
    <w:rsid w:val="456CB134"/>
    <w:rsid w:val="462B2478"/>
    <w:rsid w:val="4632050A"/>
    <w:rsid w:val="46FD65D8"/>
    <w:rsid w:val="4745BE55"/>
    <w:rsid w:val="48FFB527"/>
    <w:rsid w:val="49339214"/>
    <w:rsid w:val="4B0A8B2B"/>
    <w:rsid w:val="4CC19E3C"/>
    <w:rsid w:val="4D1EAF88"/>
    <w:rsid w:val="4D8A685B"/>
    <w:rsid w:val="4D90F3F3"/>
    <w:rsid w:val="4FDF12B4"/>
    <w:rsid w:val="502C102C"/>
    <w:rsid w:val="50764BE4"/>
    <w:rsid w:val="50C66129"/>
    <w:rsid w:val="50CAD980"/>
    <w:rsid w:val="517D991A"/>
    <w:rsid w:val="52CC755D"/>
    <w:rsid w:val="57A00C56"/>
    <w:rsid w:val="586D207A"/>
    <w:rsid w:val="588A255F"/>
    <w:rsid w:val="5A0414F5"/>
    <w:rsid w:val="5A07C56E"/>
    <w:rsid w:val="5B2C9420"/>
    <w:rsid w:val="5C34E262"/>
    <w:rsid w:val="5EEE6FCD"/>
    <w:rsid w:val="5F4AE337"/>
    <w:rsid w:val="5F923648"/>
    <w:rsid w:val="5FBF39C5"/>
    <w:rsid w:val="606C63ED"/>
    <w:rsid w:val="608BCCD6"/>
    <w:rsid w:val="610ED25B"/>
    <w:rsid w:val="61BD4CF6"/>
    <w:rsid w:val="61E9E526"/>
    <w:rsid w:val="622ECBD4"/>
    <w:rsid w:val="6249FA6A"/>
    <w:rsid w:val="655952D8"/>
    <w:rsid w:val="65803706"/>
    <w:rsid w:val="658E97B7"/>
    <w:rsid w:val="65BF5C4D"/>
    <w:rsid w:val="665F76BC"/>
    <w:rsid w:val="677FF31E"/>
    <w:rsid w:val="6AD197C8"/>
    <w:rsid w:val="6DEA9E54"/>
    <w:rsid w:val="6F9D8107"/>
    <w:rsid w:val="718E69E0"/>
    <w:rsid w:val="721F716A"/>
    <w:rsid w:val="72893354"/>
    <w:rsid w:val="735F2B92"/>
    <w:rsid w:val="747AE987"/>
    <w:rsid w:val="74D6F7DD"/>
    <w:rsid w:val="751B73FB"/>
    <w:rsid w:val="764387AA"/>
    <w:rsid w:val="76D52D2C"/>
    <w:rsid w:val="778189B7"/>
    <w:rsid w:val="77E9AB38"/>
    <w:rsid w:val="7B0A2B66"/>
    <w:rsid w:val="7BEDE8EE"/>
    <w:rsid w:val="7CA6AD3E"/>
    <w:rsid w:val="7D6C5DD9"/>
    <w:rsid w:val="7D7A6EFA"/>
    <w:rsid w:val="7DFE149B"/>
    <w:rsid w:val="7EDF3D80"/>
    <w:rsid w:val="7F082B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DAB2B"/>
  <w15:chartTrackingRefBased/>
  <w15:docId w15:val="{82607812-E481-4255-80DD-8B6807E5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37"/>
    <w:pPr>
      <w:keepNext/>
      <w:keepLines/>
      <w:spacing w:after="0"/>
      <w:jc w:val="center"/>
      <w:outlineLvl w:val="0"/>
    </w:pPr>
    <w:rPr>
      <w:rFonts w:ascii="Times New Roman" w:hAnsi="Times New Roman" w:eastAsiaTheme="majorEastAsia" w:cs="Times New Roman"/>
      <w:b/>
      <w:bCs/>
      <w:sz w:val="28"/>
      <w:szCs w:val="28"/>
    </w:rPr>
  </w:style>
  <w:style w:type="paragraph" w:styleId="Heading2">
    <w:name w:val="heading 2"/>
    <w:basedOn w:val="Normal"/>
    <w:next w:val="Normal"/>
    <w:link w:val="Heading2Char"/>
    <w:uiPriority w:val="9"/>
    <w:unhideWhenUsed/>
    <w:qFormat/>
    <w:rsid w:val="00D935D5"/>
    <w:pPr>
      <w:keepNext/>
      <w:keepLines/>
      <w:spacing w:after="0"/>
      <w:ind w:left="720" w:hanging="720"/>
      <w:outlineLvl w:val="1"/>
    </w:pPr>
    <w:rPr>
      <w:rFonts w:ascii="Times New Roman" w:hAnsi="Times New Roman" w:eastAsiaTheme="majorEastAsia" w:cs="Times New Roman"/>
      <w:b/>
      <w:bCs/>
    </w:rPr>
  </w:style>
  <w:style w:type="paragraph" w:styleId="Heading3">
    <w:name w:val="heading 3"/>
    <w:basedOn w:val="Normal"/>
    <w:next w:val="Normal"/>
    <w:link w:val="Heading3Char"/>
    <w:uiPriority w:val="9"/>
    <w:unhideWhenUsed/>
    <w:qFormat/>
    <w:rsid w:val="00A740FC"/>
    <w:pPr>
      <w:keepNext/>
      <w:keepLines/>
      <w:spacing w:after="0"/>
      <w:ind w:left="720" w:hanging="720"/>
      <w:outlineLvl w:val="2"/>
    </w:pPr>
    <w:rPr>
      <w:rFonts w:ascii="Times New Roman" w:hAnsi="Times New Roman"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2B"/>
    <w:pPr>
      <w:ind w:left="720"/>
      <w:contextualSpacing/>
    </w:pPr>
  </w:style>
  <w:style w:type="table" w:styleId="TableGrid">
    <w:name w:val="Table Grid"/>
    <w:basedOn w:val="TableNormal"/>
    <w:uiPriority w:val="39"/>
    <w:rsid w:val="00B0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290"/>
    <w:rPr>
      <w:color w:val="0563C1" w:themeColor="hyperlink"/>
      <w:u w:val="single"/>
    </w:rPr>
  </w:style>
  <w:style w:type="character" w:styleId="UnresolvedMention">
    <w:name w:val="Unresolved Mention"/>
    <w:basedOn w:val="DefaultParagraphFont"/>
    <w:uiPriority w:val="99"/>
    <w:unhideWhenUsed/>
    <w:rsid w:val="005C5290"/>
    <w:rPr>
      <w:color w:val="605E5C"/>
      <w:shd w:val="clear" w:color="auto" w:fill="E1DFDD"/>
    </w:rPr>
  </w:style>
  <w:style w:type="paragraph" w:styleId="Header">
    <w:name w:val="header"/>
    <w:basedOn w:val="Normal"/>
    <w:link w:val="HeaderChar"/>
    <w:uiPriority w:val="99"/>
    <w:unhideWhenUsed/>
    <w:rsid w:val="00656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68"/>
  </w:style>
  <w:style w:type="paragraph" w:styleId="Footer">
    <w:name w:val="footer"/>
    <w:basedOn w:val="Normal"/>
    <w:link w:val="FooterChar"/>
    <w:uiPriority w:val="99"/>
    <w:unhideWhenUsed/>
    <w:rsid w:val="0065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68"/>
  </w:style>
  <w:style w:type="paragraph" w:styleId="FootnoteText">
    <w:name w:val="footnote text"/>
    <w:basedOn w:val="Normal"/>
    <w:link w:val="FootnoteTextChar"/>
    <w:uiPriority w:val="99"/>
    <w:semiHidden/>
    <w:unhideWhenUsed/>
    <w:rsid w:val="008E41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19D"/>
    <w:rPr>
      <w:sz w:val="20"/>
      <w:szCs w:val="20"/>
    </w:rPr>
  </w:style>
  <w:style w:type="character" w:styleId="FootnoteReference">
    <w:name w:val="footnote reference"/>
    <w:basedOn w:val="DefaultParagraphFont"/>
    <w:uiPriority w:val="99"/>
    <w:semiHidden/>
    <w:unhideWhenUsed/>
    <w:rsid w:val="008E419D"/>
    <w:rPr>
      <w:vertAlign w:val="superscript"/>
    </w:rPr>
  </w:style>
  <w:style w:type="character" w:styleId="CommentReference">
    <w:name w:val="annotation reference"/>
    <w:basedOn w:val="DefaultParagraphFont"/>
    <w:uiPriority w:val="99"/>
    <w:unhideWhenUsed/>
    <w:rsid w:val="00FB6BE4"/>
    <w:rPr>
      <w:sz w:val="16"/>
      <w:szCs w:val="16"/>
    </w:rPr>
  </w:style>
  <w:style w:type="paragraph" w:styleId="CommentText">
    <w:name w:val="annotation text"/>
    <w:basedOn w:val="Normal"/>
    <w:link w:val="CommentTextChar"/>
    <w:autoRedefine/>
    <w:uiPriority w:val="99"/>
    <w:unhideWhenUsed/>
    <w:rsid w:val="00817E30"/>
    <w:pPr>
      <w:spacing w:line="240" w:lineRule="auto"/>
    </w:pPr>
    <w:rPr>
      <w:sz w:val="20"/>
      <w:szCs w:val="20"/>
    </w:rPr>
  </w:style>
  <w:style w:type="character" w:customStyle="1" w:styleId="CommentTextChar">
    <w:name w:val="Comment Text Char"/>
    <w:basedOn w:val="DefaultParagraphFont"/>
    <w:link w:val="CommentText"/>
    <w:uiPriority w:val="99"/>
    <w:rsid w:val="00817E30"/>
    <w:rPr>
      <w:sz w:val="20"/>
      <w:szCs w:val="20"/>
    </w:rPr>
  </w:style>
  <w:style w:type="paragraph" w:styleId="CommentSubject">
    <w:name w:val="annotation subject"/>
    <w:basedOn w:val="CommentText"/>
    <w:next w:val="CommentText"/>
    <w:link w:val="CommentSubjectChar"/>
    <w:uiPriority w:val="99"/>
    <w:semiHidden/>
    <w:unhideWhenUsed/>
    <w:rsid w:val="00FB6BE4"/>
    <w:rPr>
      <w:b/>
      <w:bCs/>
    </w:rPr>
  </w:style>
  <w:style w:type="character" w:customStyle="1" w:styleId="CommentSubjectChar">
    <w:name w:val="Comment Subject Char"/>
    <w:basedOn w:val="CommentTextChar"/>
    <w:link w:val="CommentSubject"/>
    <w:uiPriority w:val="99"/>
    <w:semiHidden/>
    <w:rsid w:val="00FB6BE4"/>
    <w:rPr>
      <w:b/>
      <w:bCs/>
      <w:sz w:val="20"/>
      <w:szCs w:val="20"/>
    </w:rPr>
  </w:style>
  <w:style w:type="character" w:styleId="FollowedHyperlink">
    <w:name w:val="FollowedHyperlink"/>
    <w:basedOn w:val="DefaultParagraphFont"/>
    <w:uiPriority w:val="99"/>
    <w:semiHidden/>
    <w:unhideWhenUsed/>
    <w:rsid w:val="004C0B01"/>
    <w:rPr>
      <w:color w:val="954F72" w:themeColor="followedHyperlink"/>
      <w:u w:val="single"/>
    </w:rPr>
  </w:style>
  <w:style w:type="paragraph" w:customStyle="1" w:styleId="Default">
    <w:name w:val="Default"/>
    <w:rsid w:val="00BE69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2937"/>
    <w:rPr>
      <w:rFonts w:ascii="Times New Roman" w:hAnsi="Times New Roman" w:eastAsiaTheme="majorEastAsia" w:cs="Times New Roman"/>
      <w:b/>
      <w:bCs/>
      <w:sz w:val="28"/>
      <w:szCs w:val="28"/>
    </w:rPr>
  </w:style>
  <w:style w:type="character" w:customStyle="1" w:styleId="Heading2Char">
    <w:name w:val="Heading 2 Char"/>
    <w:basedOn w:val="DefaultParagraphFont"/>
    <w:link w:val="Heading2"/>
    <w:uiPriority w:val="9"/>
    <w:rsid w:val="00D935D5"/>
    <w:rPr>
      <w:rFonts w:ascii="Times New Roman" w:hAnsi="Times New Roman" w:eastAsiaTheme="majorEastAsia" w:cs="Times New Roman"/>
      <w:b/>
      <w:bCs/>
    </w:rPr>
  </w:style>
  <w:style w:type="character" w:customStyle="1" w:styleId="Heading3Char">
    <w:name w:val="Heading 3 Char"/>
    <w:basedOn w:val="DefaultParagraphFont"/>
    <w:link w:val="Heading3"/>
    <w:uiPriority w:val="9"/>
    <w:rsid w:val="00A740FC"/>
    <w:rPr>
      <w:rFonts w:ascii="Times New Roman" w:hAnsi="Times New Roman" w:eastAsiaTheme="majorEastAsia" w:cs="Times New Roman"/>
      <w:b/>
      <w:bCs/>
    </w:rPr>
  </w:style>
  <w:style w:type="character" w:customStyle="1" w:styleId="normaltextrun">
    <w:name w:val="normaltextrun"/>
    <w:basedOn w:val="DefaultParagraphFont"/>
    <w:rsid w:val="00DA4737"/>
  </w:style>
  <w:style w:type="character" w:customStyle="1" w:styleId="findhit">
    <w:name w:val="findhit"/>
    <w:basedOn w:val="DefaultParagraphFont"/>
    <w:rsid w:val="00DA4737"/>
  </w:style>
  <w:style w:type="paragraph" w:styleId="Title">
    <w:name w:val="Title"/>
    <w:basedOn w:val="Normal"/>
    <w:next w:val="Normal"/>
    <w:link w:val="TitleChar"/>
    <w:uiPriority w:val="10"/>
    <w:qFormat/>
    <w:rsid w:val="005141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7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8F2145"/>
    <w:pPr>
      <w:widowControl w:val="0"/>
      <w:autoSpaceDE w:val="0"/>
      <w:autoSpaceDN w:val="0"/>
      <w:spacing w:after="0" w:line="240" w:lineRule="auto"/>
      <w:ind w:left="1200"/>
    </w:pPr>
    <w:rPr>
      <w:rFonts w:ascii="Arial" w:eastAsia="Arial" w:hAnsi="Arial" w:cs="Arial"/>
    </w:rPr>
  </w:style>
  <w:style w:type="character" w:customStyle="1" w:styleId="BodyTextChar">
    <w:name w:val="Body Text Char"/>
    <w:basedOn w:val="DefaultParagraphFont"/>
    <w:link w:val="BodyText"/>
    <w:uiPriority w:val="1"/>
    <w:rsid w:val="008F2145"/>
    <w:rPr>
      <w:rFonts w:ascii="Arial" w:eastAsia="Arial" w:hAnsi="Arial" w:cs="Arial"/>
    </w:rPr>
  </w:style>
  <w:style w:type="paragraph" w:styleId="NoSpacing">
    <w:name w:val="No Spacing"/>
    <w:uiPriority w:val="1"/>
    <w:qFormat/>
    <w:rsid w:val="008F2145"/>
    <w:pPr>
      <w:spacing w:after="0" w:line="240" w:lineRule="auto"/>
    </w:pPr>
  </w:style>
  <w:style w:type="character" w:customStyle="1" w:styleId="CommentTextChar1">
    <w:name w:val="Comment Text Char1"/>
    <w:basedOn w:val="DefaultParagraphFont"/>
    <w:uiPriority w:val="99"/>
    <w:rsid w:val="00697F13"/>
    <w:rPr>
      <w:rFonts w:asciiTheme="minorHAnsi" w:hAnsiTheme="minorHAnsi"/>
      <w:sz w:val="20"/>
      <w:szCs w:val="20"/>
    </w:rPr>
  </w:style>
  <w:style w:type="table" w:customStyle="1" w:styleId="TableGrid2">
    <w:name w:val="Table Grid2"/>
    <w:basedOn w:val="TableNormal"/>
    <w:next w:val="TableGrid"/>
    <w:uiPriority w:val="39"/>
    <w:rsid w:val="00164017"/>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1B5D"/>
    <w:pPr>
      <w:spacing w:after="0" w:line="240" w:lineRule="auto"/>
    </w:pPr>
  </w:style>
  <w:style w:type="character" w:styleId="Mention">
    <w:name w:val="Mention"/>
    <w:basedOn w:val="DefaultParagraphFont"/>
    <w:uiPriority w:val="99"/>
    <w:unhideWhenUsed/>
    <w:rsid w:val="00CC7576"/>
    <w:rPr>
      <w:color w:val="2B579A"/>
      <w:shd w:val="clear" w:color="auto" w:fill="E1DFDD"/>
    </w:rPr>
  </w:style>
  <w:style w:type="paragraph" w:styleId="NormalWeb">
    <w:name w:val="Normal (Web)"/>
    <w:basedOn w:val="Normal"/>
    <w:uiPriority w:val="99"/>
    <w:unhideWhenUsed/>
    <w:rsid w:val="00CA7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33C9A"/>
  </w:style>
  <w:style w:type="paragraph" w:customStyle="1" w:styleId="pf0">
    <w:name w:val="pf0"/>
    <w:basedOn w:val="Normal"/>
    <w:rsid w:val="007C79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79DA"/>
    <w:rPr>
      <w:rFonts w:ascii="Segoe UI" w:hAnsi="Segoe UI" w:cs="Segoe UI" w:hint="default"/>
      <w:sz w:val="18"/>
      <w:szCs w:val="18"/>
    </w:rPr>
  </w:style>
  <w:style w:type="character" w:customStyle="1" w:styleId="cf11">
    <w:name w:val="cf11"/>
    <w:basedOn w:val="DefaultParagraphFont"/>
    <w:rsid w:val="002758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collects.Resource@nrc.gov" TargetMode="Externa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yperlink" Target="https://www.nrc.gov/reading-rm/doc-collections/nuregs/staff/sr0800/" TargetMode="External" /><Relationship Id="rId15" Type="http://schemas.openxmlformats.org/officeDocument/2006/relationships/hyperlink" Target="https://www.osti.gov/biblio/4200786-sixth-international-congress-exhibition-electronics-atomic-energy-rome-italy-june-papers" TargetMode="External" /><Relationship Id="rId16" Type="http://schemas.openxmlformats.org/officeDocument/2006/relationships/hyperlink" Target="https://www.nrc.gov/docs/ML0815/ML081510817.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footer" Target="footer3.xml" /><Relationship Id="rId24" Type="http://schemas.openxmlformats.org/officeDocument/2006/relationships/header" Target="header5.xml" /><Relationship Id="rId25" Type="http://schemas.openxmlformats.org/officeDocument/2006/relationships/footer" Target="footer4.xml" /><Relationship Id="rId26" Type="http://schemas.openxmlformats.org/officeDocument/2006/relationships/header" Target="header6.xml"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hyperlink" Target="https://www.nrc.gov/reading-rm/doc-collections/reg-guides/index.html" TargetMode="External" /><Relationship Id="rId2" Type="http://schemas.openxmlformats.org/officeDocument/2006/relationships/hyperlink" Target="https://www.nrc.gov/reading-rm/doc-collections/reg-guides/contactus.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www.nei.org/" TargetMode="External" /><Relationship Id="rId5" Type="http://schemas.openxmlformats.org/officeDocument/2006/relationships/hyperlink" Target="http://www.asme.org/Codes/Publications/" TargetMode="External" /><Relationship Id="rId6" Type="http://schemas.openxmlformats.org/officeDocument/2006/relationships/hyperlink" Target="http://www.IAEA.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Kristopher Thieneman</DisplayName>
        <AccountId>13</AccountId>
        <AccountType/>
      </UserInfo>
      <UserInfo>
        <DisplayName>Foecking, Allison</DisplayName>
        <AccountId>12</AccountId>
        <AccountType/>
      </UserInfo>
      <UserInfo>
        <DisplayName>Duran-Hernandez, Doris</DisplayName>
        <AccountId>71</AccountId>
        <AccountType/>
      </UserInfo>
      <UserInfo>
        <DisplayName>Wanda Wheatley</DisplayName>
        <AccountId>49</AccountId>
        <AccountType/>
      </UserInfo>
      <UserInfo>
        <DisplayName>Aaron Sanders</DisplayName>
        <AccountId>1507</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Beth Reed</DisplayName>
        <AccountId>1848</AccountId>
        <AccountType/>
      </UserInfo>
      <UserInfo>
        <DisplayName>Boyce Travis</DisplayName>
        <AccountId>1592</AccountId>
        <AccountType/>
      </UserInfo>
      <UserInfo>
        <DisplayName>Brad Baxter</DisplayName>
        <AccountId>1063</AccountId>
        <AccountType/>
      </UserInfo>
      <UserInfo>
        <DisplayName>Chris Miller</DisplayName>
        <AccountId>146</AccountId>
        <AccountType/>
      </UserInfo>
      <UserInfo>
        <DisplayName>Christine Mellen</DisplayName>
        <AccountId>1781</AccountId>
        <AccountType/>
      </UserInfo>
      <UserInfo>
        <DisplayName>Christopher Regan</DisplayName>
        <AccountId>181</AccountId>
        <AccountType/>
      </UserInfo>
      <UserInfo>
        <DisplayName>Cindy Bladey</DisplayName>
        <AccountId>67</AccountId>
        <AccountType/>
      </UserInfo>
      <UserInfo>
        <DisplayName>Clay Johnson</DisplayName>
        <AccountId>552</AccountId>
        <AccountType/>
      </UserInfo>
      <UserInfo>
        <DisplayName>Craig Erlanger</DisplayName>
        <AccountId>98</AccountId>
        <AccountType/>
      </UserInfo>
      <UserInfo>
        <DisplayName>Dennis Andrukat</DisplayName>
        <AccountId>240</AccountId>
        <AccountType/>
      </UserInfo>
      <UserInfo>
        <DisplayName>Donald Palmrose</DisplayName>
        <AccountId>702</AccountId>
        <AccountType/>
      </UserInfo>
      <UserInfo>
        <DisplayName>Elizabeth Gormsen</DisplayName>
        <AccountId>784</AccountId>
        <AccountType/>
      </UserInfo>
      <UserInfo>
        <DisplayName>Eric Schrader</DisplayName>
        <AccountId>606</AccountId>
        <AccountType/>
      </UserInfo>
      <UserInfo>
        <DisplayName>Evan Anderson</DisplayName>
        <AccountId>3077</AccountId>
        <AccountType/>
      </UserInfo>
      <UserInfo>
        <DisplayName>Greg Bowman</DisplayName>
        <AccountId>1465</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Jennie Rankin</DisplayName>
        <AccountId>671</AccountId>
        <AccountType/>
      </UserInfo>
      <UserInfo>
        <DisplayName>Jeremy Wachutka</DisplayName>
        <AccountId>1095</AccountId>
        <AccountType/>
      </UserInfo>
      <UserInfo>
        <DisplayName>Jesse Seymour</DisplayName>
        <AccountId>2202</AccountId>
        <AccountType/>
      </UserInfo>
      <UserInfo>
        <DisplayName>Jessica Bielecki (She/Her)</DisplayName>
        <AccountId>1595</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Katie Wagner</DisplayName>
        <AccountId>3085</AccountId>
        <AccountType/>
      </UserInfo>
      <UserInfo>
        <DisplayName>Kenneth Erwin</DisplayName>
        <AccountId>138</AccountId>
        <AccountType/>
      </UserInfo>
      <UserInfo>
        <DisplayName>Kristen Benney</DisplayName>
        <AccountId>459</AccountId>
        <AccountType/>
      </UserInfo>
      <UserInfo>
        <DisplayName>Glenna Lappert-Jones</DisplayName>
        <AccountId>242</AccountId>
        <AccountType/>
      </UserInfo>
      <UserInfo>
        <DisplayName>Lauren Nist (She)</DisplayName>
        <AccountId>1531</AccountId>
        <AccountType/>
      </UserInfo>
      <UserInfo>
        <DisplayName>Louise Lund</DisplayName>
        <AccountId>316</AccountId>
        <AccountType/>
      </UserInfo>
      <UserInfo>
        <DisplayName>Manjula Gunasekera</DisplayName>
        <AccountId>21</AccountId>
        <AccountType/>
      </UserInfo>
      <UserInfo>
        <DisplayName>Marcia Carpentier</DisplayName>
        <AccountId>1435</AccountId>
        <AccountType/>
      </UserInfo>
      <UserInfo>
        <DisplayName>Marcia Henley</DisplayName>
        <AccountId>369</AccountId>
        <AccountType/>
      </UserInfo>
      <UserInfo>
        <DisplayName>Marty Stutzke</DisplayName>
        <AccountId>1602</AccountId>
        <AccountType/>
      </UserInfo>
      <UserInfo>
        <DisplayName>Mary Spencer</DisplayName>
        <AccountId>338</AccountId>
        <AccountType/>
      </UserInfo>
      <UserInfo>
        <DisplayName>Maxwell Smith</DisplayName>
        <AccountId>321</AccountId>
        <AccountType/>
      </UserInfo>
      <UserInfo>
        <DisplayName>Meraj Rahimi</DisplayName>
        <AccountId>92</AccountId>
        <AccountType/>
      </UserInfo>
      <UserInfo>
        <DisplayName>Michele Sampson (She/Her/Hers)</DisplayName>
        <AccountId>1466</AccountId>
        <AccountType/>
      </UserInfo>
      <UserInfo>
        <DisplayName>Mirela Gavrilas</DisplayName>
        <AccountId>215</AccountId>
        <AccountType/>
      </UserInfo>
      <UserInfo>
        <DisplayName>Mohamed Shams</DisplayName>
        <AccountId>147</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Taylor</DisplayName>
        <AccountId>410</AccountId>
        <AccountType/>
      </UserInfo>
      <UserInfo>
        <DisplayName>Robert Weisman</DisplayName>
        <AccountId>1031</AccountId>
        <AccountType/>
      </UserInfo>
      <UserInfo>
        <DisplayName>Russell Allwein</DisplayName>
        <AccountId>66</AccountId>
        <AccountType/>
      </UserInfo>
      <UserInfo>
        <DisplayName>Samantha Lav</DisplayName>
        <AccountId>1928</AccountId>
        <AccountType/>
      </UserInfo>
      <UserInfo>
        <DisplayName>Sandra Rodriguez</DisplayName>
        <AccountId>24</AccountId>
        <AccountType/>
      </UserInfo>
      <UserInfo>
        <DisplayName>Sharon Bennett</DisplayName>
        <AccountId>324</AccountId>
        <AccountType/>
      </UserInfo>
      <UserInfo>
        <DisplayName>Sherry Titherington</DisplayName>
        <AccountId>286</AccountId>
        <AccountType/>
      </UserInfo>
      <UserInfo>
        <DisplayName>Stacy Prasad</DisplayName>
        <AccountId>1847</AccountId>
        <AccountType/>
      </UserInfo>
      <UserInfo>
        <DisplayName>Steven Lynch</DisplayName>
        <AccountId>987</AccountId>
        <AccountType/>
      </UserInfo>
      <UserInfo>
        <DisplayName>Steven Vitto</DisplayName>
        <AccountId>999</AccountId>
        <AccountType/>
      </UserInfo>
      <UserInfo>
        <DisplayName>Susan Vrahoretis</DisplayName>
        <AccountId>586</AccountId>
        <AccountType/>
      </UserInfo>
      <UserInfo>
        <DisplayName>Sylvia Woods</DisplayName>
        <AccountId>57</AccountId>
        <AccountType/>
      </UserInfo>
      <UserInfo>
        <DisplayName>Tara Inverso (She)</DisplayName>
        <AccountId>1783</AccountId>
        <AccountType/>
      </UserInfo>
      <UserInfo>
        <DisplayName>Wesley Brunson</DisplayName>
        <AccountId>14</AccountId>
        <AccountType/>
      </UserInfo>
      <UserInfo>
        <DisplayName>William Jessup</DisplayName>
        <AccountId>3086</AccountId>
        <AccountType/>
      </UserInfo>
      <UserInfo>
        <DisplayName>William McGlinn</DisplayName>
        <AccountId>3197</AccountId>
        <AccountType/>
      </UserInfo>
      <UserInfo>
        <DisplayName>William Reckley</DisplayName>
        <AccountId>3084</AccountId>
        <AccountType/>
      </UserInfo>
      <UserInfo>
        <DisplayName>Yessie Correa</DisplayName>
        <AccountId>218</AccountId>
        <AccountType/>
      </UserInfo>
      <UserInfo>
        <DisplayName>Robert Roche-Rivera</DisplayName>
        <AccountId>237</AccountId>
        <AccountType/>
      </UserInfo>
      <UserInfo>
        <DisplayName>Marian Zobler (She/Her/Hers)</DisplayName>
        <AccountId>1599</AccountId>
        <AccountType/>
      </UserInfo>
      <UserInfo>
        <DisplayName>Brian Harris</DisplayName>
        <AccountId>885</AccountId>
        <AccountType/>
      </UserInfo>
      <UserInfo>
        <DisplayName>Bernice Ammon</DisplayName>
        <AccountId>612</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UserInfo>
        <DisplayName>David Cullison</DisplayName>
        <AccountId>68</AccountId>
        <AccountType/>
      </UserInfo>
    </SharedWithUsers>
    <_dlc_DocIdPersistId xmlns="b3a34a53-9a19-47a4-8acc-4e423288e9ad" xsi:nil="true"/>
    <_dlc_DocId xmlns="b3a34a53-9a19-47a4-8acc-4e423288e9ad">DJXZ7D336C7E-259460999-5367</_dlc_DocId>
    <_dlc_DocIdUrl xmlns="b3a34a53-9a19-47a4-8acc-4e423288e9ad">
      <Url>https://usnrc.sharepoint.com/teams/OCIO-Information-Collections-Site/_layouts/15/DocIdRedir.aspx?ID=DJXZ7D336C7E-259460999-5367</Url>
      <Description>DJXZ7D336C7E-259460999-5367</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F8BB220-8E75-4683-AD8D-479CAB2412D4}">
  <ds:schemaRefs/>
</ds:datastoreItem>
</file>

<file path=customXml/itemProps2.xml><?xml version="1.0" encoding="utf-8"?>
<ds:datastoreItem xmlns:ds="http://schemas.openxmlformats.org/officeDocument/2006/customXml" ds:itemID="{1B2C5FAB-30FC-4A5E-8553-C4916DDEB6D3}">
  <ds:schemaRefs>
    <ds:schemaRef ds:uri="http://schemas.microsoft.com/sharepoint/events"/>
  </ds:schemaRefs>
</ds:datastoreItem>
</file>

<file path=customXml/itemProps3.xml><?xml version="1.0" encoding="utf-8"?>
<ds:datastoreItem xmlns:ds="http://schemas.openxmlformats.org/officeDocument/2006/customXml" ds:itemID="{6C0CAD8F-E2F8-4BB8-9DD8-80861F54C973}">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4.xml><?xml version="1.0" encoding="utf-8"?>
<ds:datastoreItem xmlns:ds="http://schemas.openxmlformats.org/officeDocument/2006/customXml" ds:itemID="{352B5516-CF1A-43EC-9E03-FCC9102D76C3}">
  <ds:schemaRefs>
    <ds:schemaRef ds:uri="http://schemas.microsoft.com/sharepoint/v3/contenttype/forms"/>
  </ds:schemaRefs>
</ds:datastoreItem>
</file>

<file path=customXml/itemProps5.xml><?xml version="1.0" encoding="utf-8"?>
<ds:datastoreItem xmlns:ds="http://schemas.openxmlformats.org/officeDocument/2006/customXml" ds:itemID="{EDEF87CB-93ED-4022-A98C-0FA8AEA2B814}">
  <ds:schemaRefs>
    <ds:schemaRef ds:uri="http://schemas.openxmlformats.org/officeDocument/2006/bibliography"/>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649</TotalTime>
  <Pages>44</Pages>
  <Words>15651</Words>
  <Characters>91090</Characters>
  <Application>Microsoft Office Word</Application>
  <DocSecurity>0</DocSecurity>
  <Lines>1858</Lines>
  <Paragraphs>627</Paragraphs>
  <ScaleCrop>false</ScaleCrop>
  <Company/>
  <LinksUpToDate>false</LinksUpToDate>
  <CharactersWithSpaces>106114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Stutzke, Martin</dc:creator>
  <cp:lastModifiedBy>Nicole Fields</cp:lastModifiedBy>
  <cp:revision>172</cp:revision>
  <cp:lastPrinted>2025-06-16T18:00:00Z</cp:lastPrinted>
  <dcterms:created xsi:type="dcterms:W3CDTF">2025-09-18T21:32:00Z</dcterms:created>
  <dcterms:modified xsi:type="dcterms:W3CDTF">2026-03-23T15:25:00Z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8f91f5cd-4299-4f82-835e-769663d0fa00</vt:lpwstr>
  </property>
</Properties>
</file>